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311468">
        <w:trPr>
          <w:trHeight w:val="709"/>
        </w:trPr>
        <w:tc>
          <w:tcPr>
            <w:tcW w:w="976" w:type="dxa"/>
            <w:tcBorders>
              <w:bottom w:val="single" w:sz="12" w:space="0" w:color="auto"/>
            </w:tcBorders>
          </w:tcPr>
          <w:p w:rsidR="00311468" w:rsidRDefault="00802074">
            <w:pPr>
              <w:suppressLineNumbers/>
              <w:suppressAutoHyphens/>
              <w:rPr>
                <w:rFonts w:eastAsia="Times New Roman"/>
                <w:kern w:val="22"/>
                <w:lang w:val="es-ES"/>
              </w:rPr>
            </w:pPr>
            <w:r>
              <w:rPr>
                <w:rFonts w:eastAsia="Times New Roman"/>
                <w:noProof/>
                <w:snapToGrid/>
                <w:kern w:val="22"/>
                <w:lang w:val="es-UY" w:eastAsia="es-UY"/>
              </w:rPr>
              <w:drawing>
                <wp:inline distT="0" distB="0" distL="0" distR="0">
                  <wp:extent cx="427355"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27355"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311468" w:rsidRDefault="00802074">
            <w:pPr>
              <w:suppressLineNumbers/>
              <w:suppressAutoHyphens/>
              <w:rPr>
                <w:rFonts w:eastAsia="Times New Roman"/>
                <w:kern w:val="22"/>
                <w:lang w:val="es-ES"/>
              </w:rPr>
            </w:pPr>
            <w:r>
              <w:rPr>
                <w:rFonts w:eastAsia="Times New Roman"/>
                <w:noProof/>
                <w:snapToGrid/>
                <w:kern w:val="22"/>
                <w:lang w:val="es-UY" w:eastAsia="es-UY"/>
              </w:rPr>
              <w:drawing>
                <wp:inline distT="0" distB="0" distL="0" distR="0">
                  <wp:extent cx="335280" cy="394970"/>
                  <wp:effectExtent l="19050" t="0" r="762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srcRect/>
                          <a:stretch>
                            <a:fillRect/>
                          </a:stretch>
                        </pic:blipFill>
                        <pic:spPr bwMode="auto">
                          <a:xfrm>
                            <a:off x="0" y="0"/>
                            <a:ext cx="335280" cy="39497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311468" w:rsidRDefault="00311468">
            <w:pPr>
              <w:suppressLineNumbers/>
              <w:suppressAutoHyphens/>
              <w:jc w:val="right"/>
              <w:rPr>
                <w:rFonts w:ascii="Arial" w:eastAsia="Times New Roman" w:hAnsi="Arial"/>
                <w:b/>
                <w:kern w:val="22"/>
                <w:sz w:val="32"/>
                <w:lang w:val="es-ES"/>
              </w:rPr>
            </w:pPr>
            <w:r>
              <w:rPr>
                <w:rFonts w:ascii="Arial" w:eastAsia="Times New Roman" w:hAnsi="Arial"/>
                <w:b/>
                <w:noProof/>
                <w:kern w:val="22"/>
                <w:sz w:val="32"/>
                <w:lang w:val="es-ES"/>
              </w:rPr>
              <w:t>CBD</w:t>
            </w:r>
          </w:p>
        </w:tc>
      </w:tr>
      <w:tr w:rsidR="00311468">
        <w:tc>
          <w:tcPr>
            <w:tcW w:w="6117" w:type="dxa"/>
            <w:gridSpan w:val="2"/>
            <w:tcBorders>
              <w:top w:val="single" w:sz="12" w:space="0" w:color="auto"/>
              <w:bottom w:val="single" w:sz="36" w:space="0" w:color="auto"/>
            </w:tcBorders>
            <w:vAlign w:val="center"/>
          </w:tcPr>
          <w:p w:rsidR="00311468" w:rsidRDefault="00802074">
            <w:pPr>
              <w:suppressLineNumbers/>
              <w:suppressAutoHyphens/>
              <w:rPr>
                <w:rFonts w:eastAsia="Times New Roman"/>
                <w:kern w:val="22"/>
                <w:lang w:val="es-ES"/>
              </w:rPr>
            </w:pPr>
            <w:r>
              <w:rPr>
                <w:rFonts w:eastAsia="Times New Roman"/>
                <w:noProof/>
                <w:snapToGrid/>
                <w:kern w:val="22"/>
                <w:lang w:val="es-UY" w:eastAsia="es-UY"/>
              </w:rPr>
              <w:drawing>
                <wp:inline distT="0" distB="0" distL="0" distR="0">
                  <wp:extent cx="2901315" cy="103251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srcRect/>
                          <a:stretch>
                            <a:fillRect/>
                          </a:stretch>
                        </pic:blipFill>
                        <pic:spPr bwMode="auto">
                          <a:xfrm>
                            <a:off x="0" y="0"/>
                            <a:ext cx="2901315" cy="103251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311468" w:rsidRDefault="00311468">
            <w:pPr>
              <w:suppressLineNumbers/>
              <w:suppressAutoHyphens/>
              <w:ind w:left="1215"/>
              <w:rPr>
                <w:rFonts w:eastAsia="Times New Roman"/>
                <w:kern w:val="22"/>
                <w:lang w:val="es-ES"/>
              </w:rPr>
            </w:pPr>
            <w:r>
              <w:rPr>
                <w:rFonts w:eastAsia="Times New Roman"/>
                <w:noProof/>
                <w:kern w:val="22"/>
                <w:lang w:val="es-ES"/>
              </w:rPr>
              <w:t>Distr.</w:t>
            </w:r>
          </w:p>
          <w:p w:rsidR="00311468" w:rsidRDefault="00311468">
            <w:pPr>
              <w:suppressLineNumbers/>
              <w:suppressAutoHyphens/>
              <w:ind w:left="1215"/>
              <w:rPr>
                <w:rFonts w:eastAsia="Times New Roman"/>
                <w:kern w:val="22"/>
                <w:lang w:val="es-ES"/>
              </w:rPr>
            </w:pPr>
            <w:r>
              <w:rPr>
                <w:rFonts w:eastAsia="Times New Roman"/>
                <w:caps/>
                <w:noProof/>
                <w:kern w:val="22"/>
                <w:lang w:val="es-ES"/>
              </w:rPr>
              <w:t>GENERAL</w:t>
            </w:r>
          </w:p>
          <w:p w:rsidR="00311468" w:rsidRDefault="00311468">
            <w:pPr>
              <w:suppressLineNumbers/>
              <w:suppressAutoHyphens/>
              <w:ind w:left="1215"/>
              <w:rPr>
                <w:rFonts w:eastAsia="Times New Roman"/>
                <w:kern w:val="22"/>
                <w:lang w:val="es-ES"/>
              </w:rPr>
            </w:pPr>
          </w:p>
          <w:p w:rsidR="00311468" w:rsidRDefault="00311468">
            <w:pPr>
              <w:suppressLineNumbers/>
              <w:suppressAutoHyphens/>
              <w:ind w:left="1215"/>
              <w:rPr>
                <w:rFonts w:eastAsia="Times New Roman"/>
                <w:kern w:val="22"/>
                <w:lang w:val="es-ES"/>
              </w:rPr>
            </w:pPr>
            <w:r>
              <w:rPr>
                <w:rFonts w:eastAsia="Times New Roman"/>
                <w:noProof/>
                <w:kern w:val="22"/>
                <w:lang w:val="es-ES"/>
              </w:rPr>
              <w:t>CBD/CP/MOP/DEC/9/16</w:t>
            </w:r>
          </w:p>
          <w:p w:rsidR="00311468" w:rsidRDefault="00311468">
            <w:pPr>
              <w:suppressLineNumbers/>
              <w:suppressAutoHyphens/>
              <w:ind w:left="1215"/>
              <w:rPr>
                <w:rFonts w:eastAsia="Times New Roman"/>
                <w:kern w:val="22"/>
                <w:lang w:val="es-ES"/>
              </w:rPr>
            </w:pPr>
            <w:r>
              <w:rPr>
                <w:rFonts w:eastAsia="Times New Roman"/>
                <w:noProof/>
                <w:kern w:val="22"/>
                <w:lang w:val="es-ES"/>
              </w:rPr>
              <w:t>5 de diciembre de 2018</w:t>
            </w:r>
          </w:p>
          <w:p w:rsidR="00311468" w:rsidRDefault="00311468">
            <w:pPr>
              <w:suppressLineNumbers/>
              <w:suppressAutoHyphens/>
              <w:ind w:left="1215"/>
              <w:rPr>
                <w:rFonts w:eastAsia="Times New Roman"/>
                <w:kern w:val="22"/>
                <w:lang w:val="es-ES"/>
              </w:rPr>
            </w:pPr>
          </w:p>
          <w:p w:rsidR="00311468" w:rsidRDefault="00311468">
            <w:pPr>
              <w:suppressLineNumbers/>
              <w:suppressAutoHyphens/>
              <w:ind w:left="1215"/>
              <w:rPr>
                <w:rFonts w:eastAsia="Times New Roman"/>
                <w:kern w:val="22"/>
                <w:lang w:val="es-ES"/>
              </w:rPr>
            </w:pPr>
            <w:r>
              <w:rPr>
                <w:rFonts w:eastAsia="Times New Roman"/>
                <w:noProof/>
                <w:kern w:val="22"/>
                <w:lang w:val="es-ES"/>
              </w:rPr>
              <w:t>ESPAÑOL</w:t>
            </w:r>
          </w:p>
          <w:p w:rsidR="00311468" w:rsidRDefault="00311468">
            <w:pPr>
              <w:suppressLineNumbers/>
              <w:suppressAutoHyphens/>
              <w:ind w:left="1215"/>
              <w:rPr>
                <w:rFonts w:eastAsia="Times New Roman"/>
                <w:kern w:val="22"/>
                <w:lang w:val="es-ES"/>
              </w:rPr>
            </w:pPr>
            <w:r>
              <w:rPr>
                <w:rFonts w:eastAsia="Times New Roman"/>
                <w:noProof/>
                <w:kern w:val="22"/>
                <w:lang w:val="es-ES"/>
              </w:rPr>
              <w:t>ORIGINAL:</w:t>
            </w:r>
            <w:r>
              <w:rPr>
                <w:rFonts w:eastAsia="Times New Roman"/>
                <w:kern w:val="22"/>
                <w:lang w:val="es-ES"/>
              </w:rPr>
              <w:t xml:space="preserve"> </w:t>
            </w:r>
            <w:r>
              <w:rPr>
                <w:rFonts w:eastAsia="Times New Roman"/>
                <w:noProof/>
                <w:kern w:val="22"/>
                <w:lang w:val="es-ES"/>
              </w:rPr>
              <w:t>INGLÉS</w:t>
            </w:r>
          </w:p>
          <w:p w:rsidR="00311468" w:rsidRDefault="00311468">
            <w:pPr>
              <w:suppressLineNumbers/>
              <w:suppressAutoHyphens/>
              <w:rPr>
                <w:rFonts w:eastAsia="Times New Roman"/>
                <w:kern w:val="22"/>
                <w:lang w:val="es-ES"/>
              </w:rPr>
            </w:pPr>
          </w:p>
        </w:tc>
      </w:tr>
    </w:tbl>
    <w:p w:rsidR="00311468" w:rsidRDefault="00311468">
      <w:pPr>
        <w:pStyle w:val="Cornernotation"/>
        <w:suppressLineNumbers/>
        <w:suppressAutoHyphens/>
        <w:kinsoku w:val="0"/>
        <w:overflowPunct w:val="0"/>
        <w:autoSpaceDE w:val="0"/>
        <w:autoSpaceDN w:val="0"/>
        <w:spacing w:before="60"/>
        <w:ind w:left="227" w:right="3780" w:hanging="227"/>
        <w:rPr>
          <w:rFonts w:eastAsia="Times New Roman"/>
          <w:kern w:val="22"/>
          <w:lang w:val="es-ES"/>
        </w:rPr>
      </w:pPr>
      <w:bookmarkStart w:id="0" w:name="_Hlk530040340"/>
      <w:r>
        <w:rPr>
          <w:rFonts w:eastAsia="Times New Roman"/>
          <w:noProof/>
          <w:kern w:val="22"/>
        </w:rPr>
        <w:t>CONFERENCIA DE LAS PARTES EN EL CONVENIO SOBRE LA DIVERSIDAD BIOLÓGICA QUE ACTÚA COMO REUNIÓN DE LAS PARTES EN EL PROTOCOLO DE CARTAGENA SOBRE SEGURIDAD DE LA BIOTECNOLOGÍA</w:t>
      </w:r>
    </w:p>
    <w:p w:rsidR="00311468" w:rsidRDefault="00311468">
      <w:pPr>
        <w:pStyle w:val="Cornernotation"/>
        <w:suppressLineNumbers/>
        <w:suppressAutoHyphens/>
        <w:kinsoku w:val="0"/>
        <w:overflowPunct w:val="0"/>
        <w:autoSpaceDE w:val="0"/>
        <w:autoSpaceDN w:val="0"/>
        <w:ind w:left="0" w:right="4512" w:firstLine="0"/>
        <w:rPr>
          <w:rFonts w:eastAsia="Times New Roman"/>
          <w:kern w:val="22"/>
          <w:lang w:val="es-ES"/>
        </w:rPr>
      </w:pPr>
      <w:r>
        <w:rPr>
          <w:rFonts w:eastAsia="Times New Roman"/>
          <w:noProof/>
          <w:kern w:val="22"/>
        </w:rPr>
        <w:t>Novena reunión</w:t>
      </w:r>
    </w:p>
    <w:p w:rsidR="00311468" w:rsidRDefault="00311468">
      <w:pPr>
        <w:suppressLineNumbers/>
        <w:suppressAutoHyphens/>
        <w:kinsoku w:val="0"/>
        <w:overflowPunct w:val="0"/>
        <w:autoSpaceDE w:val="0"/>
        <w:autoSpaceDN w:val="0"/>
        <w:rPr>
          <w:rFonts w:eastAsia="Times New Roman"/>
          <w:kern w:val="22"/>
          <w:lang w:val="es-ES"/>
        </w:rPr>
      </w:pPr>
      <w:bookmarkStart w:id="1" w:name="_Hlk505863673"/>
      <w:r>
        <w:rPr>
          <w:rFonts w:eastAsia="Times New Roman"/>
          <w:noProof/>
          <w:kern w:val="22"/>
        </w:rPr>
        <w:t>Sharm el-Sheikh (Egipto), 17 a 29 de noviembre de 2018</w:t>
      </w:r>
      <w:bookmarkEnd w:id="1"/>
    </w:p>
    <w:bookmarkEnd w:id="0"/>
    <w:p w:rsidR="00311468" w:rsidRDefault="00311468">
      <w:pPr>
        <w:suppressLineNumbers/>
        <w:suppressAutoHyphens/>
        <w:rPr>
          <w:rFonts w:eastAsia="Times New Roman"/>
          <w:kern w:val="22"/>
          <w:lang w:val="es-ES"/>
        </w:rPr>
      </w:pPr>
      <w:r>
        <w:rPr>
          <w:rFonts w:eastAsia="Times New Roman"/>
          <w:noProof/>
          <w:color w:val="000000"/>
          <w:kern w:val="22"/>
        </w:rPr>
        <w:t xml:space="preserve">Tema </w:t>
      </w:r>
      <w:r>
        <w:rPr>
          <w:rFonts w:eastAsia="Times New Roman"/>
          <w:kern w:val="22"/>
          <w:lang w:val="es-ES"/>
        </w:rPr>
        <w:t>6 del programa</w:t>
      </w:r>
    </w:p>
    <w:p w:rsidR="00311468" w:rsidRDefault="00311468">
      <w:pPr>
        <w:pStyle w:val="Heading1"/>
        <w:keepNext w:val="0"/>
        <w:suppressLineNumbers/>
        <w:tabs>
          <w:tab w:val="clear" w:pos="720"/>
        </w:tabs>
        <w:suppressAutoHyphens/>
        <w:rPr>
          <w:rFonts w:ascii="Times New Roman Bold" w:hAnsi="Times New Roman Bold"/>
          <w:kern w:val="22"/>
          <w:lang w:val="es-ES"/>
        </w:rPr>
      </w:pPr>
      <w:r>
        <w:rPr>
          <w:noProof/>
          <w:kern w:val="22"/>
        </w:rPr>
        <w:t>Decisión adoptada por las Partes en el Protocolo de Cartagena sobre seguridad de la Biotecnología</w:t>
      </w:r>
    </w:p>
    <w:p w:rsidR="00311468" w:rsidRDefault="00311468">
      <w:pPr>
        <w:pStyle w:val="Heading1"/>
        <w:suppressLineNumbers/>
        <w:suppressAutoHyphens/>
        <w:rPr>
          <w:rFonts w:eastAsia="Times New Roman"/>
          <w:kern w:val="22"/>
          <w:lang w:val="es-ES"/>
        </w:rPr>
      </w:pPr>
      <w:r>
        <w:rPr>
          <w:rFonts w:eastAsia="Times New Roman"/>
          <w:kern w:val="22"/>
          <w:lang w:val="es-ES"/>
        </w:rPr>
        <w:t>9/16.</w:t>
      </w:r>
      <w:r>
        <w:rPr>
          <w:rFonts w:eastAsia="Times New Roman"/>
          <w:kern w:val="22"/>
          <w:lang w:val="es-ES"/>
        </w:rPr>
        <w:tab/>
        <w:t>P</w:t>
      </w:r>
      <w:r>
        <w:rPr>
          <w:rFonts w:eastAsia="Times New Roman"/>
          <w:caps w:val="0"/>
          <w:kern w:val="22"/>
          <w:lang w:val="es-ES"/>
        </w:rPr>
        <w:t>rograma de trabajo y presupuesto (Protocolo de Cartagena)</w:t>
      </w:r>
    </w:p>
    <w:p w:rsidR="00311468" w:rsidRDefault="00311468">
      <w:pPr>
        <w:suppressLineNumbers/>
        <w:shd w:val="clear" w:color="auto" w:fill="FFFFFF"/>
        <w:suppressAutoHyphens/>
        <w:spacing w:before="120" w:after="120"/>
        <w:ind w:firstLine="720"/>
        <w:rPr>
          <w:rFonts w:eastAsia="Times New Roman"/>
          <w:i/>
          <w:kern w:val="22"/>
          <w:lang w:val="es-ES"/>
        </w:rPr>
      </w:pPr>
      <w:r>
        <w:rPr>
          <w:rFonts w:eastAsia="Times New Roman"/>
          <w:i/>
          <w:kern w:val="22"/>
          <w:lang w:val="es-ES"/>
        </w:rPr>
        <w:t>La Conferencia de las Partes que actúa como reunión de las Partes en el Protocolo de Cartagena sobre Seguridad de la Biotecnología,</w:t>
      </w:r>
    </w:p>
    <w:p w:rsidR="00311468" w:rsidRPr="00D21E29" w:rsidRDefault="00311468">
      <w:pPr>
        <w:suppressLineNumbers/>
        <w:shd w:val="clear" w:color="auto" w:fill="FFFFFF"/>
        <w:suppressAutoHyphens/>
        <w:spacing w:before="120" w:after="120"/>
        <w:ind w:firstLine="720"/>
        <w:rPr>
          <w:rFonts w:eastAsia="Times New Roman"/>
          <w:kern w:val="22"/>
          <w:szCs w:val="22"/>
          <w:lang w:val="es-ES"/>
        </w:rPr>
      </w:pPr>
      <w:r w:rsidRPr="00D21E29">
        <w:rPr>
          <w:rFonts w:eastAsia="Times New Roman"/>
          <w:i/>
          <w:kern w:val="22"/>
          <w:szCs w:val="22"/>
          <w:lang w:val="es-ES"/>
        </w:rPr>
        <w:t xml:space="preserve">Recordando </w:t>
      </w:r>
      <w:r w:rsidRPr="00D21E29">
        <w:rPr>
          <w:rFonts w:eastAsia="Times New Roman"/>
          <w:kern w:val="22"/>
          <w:szCs w:val="22"/>
          <w:lang w:val="es-ES"/>
        </w:rPr>
        <w:t xml:space="preserve">su decisión </w:t>
      </w:r>
      <w:hyperlink r:id="rId11" w:history="1">
        <w:r w:rsidRPr="00D21E29">
          <w:rPr>
            <w:rStyle w:val="Hyperlink"/>
            <w:rFonts w:eastAsia="Times New Roman"/>
            <w:kern w:val="22"/>
            <w:sz w:val="22"/>
            <w:szCs w:val="22"/>
            <w:lang w:val="es-ES"/>
          </w:rPr>
          <w:t>VIII/7</w:t>
        </w:r>
      </w:hyperlink>
      <w:r w:rsidRPr="00D21E29">
        <w:rPr>
          <w:rFonts w:eastAsia="Times New Roman"/>
          <w:kern w:val="22"/>
          <w:szCs w:val="22"/>
          <w:lang w:val="es-ES"/>
        </w:rPr>
        <w:t xml:space="preserve">, y la decisión </w:t>
      </w:r>
      <w:hyperlink r:id="rId12" w:history="1">
        <w:r w:rsidRPr="00D21E29">
          <w:rPr>
            <w:rStyle w:val="Hyperlink"/>
            <w:rFonts w:eastAsia="Times New Roman"/>
            <w:kern w:val="22"/>
            <w:sz w:val="22"/>
            <w:szCs w:val="22"/>
            <w:lang w:val="es-ES"/>
          </w:rPr>
          <w:t>XIII/32</w:t>
        </w:r>
      </w:hyperlink>
      <w:r w:rsidRPr="00D21E29">
        <w:rPr>
          <w:rFonts w:eastAsia="Times New Roman"/>
          <w:kern w:val="22"/>
          <w:szCs w:val="22"/>
          <w:lang w:val="es-ES"/>
        </w:rPr>
        <w:t xml:space="preserve"> de la Conferencia de las Partes en el Convenio sobre la Diversidad Biológica, así como la decisión </w:t>
      </w:r>
      <w:hyperlink r:id="rId13" w:history="1">
        <w:r w:rsidRPr="00D21E29">
          <w:rPr>
            <w:rStyle w:val="Hyperlink"/>
            <w:rFonts w:eastAsia="Times New Roman"/>
            <w:kern w:val="22"/>
            <w:sz w:val="22"/>
            <w:szCs w:val="22"/>
            <w:lang w:val="es-ES"/>
          </w:rPr>
          <w:t>NP-2/13</w:t>
        </w:r>
      </w:hyperlink>
      <w:r w:rsidRPr="00D21E29">
        <w:rPr>
          <w:rFonts w:eastAsia="Times New Roman"/>
          <w:kern w:val="22"/>
          <w:szCs w:val="22"/>
          <w:lang w:val="es-ES"/>
        </w:rPr>
        <w:t xml:space="preserve"> de la Conferencia de las Partes que actúa como reunión de las Partes en el Protocolo de Nagoya sobre Acceso y Participación en los Beneficios,</w:t>
      </w:r>
    </w:p>
    <w:p w:rsidR="00311468" w:rsidRPr="00D21E29" w:rsidRDefault="00311468">
      <w:pPr>
        <w:suppressLineNumbers/>
        <w:suppressAutoHyphens/>
        <w:spacing w:before="120" w:after="120"/>
        <w:ind w:firstLine="720"/>
        <w:rPr>
          <w:rFonts w:ascii="Malgun Gothic" w:eastAsia="Malgun Gothic"/>
          <w:color w:val="000000"/>
          <w:kern w:val="22"/>
          <w:szCs w:val="22"/>
          <w:lang w:val="es-ES"/>
        </w:rPr>
      </w:pPr>
      <w:r w:rsidRPr="00D21E29">
        <w:rPr>
          <w:i/>
          <w:color w:val="000000"/>
          <w:kern w:val="22"/>
          <w:szCs w:val="22"/>
          <w:lang w:val="es-ES"/>
        </w:rPr>
        <w:t xml:space="preserve">Recordando también </w:t>
      </w:r>
      <w:r w:rsidRPr="00D21E29">
        <w:rPr>
          <w:color w:val="000000"/>
          <w:kern w:val="22"/>
          <w:szCs w:val="22"/>
          <w:lang w:val="es-ES"/>
        </w:rPr>
        <w:t xml:space="preserve">la decisión </w:t>
      </w:r>
      <w:hyperlink r:id="rId14" w:history="1">
        <w:r w:rsidRPr="00D21E29">
          <w:rPr>
            <w:rStyle w:val="Hyperlink"/>
            <w:kern w:val="22"/>
            <w:sz w:val="22"/>
            <w:szCs w:val="22"/>
            <w:lang w:val="es-ES"/>
          </w:rPr>
          <w:t>III/1</w:t>
        </w:r>
      </w:hyperlink>
      <w:r w:rsidRPr="00D21E29">
        <w:rPr>
          <w:color w:val="000000"/>
          <w:kern w:val="22"/>
          <w:szCs w:val="22"/>
          <w:lang w:val="es-ES"/>
        </w:rPr>
        <w:t>, en la que se especifica que los proyectos de presupuesto deben distribuirse 90 días antes de las reuniones de la Conferencia de las Partes,</w:t>
      </w:r>
    </w:p>
    <w:p w:rsidR="00311468" w:rsidRDefault="00311468">
      <w:pPr>
        <w:suppressLineNumbers/>
        <w:suppressAutoHyphens/>
        <w:spacing w:before="120" w:after="120"/>
        <w:ind w:firstLine="720"/>
        <w:rPr>
          <w:rFonts w:eastAsia="Times New Roman"/>
          <w:color w:val="000000"/>
          <w:kern w:val="22"/>
          <w:lang w:val="es-ES"/>
        </w:rPr>
      </w:pPr>
      <w:r>
        <w:rPr>
          <w:rFonts w:eastAsia="Times New Roman"/>
          <w:i/>
          <w:color w:val="000000"/>
          <w:kern w:val="22"/>
          <w:lang w:val="es-ES"/>
        </w:rPr>
        <w:t xml:space="preserve">Recordando además </w:t>
      </w:r>
      <w:r>
        <w:rPr>
          <w:rFonts w:eastAsia="Times New Roman"/>
          <w:color w:val="000000"/>
          <w:kern w:val="22"/>
          <w:lang w:val="es-ES"/>
        </w:rPr>
        <w:t>la resolución 2/18 de la Asamblea de las Naciones Unidas sobre el Medio Ambiente acerca de la relación entre el Programa de las Naciones Unidas para el Medio Ambiente y los acuerdos ambientales multilaterales a los que presta servicios de secretaría.</w:t>
      </w:r>
    </w:p>
    <w:p w:rsidR="00311468" w:rsidRDefault="00311468">
      <w:pPr>
        <w:suppressLineNumbers/>
        <w:shd w:val="clear" w:color="auto" w:fill="FFFFFF"/>
        <w:suppressAutoHyphens/>
        <w:spacing w:before="120" w:after="120"/>
        <w:ind w:firstLine="720"/>
        <w:rPr>
          <w:i/>
          <w:kern w:val="22"/>
          <w:lang w:val="es-ES"/>
        </w:rPr>
      </w:pPr>
      <w:r>
        <w:rPr>
          <w:kern w:val="22"/>
          <w:lang w:val="es-ES"/>
        </w:rPr>
        <w:t>1.</w:t>
      </w:r>
      <w:r>
        <w:rPr>
          <w:rFonts w:ascii="Malgun Gothic" w:eastAsia="Malgun Gothic"/>
          <w:kern w:val="22"/>
          <w:lang w:val="es-ES"/>
        </w:rPr>
        <w:tab/>
      </w:r>
      <w:r>
        <w:rPr>
          <w:i/>
          <w:kern w:val="22"/>
          <w:lang w:val="es-ES"/>
        </w:rPr>
        <w:t>Decide</w:t>
      </w:r>
      <w:r>
        <w:rPr>
          <w:kern w:val="22"/>
          <w:lang w:val="es-ES"/>
        </w:rPr>
        <w:t xml:space="preserve"> adoptar un programa de trabajo y presupuesto integrado para el Convenio sobre la Diversidad Biológica, el Protocolo de Cartagena sobre Seguridad de la Biotecnología y el Protocolo de Nagoya sobre Acceso y Participación en los Beneficios;</w:t>
      </w:r>
    </w:p>
    <w:p w:rsidR="00311468" w:rsidRDefault="00311468">
      <w:pPr>
        <w:suppressLineNumbers/>
        <w:shd w:val="clear" w:color="auto" w:fill="FFFFFF"/>
        <w:suppressAutoHyphens/>
        <w:spacing w:before="120" w:after="120"/>
        <w:ind w:firstLine="720"/>
        <w:rPr>
          <w:rFonts w:ascii="Malgun Gothic" w:eastAsia="Malgun Gothic"/>
          <w:kern w:val="22"/>
          <w:lang w:val="es-ES"/>
        </w:rPr>
      </w:pPr>
      <w:r>
        <w:rPr>
          <w:kern w:val="22"/>
          <w:lang w:val="es-ES"/>
        </w:rPr>
        <w:t>2.</w:t>
      </w:r>
      <w:r>
        <w:rPr>
          <w:rFonts w:ascii="Malgun Gothic" w:eastAsia="Malgun Gothic"/>
          <w:i/>
          <w:kern w:val="22"/>
          <w:lang w:val="es-ES"/>
        </w:rPr>
        <w:tab/>
      </w:r>
      <w:r>
        <w:rPr>
          <w:i/>
          <w:kern w:val="22"/>
          <w:lang w:val="es-ES"/>
        </w:rPr>
        <w:t>Decide también</w:t>
      </w:r>
      <w:r>
        <w:rPr>
          <w:kern w:val="22"/>
          <w:lang w:val="es-ES"/>
        </w:rPr>
        <w:t xml:space="preserve"> distribuir todos los gastos de los servicios de secretaría entre el Convenio, el Protocolo de Cartagena y el Protocolo de Nagoya a razón de 74%, 15% y 11% para el bienio 2019-2020;</w:t>
      </w:r>
    </w:p>
    <w:p w:rsidR="00311468" w:rsidRDefault="00311468">
      <w:pPr>
        <w:suppressLineNumbers/>
        <w:shd w:val="clear" w:color="auto" w:fill="FFFFFF"/>
        <w:suppressAutoHyphens/>
        <w:spacing w:before="120" w:after="120"/>
        <w:ind w:firstLine="720"/>
        <w:rPr>
          <w:rFonts w:eastAsia="Times New Roman"/>
          <w:i/>
          <w:kern w:val="22"/>
          <w:lang w:val="es-ES"/>
        </w:rPr>
      </w:pPr>
      <w:r w:rsidRPr="00D21E29">
        <w:rPr>
          <w:rFonts w:eastAsia="Times New Roman"/>
          <w:kern w:val="22"/>
          <w:lang w:val="es-ES"/>
        </w:rPr>
        <w:t>3.</w:t>
      </w:r>
      <w:r>
        <w:rPr>
          <w:rFonts w:eastAsia="Times New Roman"/>
          <w:i/>
          <w:kern w:val="22"/>
          <w:lang w:val="es-ES"/>
        </w:rPr>
        <w:tab/>
        <w:t>Aprueba</w:t>
      </w:r>
      <w:r>
        <w:rPr>
          <w:rFonts w:eastAsia="Times New Roman"/>
          <w:kern w:val="22"/>
          <w:lang w:val="es-ES"/>
        </w:rPr>
        <w:t xml:space="preserve"> un presupuesto básico por programas (BG) para el Protocolo de Cartagena sobre Seguridad de la Biotecnología de 2.842.300 dólares de los Estados Unidos para el año 2019 y de 2.984.300 dólares de los Estados Unidos para el año 2020, lo que representa el 15% del presupuesto integrado de 18.949.900 dólares de los Estados Unidos </w:t>
      </w:r>
      <w:r w:rsidR="005A39C3">
        <w:rPr>
          <w:rFonts w:eastAsia="Times New Roman"/>
          <w:kern w:val="22"/>
          <w:lang w:val="es-ES"/>
        </w:rPr>
        <w:t>co</w:t>
      </w:r>
      <w:r>
        <w:rPr>
          <w:rFonts w:eastAsia="Times New Roman"/>
          <w:kern w:val="22"/>
          <w:lang w:val="es-ES"/>
        </w:rPr>
        <w:t>r</w:t>
      </w:r>
      <w:r w:rsidR="005A39C3">
        <w:rPr>
          <w:rFonts w:eastAsia="Times New Roman"/>
          <w:kern w:val="22"/>
          <w:lang w:val="es-ES"/>
        </w:rPr>
        <w:t xml:space="preserve">respondiente </w:t>
      </w:r>
      <w:r>
        <w:rPr>
          <w:rFonts w:eastAsia="Times New Roman"/>
          <w:kern w:val="22"/>
          <w:lang w:val="es-ES"/>
        </w:rPr>
        <w:t xml:space="preserve">al año 2019 y 19.895.200 dólares de los Estados Unidos </w:t>
      </w:r>
      <w:r w:rsidR="005A39C3">
        <w:rPr>
          <w:rFonts w:eastAsia="Times New Roman"/>
          <w:kern w:val="22"/>
          <w:lang w:val="es-ES"/>
        </w:rPr>
        <w:t xml:space="preserve">correspondiente </w:t>
      </w:r>
      <w:r>
        <w:rPr>
          <w:rFonts w:eastAsia="Times New Roman"/>
          <w:kern w:val="22"/>
          <w:lang w:val="es-ES"/>
        </w:rPr>
        <w:t>al año 2020 para el Convenio y los Protocolos, para los fines indicados en los cuadros 1a y 1b a continuación;</w:t>
      </w:r>
    </w:p>
    <w:p w:rsidR="00311468" w:rsidRDefault="00311468">
      <w:pPr>
        <w:suppressLineNumbers/>
        <w:shd w:val="clear" w:color="auto" w:fill="FFFFFF"/>
        <w:suppressAutoHyphens/>
        <w:spacing w:before="120" w:after="120"/>
        <w:ind w:firstLine="720"/>
        <w:rPr>
          <w:rFonts w:ascii="Malgun Gothic" w:eastAsia="Malgun Gothic"/>
          <w:i/>
          <w:kern w:val="22"/>
          <w:lang w:val="es-ES"/>
        </w:rPr>
      </w:pPr>
      <w:r w:rsidRPr="00D21E29">
        <w:rPr>
          <w:kern w:val="22"/>
          <w:lang w:val="es-ES"/>
        </w:rPr>
        <w:t>4.</w:t>
      </w:r>
      <w:r w:rsidRPr="00D21E29">
        <w:rPr>
          <w:kern w:val="22"/>
          <w:lang w:val="es-ES"/>
        </w:rPr>
        <w:tab/>
      </w:r>
      <w:r>
        <w:rPr>
          <w:i/>
          <w:kern w:val="22"/>
          <w:lang w:val="es-ES"/>
        </w:rPr>
        <w:t>Adopta</w:t>
      </w:r>
      <w:r>
        <w:rPr>
          <w:kern w:val="22"/>
          <w:lang w:val="es-ES"/>
        </w:rPr>
        <w:t xml:space="preserve"> la escala de cuotas para el prorrateo de los gastos para 2019 y 2020 que figura en el cuadro 2 a continuació</w:t>
      </w:r>
      <w:r w:rsidRPr="00D21E29">
        <w:rPr>
          <w:kern w:val="22"/>
          <w:lang w:val="es-ES"/>
        </w:rPr>
        <w:t>n</w:t>
      </w:r>
      <w:r w:rsidRPr="00D21E29">
        <w:rPr>
          <w:rStyle w:val="FootnoteReference"/>
          <w:rFonts w:eastAsia="Malgun Gothic"/>
          <w:kern w:val="22"/>
          <w:lang w:val="es-ES"/>
        </w:rPr>
        <w:footnoteReference w:id="1"/>
      </w:r>
      <w:r w:rsidRPr="00D21E29">
        <w:rPr>
          <w:kern w:val="22"/>
          <w:lang w:val="es-ES"/>
        </w:rPr>
        <w:t>;</w:t>
      </w:r>
    </w:p>
    <w:p w:rsidR="00311468" w:rsidRPr="00D21E29" w:rsidRDefault="00311468">
      <w:pPr>
        <w:suppressLineNumbers/>
        <w:shd w:val="clear" w:color="auto" w:fill="FFFFFF"/>
        <w:suppressAutoHyphens/>
        <w:ind w:firstLine="720"/>
        <w:rPr>
          <w:rFonts w:ascii="Malgun Gothic" w:eastAsia="Malgun Gothic"/>
          <w:kern w:val="22"/>
          <w:lang w:val="es-ES"/>
        </w:rPr>
      </w:pPr>
      <w:r w:rsidRPr="00D21E29">
        <w:rPr>
          <w:kern w:val="22"/>
          <w:lang w:val="es-ES"/>
        </w:rPr>
        <w:lastRenderedPageBreak/>
        <w:t>5.</w:t>
      </w:r>
      <w:r w:rsidRPr="00D21E29">
        <w:rPr>
          <w:kern w:val="22"/>
          <w:lang w:val="es-ES"/>
        </w:rPr>
        <w:tab/>
      </w:r>
      <w:r w:rsidRPr="00D21E29">
        <w:rPr>
          <w:i/>
          <w:kern w:val="22"/>
          <w:lang w:val="es-ES"/>
        </w:rPr>
        <w:t>Reconoce</w:t>
      </w:r>
      <w:r w:rsidRPr="00D21E29">
        <w:rPr>
          <w:kern w:val="22"/>
          <w:lang w:val="es-ES"/>
        </w:rPr>
        <w:t xml:space="preserve"> las estimaciones de financiación para las Contribuciones Voluntarias en </w:t>
      </w:r>
      <w:r w:rsidR="001810BD">
        <w:rPr>
          <w:kern w:val="22"/>
          <w:lang w:val="es-ES"/>
        </w:rPr>
        <w:t>a</w:t>
      </w:r>
      <w:r w:rsidRPr="00D21E29">
        <w:rPr>
          <w:kern w:val="22"/>
          <w:lang w:val="es-ES"/>
        </w:rPr>
        <w:t>poyo a Actividades Aprobadas del Protocolo de Cartagena para el período 2019-2022 incluidas en el cuadro 3 de la decisión 14/37 de la Conferencia de las Partes;</w:t>
      </w:r>
    </w:p>
    <w:p w:rsidR="00311468" w:rsidRPr="00D21E29" w:rsidRDefault="00311468">
      <w:pPr>
        <w:suppressLineNumbers/>
        <w:shd w:val="clear" w:color="auto" w:fill="FFFFFF"/>
        <w:suppressAutoHyphens/>
        <w:spacing w:before="120" w:after="120"/>
        <w:ind w:firstLine="720"/>
        <w:rPr>
          <w:rFonts w:eastAsia="Times New Roman"/>
          <w:kern w:val="22"/>
          <w:lang w:val="es-ES"/>
        </w:rPr>
      </w:pPr>
      <w:r w:rsidRPr="00D21E29">
        <w:rPr>
          <w:rFonts w:eastAsia="Times New Roman"/>
          <w:kern w:val="22"/>
          <w:lang w:val="es-ES"/>
        </w:rPr>
        <w:t>6.</w:t>
      </w:r>
      <w:r w:rsidRPr="00D21E29">
        <w:rPr>
          <w:rFonts w:eastAsia="Times New Roman"/>
          <w:kern w:val="22"/>
          <w:lang w:val="es-ES"/>
        </w:rPr>
        <w:tab/>
      </w:r>
      <w:r w:rsidRPr="00D21E29">
        <w:rPr>
          <w:rFonts w:eastAsia="Times New Roman"/>
          <w:i/>
          <w:kern w:val="22"/>
          <w:lang w:val="es-ES"/>
        </w:rPr>
        <w:t>Decide</w:t>
      </w:r>
      <w:r w:rsidRPr="00D21E29">
        <w:rPr>
          <w:rFonts w:eastAsia="Times New Roman"/>
          <w:kern w:val="22"/>
          <w:lang w:val="es-ES"/>
        </w:rPr>
        <w:t xml:space="preserve"> aplicar, </w:t>
      </w:r>
      <w:r w:rsidRPr="00D21E29">
        <w:rPr>
          <w:rFonts w:eastAsia="Times New Roman"/>
          <w:i/>
          <w:kern w:val="22"/>
          <w:lang w:val="es-ES"/>
        </w:rPr>
        <w:t>mutatis mutandis</w:t>
      </w:r>
      <w:r w:rsidRPr="00D21E29">
        <w:rPr>
          <w:rFonts w:eastAsia="Times New Roman"/>
          <w:kern w:val="22"/>
          <w:lang w:val="es-ES"/>
        </w:rPr>
        <w:t>, los párrafos 3 a 5 y 7 a 50 de la decisión 14/37 de la Conferencia de las Partes.</w:t>
      </w:r>
    </w:p>
    <w:p w:rsidR="00D21E29" w:rsidRDefault="00D21E29">
      <w:pPr>
        <w:suppressLineNumbers/>
        <w:suppressAutoHyphens/>
        <w:jc w:val="left"/>
        <w:rPr>
          <w:rFonts w:eastAsia="Times New Roman"/>
          <w:kern w:val="22"/>
          <w:lang w:val="es-ES"/>
        </w:rPr>
      </w:pPr>
    </w:p>
    <w:p w:rsidR="00311468" w:rsidRDefault="00311468">
      <w:pPr>
        <w:suppressLineNumbers/>
        <w:suppressAutoHyphens/>
        <w:jc w:val="left"/>
        <w:rPr>
          <w:rFonts w:eastAsia="Times New Roman"/>
          <w:kern w:val="22"/>
          <w:lang w:val="es-ES"/>
        </w:rPr>
      </w:pPr>
      <w:r w:rsidRPr="00D21E29">
        <w:rPr>
          <w:rFonts w:eastAsia="Times New Roman"/>
          <w:lang w:val="es-ES"/>
        </w:rPr>
        <w:br w:type="page"/>
      </w:r>
    </w:p>
    <w:p w:rsidR="00311468" w:rsidRDefault="00311468">
      <w:pPr>
        <w:keepNext/>
        <w:suppressLineNumbers/>
        <w:suppressAutoHyphens/>
        <w:spacing w:before="120" w:after="120"/>
        <w:ind w:left="1260" w:hanging="1260"/>
        <w:rPr>
          <w:rFonts w:eastAsia="Times New Roman"/>
          <w:lang w:val="es-ES"/>
        </w:rPr>
      </w:pPr>
      <w:r>
        <w:rPr>
          <w:rFonts w:eastAsia="Times New Roman"/>
          <w:b/>
          <w:kern w:val="22"/>
          <w:lang w:val="es-ES"/>
        </w:rPr>
        <w:lastRenderedPageBreak/>
        <w:t>Cuadro 1a.</w:t>
      </w:r>
      <w:r>
        <w:rPr>
          <w:rFonts w:eastAsia="Times New Roman"/>
          <w:b/>
          <w:kern w:val="22"/>
          <w:lang w:val="es-ES"/>
        </w:rPr>
        <w:tab/>
        <w:t>Presupuesto bienal integrado para los Fondos Fiduciarios del Convenio sobre la Diversidad Biológica y sus Protocolos, 2019-2020</w:t>
      </w:r>
    </w:p>
    <w:p w:rsidR="00311468" w:rsidRDefault="00311468">
      <w:pPr>
        <w:suppressLineNumbers/>
        <w:suppressAutoHyphens/>
        <w:jc w:val="left"/>
        <w:rPr>
          <w:rFonts w:eastAsia="Times New Roman"/>
          <w:i/>
          <w:kern w:val="22"/>
          <w:lang w:val="es-ES"/>
        </w:rPr>
      </w:pPr>
    </w:p>
    <w:tbl>
      <w:tblPr>
        <w:tblW w:w="9120" w:type="dxa"/>
        <w:tblInd w:w="93" w:type="dxa"/>
        <w:tblLayout w:type="fixed"/>
        <w:tblLook w:val="00A0"/>
      </w:tblPr>
      <w:tblGrid>
        <w:gridCol w:w="4693"/>
        <w:gridCol w:w="1418"/>
        <w:gridCol w:w="1369"/>
        <w:gridCol w:w="1640"/>
      </w:tblGrid>
      <w:tr w:rsidR="00311468" w:rsidTr="006A15ED">
        <w:trPr>
          <w:trHeight w:val="288"/>
        </w:trPr>
        <w:tc>
          <w:tcPr>
            <w:tcW w:w="4693"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418"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5"/>
                <w:lang w:val="es-ES"/>
              </w:rPr>
              <w:t>2019</w:t>
            </w:r>
            <w:r>
              <w:rPr>
                <w:rFonts w:eastAsia="Times New Roman"/>
                <w:i/>
                <w:color w:val="000000"/>
                <w:kern w:val="22"/>
                <w:sz w:val="15"/>
                <w:lang w:val="es-ES"/>
              </w:rPr>
              <w:br/>
              <w:t>(En miles de dólares de los Estados Unidos)</w:t>
            </w:r>
          </w:p>
        </w:tc>
        <w:tc>
          <w:tcPr>
            <w:tcW w:w="1369"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5"/>
                <w:lang w:val="es-ES"/>
              </w:rPr>
              <w:t>2020</w:t>
            </w:r>
            <w:r>
              <w:rPr>
                <w:rFonts w:eastAsia="Times New Roman"/>
                <w:i/>
                <w:color w:val="000000"/>
                <w:kern w:val="22"/>
                <w:sz w:val="15"/>
                <w:lang w:val="es-ES"/>
              </w:rPr>
              <w:br/>
              <w:t>(En miles de dólares de los Estados Unidos)</w:t>
            </w:r>
          </w:p>
        </w:tc>
        <w:tc>
          <w:tcPr>
            <w:tcW w:w="1640"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5"/>
                <w:lang w:val="es-ES"/>
              </w:rPr>
              <w:t>Total</w:t>
            </w:r>
            <w:r>
              <w:rPr>
                <w:rFonts w:eastAsia="Times New Roman"/>
                <w:i/>
                <w:color w:val="000000"/>
                <w:kern w:val="22"/>
                <w:sz w:val="15"/>
                <w:lang w:val="es-ES"/>
              </w:rPr>
              <w:br/>
              <w:t>(En miles de dólares de los Estados Unidos)</w:t>
            </w:r>
          </w:p>
        </w:tc>
      </w:tr>
      <w:tr w:rsidR="00311468" w:rsidTr="006A15ED">
        <w:trPr>
          <w:trHeight w:val="288"/>
        </w:trPr>
        <w:tc>
          <w:tcPr>
            <w:tcW w:w="4693"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418"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369"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640"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r>
      <w:tr w:rsidR="00311468" w:rsidTr="006A15ED">
        <w:trPr>
          <w:trHeight w:val="300"/>
        </w:trPr>
        <w:tc>
          <w:tcPr>
            <w:tcW w:w="4693"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418"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369"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640"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r>
      <w:tr w:rsidR="00311468" w:rsidTr="006A15ED">
        <w:trPr>
          <w:trHeight w:val="300"/>
        </w:trPr>
        <w:tc>
          <w:tcPr>
            <w:tcW w:w="4693" w:type="dxa"/>
            <w:tcBorders>
              <w:top w:val="nil"/>
              <w:left w:val="nil"/>
              <w:bottom w:val="nil"/>
              <w:right w:val="nil"/>
            </w:tcBorders>
            <w:vAlign w:val="center"/>
          </w:tcPr>
          <w:p w:rsidR="00311468" w:rsidRDefault="00311468">
            <w:pPr>
              <w:suppressLineNumbers/>
              <w:suppressAutoHyphens/>
              <w:jc w:val="left"/>
              <w:rPr>
                <w:rFonts w:eastAsia="Times New Roman"/>
                <w:color w:val="000000"/>
                <w:kern w:val="22"/>
                <w:sz w:val="17"/>
                <w:lang w:val="es-ES"/>
              </w:rPr>
            </w:pPr>
          </w:p>
        </w:tc>
        <w:tc>
          <w:tcPr>
            <w:tcW w:w="1418" w:type="dxa"/>
            <w:tcBorders>
              <w:top w:val="nil"/>
              <w:left w:val="nil"/>
              <w:bottom w:val="nil"/>
              <w:right w:val="nil"/>
            </w:tcBorders>
            <w:vAlign w:val="center"/>
          </w:tcPr>
          <w:p w:rsidR="00311468" w:rsidRDefault="00311468">
            <w:pPr>
              <w:suppressLineNumbers/>
              <w:suppressAutoHyphens/>
              <w:jc w:val="left"/>
              <w:rPr>
                <w:rFonts w:eastAsia="Times New Roman"/>
                <w:color w:val="000000"/>
                <w:kern w:val="22"/>
                <w:sz w:val="17"/>
                <w:lang w:val="es-ES"/>
              </w:rPr>
            </w:pPr>
          </w:p>
        </w:tc>
        <w:tc>
          <w:tcPr>
            <w:tcW w:w="1369" w:type="dxa"/>
            <w:tcBorders>
              <w:top w:val="nil"/>
              <w:left w:val="nil"/>
              <w:bottom w:val="nil"/>
              <w:right w:val="nil"/>
            </w:tcBorders>
            <w:vAlign w:val="center"/>
          </w:tcPr>
          <w:p w:rsidR="00311468" w:rsidRDefault="00311468">
            <w:pPr>
              <w:suppressLineNumbers/>
              <w:suppressAutoHyphens/>
              <w:jc w:val="right"/>
              <w:rPr>
                <w:rFonts w:eastAsia="Times New Roman"/>
                <w:color w:val="000000"/>
                <w:kern w:val="22"/>
                <w:sz w:val="17"/>
                <w:lang w:val="es-ES"/>
              </w:rPr>
            </w:pPr>
          </w:p>
        </w:tc>
        <w:tc>
          <w:tcPr>
            <w:tcW w:w="1640" w:type="dxa"/>
            <w:tcBorders>
              <w:top w:val="nil"/>
              <w:left w:val="nil"/>
              <w:bottom w:val="nil"/>
              <w:right w:val="nil"/>
            </w:tcBorders>
            <w:vAlign w:val="center"/>
          </w:tcPr>
          <w:p w:rsidR="00311468" w:rsidRDefault="00311468">
            <w:pPr>
              <w:suppressLineNumbers/>
              <w:suppressAutoHyphens/>
              <w:jc w:val="right"/>
              <w:rPr>
                <w:rFonts w:eastAsia="Times New Roman"/>
                <w:color w:val="000000"/>
                <w:kern w:val="22"/>
                <w:sz w:val="17"/>
                <w:lang w:val="es-ES"/>
              </w:rPr>
            </w:pPr>
          </w:p>
        </w:tc>
      </w:tr>
      <w:tr w:rsidR="00311468" w:rsidTr="004C337D">
        <w:trPr>
          <w:trHeight w:val="288"/>
        </w:trPr>
        <w:tc>
          <w:tcPr>
            <w:tcW w:w="4693" w:type="dxa"/>
            <w:tcBorders>
              <w:top w:val="nil"/>
              <w:left w:val="nil"/>
              <w:bottom w:val="nil"/>
              <w:right w:val="nil"/>
            </w:tcBorders>
          </w:tcPr>
          <w:p w:rsidR="00311468" w:rsidRDefault="00311468">
            <w:pPr>
              <w:suppressLineNumbers/>
              <w:suppressAutoHyphens/>
              <w:jc w:val="left"/>
              <w:rPr>
                <w:rFonts w:eastAsia="Times New Roman"/>
              </w:rPr>
            </w:pPr>
            <w:r>
              <w:rPr>
                <w:rFonts w:eastAsia="Times New Roman"/>
                <w:color w:val="000000"/>
                <w:kern w:val="22"/>
                <w:sz w:val="17"/>
                <w:lang w:val="es-ES"/>
              </w:rPr>
              <w:t>A. Órganos rectores y subsidiarios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1 889,0</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2 484,0</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4 373,0</w:t>
            </w:r>
          </w:p>
        </w:tc>
      </w:tr>
      <w:tr w:rsidR="00311468" w:rsidTr="004C337D">
        <w:trPr>
          <w:trHeight w:val="288"/>
        </w:trPr>
        <w:tc>
          <w:tcPr>
            <w:tcW w:w="4693" w:type="dxa"/>
            <w:tcBorders>
              <w:top w:val="nil"/>
              <w:left w:val="nil"/>
              <w:bottom w:val="nil"/>
              <w:right w:val="nil"/>
            </w:tcBorders>
          </w:tcPr>
          <w:p w:rsidR="00311468" w:rsidRDefault="00311468">
            <w:pPr>
              <w:suppressLineNumbers/>
              <w:suppressAutoHyphens/>
              <w:jc w:val="left"/>
              <w:rPr>
                <w:rFonts w:eastAsia="Times New Roman"/>
              </w:rPr>
            </w:pPr>
            <w:r>
              <w:rPr>
                <w:rFonts w:eastAsia="Times New Roman"/>
                <w:color w:val="000000"/>
                <w:kern w:val="22"/>
                <w:sz w:val="17"/>
                <w:lang w:val="es-ES"/>
              </w:rPr>
              <w:t>B. Dirección y gestión ejecutivas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2 634,5</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2 669,8</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5 304,3</w:t>
            </w:r>
          </w:p>
        </w:tc>
      </w:tr>
      <w:tr w:rsidR="00311468" w:rsidTr="004C337D">
        <w:trPr>
          <w:trHeight w:val="288"/>
        </w:trPr>
        <w:tc>
          <w:tcPr>
            <w:tcW w:w="4693" w:type="dxa"/>
            <w:tcBorders>
              <w:top w:val="nil"/>
              <w:left w:val="nil"/>
              <w:bottom w:val="nil"/>
              <w:right w:val="nil"/>
            </w:tcBorders>
          </w:tcPr>
          <w:p w:rsidR="00311468" w:rsidRDefault="00311468">
            <w:pPr>
              <w:suppressLineNumbers/>
              <w:suppressAutoHyphens/>
              <w:jc w:val="left"/>
              <w:rPr>
                <w:rFonts w:eastAsia="Times New Roman"/>
              </w:rPr>
            </w:pPr>
            <w:r>
              <w:rPr>
                <w:rFonts w:eastAsia="Times New Roman"/>
                <w:color w:val="000000"/>
                <w:kern w:val="22"/>
                <w:sz w:val="17"/>
                <w:lang w:val="es-ES"/>
              </w:rPr>
              <w:t>C. Programa de trabajo</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9 309,4</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9 243,1</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18 552,5</w:t>
            </w:r>
          </w:p>
        </w:tc>
      </w:tr>
      <w:tr w:rsidR="00311468" w:rsidTr="004C337D">
        <w:trPr>
          <w:trHeight w:val="300"/>
        </w:trPr>
        <w:tc>
          <w:tcPr>
            <w:tcW w:w="4693" w:type="dxa"/>
            <w:tcBorders>
              <w:top w:val="nil"/>
              <w:left w:val="nil"/>
              <w:bottom w:val="single" w:sz="8" w:space="0" w:color="auto"/>
              <w:right w:val="nil"/>
            </w:tcBorders>
          </w:tcPr>
          <w:p w:rsidR="00311468" w:rsidRDefault="00311468">
            <w:pPr>
              <w:suppressLineNumbers/>
              <w:suppressAutoHyphens/>
              <w:jc w:val="left"/>
              <w:rPr>
                <w:rFonts w:eastAsia="Times New Roman"/>
              </w:rPr>
            </w:pPr>
            <w:r>
              <w:rPr>
                <w:rFonts w:eastAsia="Times New Roman"/>
                <w:color w:val="000000"/>
                <w:kern w:val="22"/>
                <w:sz w:val="17"/>
                <w:lang w:val="es-ES"/>
              </w:rPr>
              <w:t>D. Apoyo administrativo</w:t>
            </w:r>
          </w:p>
        </w:tc>
        <w:tc>
          <w:tcPr>
            <w:tcW w:w="1418"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2 886,0</w:t>
            </w:r>
          </w:p>
        </w:tc>
        <w:tc>
          <w:tcPr>
            <w:tcW w:w="136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3 093,7</w:t>
            </w:r>
          </w:p>
        </w:tc>
        <w:tc>
          <w:tcPr>
            <w:tcW w:w="1640"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5 979,7</w:t>
            </w:r>
          </w:p>
        </w:tc>
      </w:tr>
      <w:tr w:rsidR="00311468" w:rsidTr="00591133">
        <w:trPr>
          <w:trHeight w:val="300"/>
        </w:trPr>
        <w:tc>
          <w:tcPr>
            <w:tcW w:w="4693" w:type="dxa"/>
            <w:tcBorders>
              <w:top w:val="nil"/>
              <w:left w:val="nil"/>
              <w:bottom w:val="single" w:sz="12" w:space="0" w:color="auto"/>
              <w:right w:val="nil"/>
            </w:tcBorders>
            <w:vAlign w:val="center"/>
          </w:tcPr>
          <w:p w:rsidR="00311468" w:rsidRPr="00591133" w:rsidRDefault="00311468" w:rsidP="00591133">
            <w:pPr>
              <w:suppressLineNumbers/>
              <w:suppressAutoHyphens/>
              <w:jc w:val="left"/>
              <w:rPr>
                <w:rFonts w:eastAsia="Times New Roman"/>
              </w:rPr>
            </w:pPr>
            <w:r>
              <w:rPr>
                <w:rFonts w:eastAsia="Times New Roman"/>
                <w:b/>
                <w:color w:val="000000"/>
                <w:kern w:val="22"/>
                <w:sz w:val="17"/>
                <w:lang w:val="es-ES"/>
              </w:rPr>
              <w:t>Subtotal</w:t>
            </w:r>
          </w:p>
        </w:tc>
        <w:tc>
          <w:tcPr>
            <w:tcW w:w="1418" w:type="dxa"/>
            <w:tcBorders>
              <w:top w:val="nil"/>
              <w:left w:val="nil"/>
              <w:bottom w:val="single" w:sz="12"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16 718,9</w:t>
            </w:r>
          </w:p>
        </w:tc>
        <w:tc>
          <w:tcPr>
            <w:tcW w:w="1369" w:type="dxa"/>
            <w:tcBorders>
              <w:top w:val="nil"/>
              <w:left w:val="nil"/>
              <w:bottom w:val="single" w:sz="12"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17 490,6</w:t>
            </w:r>
          </w:p>
        </w:tc>
        <w:tc>
          <w:tcPr>
            <w:tcW w:w="1640" w:type="dxa"/>
            <w:tcBorders>
              <w:top w:val="nil"/>
              <w:left w:val="nil"/>
              <w:bottom w:val="single" w:sz="12"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34 209,5</w:t>
            </w:r>
          </w:p>
        </w:tc>
      </w:tr>
      <w:tr w:rsidR="00311468" w:rsidTr="00591133">
        <w:trPr>
          <w:trHeight w:val="300"/>
        </w:trPr>
        <w:tc>
          <w:tcPr>
            <w:tcW w:w="4693" w:type="dxa"/>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Gastos de apoyo a los programas</w:t>
            </w:r>
          </w:p>
        </w:tc>
        <w:tc>
          <w:tcPr>
            <w:tcW w:w="1418" w:type="dxa"/>
            <w:tcBorders>
              <w:top w:val="nil"/>
              <w:left w:val="nil"/>
              <w:bottom w:val="nil"/>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2 173,5</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2 273,8</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4 447,2</w:t>
            </w:r>
          </w:p>
        </w:tc>
      </w:tr>
      <w:tr w:rsidR="00311468" w:rsidTr="00591133">
        <w:trPr>
          <w:trHeight w:val="300"/>
        </w:trPr>
        <w:tc>
          <w:tcPr>
            <w:tcW w:w="4693" w:type="dxa"/>
            <w:tcBorders>
              <w:top w:val="nil"/>
              <w:left w:val="nil"/>
              <w:bottom w:val="single" w:sz="8" w:space="0" w:color="auto"/>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Reserva operacional</w:t>
            </w:r>
          </w:p>
        </w:tc>
        <w:tc>
          <w:tcPr>
            <w:tcW w:w="1418"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56,6</w:t>
            </w:r>
          </w:p>
        </w:tc>
        <w:tc>
          <w:tcPr>
            <w:tcW w:w="1369"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130,7</w:t>
            </w:r>
          </w:p>
        </w:tc>
        <w:tc>
          <w:tcPr>
            <w:tcW w:w="1640"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187,4</w:t>
            </w:r>
          </w:p>
        </w:tc>
      </w:tr>
      <w:tr w:rsidR="00311468" w:rsidTr="003B40E8">
        <w:trPr>
          <w:trHeight w:val="300"/>
        </w:trPr>
        <w:tc>
          <w:tcPr>
            <w:tcW w:w="4693" w:type="dxa"/>
            <w:tcBorders>
              <w:top w:val="nil"/>
              <w:left w:val="nil"/>
              <w:bottom w:val="single" w:sz="8" w:space="0" w:color="auto"/>
              <w:right w:val="nil"/>
            </w:tcBorders>
            <w:vAlign w:val="center"/>
          </w:tcPr>
          <w:p w:rsidR="00311468" w:rsidRDefault="00311468" w:rsidP="003B40E8">
            <w:pPr>
              <w:suppressLineNumbers/>
              <w:suppressAutoHyphens/>
              <w:jc w:val="left"/>
              <w:rPr>
                <w:rFonts w:eastAsia="Times New Roman"/>
              </w:rPr>
            </w:pPr>
            <w:r>
              <w:rPr>
                <w:rFonts w:eastAsia="Times New Roman"/>
                <w:b/>
                <w:color w:val="000000"/>
                <w:kern w:val="22"/>
                <w:sz w:val="17"/>
                <w:lang w:val="es-ES"/>
              </w:rPr>
              <w:t>Total</w:t>
            </w:r>
          </w:p>
        </w:tc>
        <w:tc>
          <w:tcPr>
            <w:tcW w:w="1418"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18 949,0</w:t>
            </w:r>
          </w:p>
        </w:tc>
        <w:tc>
          <w:tcPr>
            <w:tcW w:w="1369"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19 895,1</w:t>
            </w:r>
          </w:p>
        </w:tc>
        <w:tc>
          <w:tcPr>
            <w:tcW w:w="1640"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38 844,1</w:t>
            </w:r>
          </w:p>
        </w:tc>
      </w:tr>
      <w:tr w:rsidR="00311468" w:rsidTr="004C337D">
        <w:trPr>
          <w:trHeight w:val="288"/>
        </w:trPr>
        <w:tc>
          <w:tcPr>
            <w:tcW w:w="4693" w:type="dxa"/>
            <w:tcBorders>
              <w:top w:val="nil"/>
              <w:left w:val="nil"/>
              <w:bottom w:val="single" w:sz="4" w:space="0" w:color="auto"/>
              <w:right w:val="nil"/>
            </w:tcBorders>
            <w:vAlign w:val="center"/>
          </w:tcPr>
          <w:p w:rsidR="00311468" w:rsidRDefault="00311468">
            <w:pPr>
              <w:suppressLineNumbers/>
              <w:suppressAutoHyphens/>
              <w:jc w:val="left"/>
              <w:rPr>
                <w:rFonts w:eastAsia="Times New Roman"/>
              </w:rPr>
            </w:pPr>
            <w:r>
              <w:rPr>
                <w:rFonts w:eastAsia="Times New Roman"/>
                <w:kern w:val="22"/>
                <w:sz w:val="17"/>
                <w:lang w:val="es-ES"/>
              </w:rPr>
              <w:t>Porcentaje del presupuesto integrado que corresponde al Protocolo de Cartagena (15%)</w:t>
            </w:r>
          </w:p>
        </w:tc>
        <w:tc>
          <w:tcPr>
            <w:tcW w:w="1418"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2 842,4</w:t>
            </w:r>
          </w:p>
        </w:tc>
        <w:tc>
          <w:tcPr>
            <w:tcW w:w="136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2 984,3</w:t>
            </w:r>
          </w:p>
        </w:tc>
        <w:tc>
          <w:tcPr>
            <w:tcW w:w="1640" w:type="dxa"/>
            <w:tcBorders>
              <w:top w:val="nil"/>
              <w:left w:val="nil"/>
              <w:bottom w:val="single" w:sz="4"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5 826,7</w:t>
            </w:r>
          </w:p>
        </w:tc>
      </w:tr>
      <w:tr w:rsidR="00311468" w:rsidTr="003B40E8">
        <w:trPr>
          <w:trHeight w:val="288"/>
        </w:trPr>
        <w:tc>
          <w:tcPr>
            <w:tcW w:w="4693" w:type="dxa"/>
            <w:tcBorders>
              <w:top w:val="nil"/>
              <w:left w:val="nil"/>
              <w:bottom w:val="nil"/>
              <w:right w:val="nil"/>
            </w:tcBorders>
            <w:vAlign w:val="center"/>
          </w:tcPr>
          <w:p w:rsidR="00311468" w:rsidRPr="00591133" w:rsidRDefault="00311468" w:rsidP="003B40E8">
            <w:pPr>
              <w:suppressLineNumbers/>
              <w:suppressAutoHyphens/>
              <w:jc w:val="left"/>
              <w:rPr>
                <w:rFonts w:eastAsia="Times New Roman"/>
              </w:rPr>
            </w:pPr>
            <w:r>
              <w:rPr>
                <w:rFonts w:eastAsia="Times New Roman"/>
                <w:kern w:val="22"/>
                <w:sz w:val="17"/>
                <w:u w:val="single"/>
                <w:lang w:val="es-ES"/>
              </w:rPr>
              <w:t>Menos</w:t>
            </w:r>
            <w:r>
              <w:rPr>
                <w:rFonts w:eastAsia="Times New Roman"/>
                <w:kern w:val="22"/>
                <w:sz w:val="17"/>
                <w:lang w:val="es-ES"/>
              </w:rPr>
              <w:t>:</w:t>
            </w:r>
            <w:r>
              <w:rPr>
                <w:rFonts w:eastAsia="Times New Roman"/>
                <w:color w:val="000000"/>
                <w:kern w:val="22"/>
                <w:sz w:val="17"/>
                <w:lang w:val="es-ES"/>
              </w:rPr>
              <w:t xml:space="preserve">  Contribución del país anfitrión</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(184,4)</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(213,5)</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(397,9)</w:t>
            </w:r>
          </w:p>
        </w:tc>
      </w:tr>
      <w:tr w:rsidR="00311468" w:rsidTr="003B40E8">
        <w:trPr>
          <w:trHeight w:val="288"/>
        </w:trPr>
        <w:tc>
          <w:tcPr>
            <w:tcW w:w="4693" w:type="dxa"/>
            <w:tcBorders>
              <w:top w:val="nil"/>
              <w:left w:val="nil"/>
              <w:bottom w:val="nil"/>
              <w:right w:val="nil"/>
            </w:tcBorders>
            <w:vAlign w:val="center"/>
          </w:tcPr>
          <w:p w:rsidR="00311468" w:rsidRDefault="00311468" w:rsidP="003B40E8">
            <w:pPr>
              <w:suppressLineNumbers/>
              <w:suppressAutoHyphens/>
              <w:jc w:val="left"/>
              <w:rPr>
                <w:rFonts w:eastAsia="Times New Roman"/>
              </w:rPr>
            </w:pPr>
            <w:r>
              <w:rPr>
                <w:rFonts w:eastAsia="Times New Roman"/>
                <w:color w:val="000000"/>
                <w:kern w:val="22"/>
                <w:sz w:val="17"/>
                <w:u w:val="single"/>
                <w:lang w:val="es-ES"/>
              </w:rPr>
              <w:t>Menos</w:t>
            </w:r>
            <w:r>
              <w:rPr>
                <w:rFonts w:eastAsia="Times New Roman"/>
                <w:color w:val="000000"/>
                <w:kern w:val="22"/>
                <w:sz w:val="17"/>
                <w:lang w:val="es-ES"/>
              </w:rPr>
              <w:t>:  Empleo de fondos de reserva para reuniones extraordinarias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(127,1)</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(94,9)</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(222,0)</w:t>
            </w:r>
          </w:p>
        </w:tc>
      </w:tr>
      <w:tr w:rsidR="00311468" w:rsidTr="003B40E8">
        <w:trPr>
          <w:trHeight w:val="288"/>
        </w:trPr>
        <w:tc>
          <w:tcPr>
            <w:tcW w:w="4693" w:type="dxa"/>
            <w:tcBorders>
              <w:top w:val="nil"/>
              <w:left w:val="nil"/>
              <w:bottom w:val="nil"/>
              <w:right w:val="nil"/>
            </w:tcBorders>
            <w:vAlign w:val="center"/>
          </w:tcPr>
          <w:p w:rsidR="00311468" w:rsidRDefault="00311468" w:rsidP="003B40E8">
            <w:pPr>
              <w:suppressLineNumbers/>
              <w:suppressAutoHyphens/>
              <w:jc w:val="left"/>
              <w:rPr>
                <w:rFonts w:eastAsia="Times New Roman"/>
              </w:rPr>
            </w:pPr>
            <w:r>
              <w:rPr>
                <w:rFonts w:eastAsia="Times New Roman"/>
                <w:color w:val="000000"/>
                <w:kern w:val="22"/>
                <w:sz w:val="17"/>
                <w:u w:val="single"/>
                <w:lang w:val="es-ES"/>
              </w:rPr>
              <w:t>Menos</w:t>
            </w:r>
            <w:r>
              <w:rPr>
                <w:rFonts w:eastAsia="Times New Roman"/>
                <w:color w:val="000000"/>
                <w:kern w:val="22"/>
                <w:sz w:val="17"/>
                <w:lang w:val="es-ES"/>
              </w:rPr>
              <w:t>:  Empleo de fondos de reserva de años anteriores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(129,5)</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(129,5)</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(259,0)</w:t>
            </w:r>
          </w:p>
        </w:tc>
      </w:tr>
      <w:tr w:rsidR="00311468" w:rsidTr="003B40E8">
        <w:trPr>
          <w:trHeight w:val="300"/>
        </w:trPr>
        <w:tc>
          <w:tcPr>
            <w:tcW w:w="4693" w:type="dxa"/>
            <w:tcBorders>
              <w:top w:val="single" w:sz="4" w:space="0" w:color="auto"/>
              <w:left w:val="nil"/>
              <w:bottom w:val="single" w:sz="8" w:space="0" w:color="auto"/>
              <w:right w:val="nil"/>
            </w:tcBorders>
            <w:vAlign w:val="center"/>
          </w:tcPr>
          <w:p w:rsidR="00311468" w:rsidRDefault="00311468" w:rsidP="003B40E8">
            <w:pPr>
              <w:suppressLineNumbers/>
              <w:suppressAutoHyphens/>
              <w:jc w:val="left"/>
              <w:rPr>
                <w:rFonts w:eastAsia="Times New Roman"/>
              </w:rPr>
            </w:pPr>
            <w:r>
              <w:rPr>
                <w:rFonts w:eastAsia="Times New Roman"/>
                <w:b/>
                <w:color w:val="000000"/>
                <w:kern w:val="22"/>
                <w:sz w:val="17"/>
                <w:lang w:val="es-ES"/>
              </w:rPr>
              <w:t>Total neto (monto repartido entre las Partes)</w:t>
            </w:r>
          </w:p>
        </w:tc>
        <w:tc>
          <w:tcPr>
            <w:tcW w:w="1418" w:type="dxa"/>
            <w:tcBorders>
              <w:top w:val="single" w:sz="4" w:space="0" w:color="auto"/>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2 401,4</w:t>
            </w:r>
          </w:p>
        </w:tc>
        <w:tc>
          <w:tcPr>
            <w:tcW w:w="1369" w:type="dxa"/>
            <w:tcBorders>
              <w:top w:val="single" w:sz="4" w:space="0" w:color="auto"/>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2 546,4</w:t>
            </w:r>
          </w:p>
        </w:tc>
        <w:tc>
          <w:tcPr>
            <w:tcW w:w="1640" w:type="dxa"/>
            <w:tcBorders>
              <w:top w:val="single" w:sz="4" w:space="0" w:color="auto"/>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4 947,8</w:t>
            </w:r>
          </w:p>
        </w:tc>
      </w:tr>
      <w:tr w:rsidR="00311468" w:rsidTr="006A15ED">
        <w:trPr>
          <w:trHeight w:val="300"/>
        </w:trPr>
        <w:tc>
          <w:tcPr>
            <w:tcW w:w="4693" w:type="dxa"/>
            <w:tcBorders>
              <w:top w:val="nil"/>
              <w:left w:val="nil"/>
              <w:bottom w:val="nil"/>
              <w:right w:val="nil"/>
            </w:tcBorders>
            <w:noWrap/>
            <w:vAlign w:val="bottom"/>
          </w:tcPr>
          <w:p w:rsidR="00311468" w:rsidRDefault="00311468">
            <w:pPr>
              <w:suppressLineNumbers/>
              <w:suppressAutoHyphens/>
              <w:jc w:val="left"/>
              <w:rPr>
                <w:rFonts w:eastAsia="Times New Roman"/>
                <w:color w:val="000000"/>
                <w:kern w:val="22"/>
                <w:sz w:val="17"/>
                <w:lang w:val="es-ES"/>
              </w:rPr>
            </w:pPr>
          </w:p>
        </w:tc>
        <w:tc>
          <w:tcPr>
            <w:tcW w:w="1418" w:type="dxa"/>
            <w:tcBorders>
              <w:top w:val="nil"/>
              <w:left w:val="nil"/>
              <w:bottom w:val="nil"/>
              <w:right w:val="nil"/>
            </w:tcBorders>
            <w:noWrap/>
            <w:vAlign w:val="bottom"/>
          </w:tcPr>
          <w:p w:rsidR="00311468" w:rsidRDefault="00311468">
            <w:pPr>
              <w:suppressLineNumbers/>
              <w:suppressAutoHyphens/>
              <w:jc w:val="left"/>
              <w:rPr>
                <w:rFonts w:eastAsia="Times New Roman"/>
                <w:color w:val="000000"/>
                <w:kern w:val="22"/>
                <w:sz w:val="17"/>
                <w:lang w:val="es-ES"/>
              </w:rPr>
            </w:pPr>
          </w:p>
        </w:tc>
        <w:tc>
          <w:tcPr>
            <w:tcW w:w="1369" w:type="dxa"/>
            <w:tcBorders>
              <w:top w:val="nil"/>
              <w:left w:val="nil"/>
              <w:bottom w:val="nil"/>
              <w:right w:val="nil"/>
            </w:tcBorders>
            <w:noWrap/>
            <w:vAlign w:val="bottom"/>
          </w:tcPr>
          <w:p w:rsidR="00311468" w:rsidRDefault="00311468">
            <w:pPr>
              <w:suppressLineNumbers/>
              <w:suppressAutoHyphens/>
              <w:jc w:val="left"/>
              <w:rPr>
                <w:rFonts w:eastAsia="Times New Roman"/>
                <w:color w:val="000000"/>
                <w:kern w:val="22"/>
                <w:sz w:val="17"/>
                <w:lang w:val="es-ES"/>
              </w:rPr>
            </w:pPr>
          </w:p>
        </w:tc>
        <w:tc>
          <w:tcPr>
            <w:tcW w:w="1640" w:type="dxa"/>
            <w:tcBorders>
              <w:top w:val="nil"/>
              <w:left w:val="nil"/>
              <w:bottom w:val="nil"/>
              <w:right w:val="nil"/>
            </w:tcBorders>
            <w:noWrap/>
            <w:vAlign w:val="bottom"/>
          </w:tcPr>
          <w:p w:rsidR="00311468" w:rsidRDefault="00311468">
            <w:pPr>
              <w:suppressLineNumbers/>
              <w:suppressAutoHyphens/>
              <w:jc w:val="left"/>
              <w:rPr>
                <w:rFonts w:eastAsia="Times New Roman"/>
                <w:color w:val="000000"/>
                <w:kern w:val="22"/>
                <w:sz w:val="17"/>
                <w:lang w:val="es-ES"/>
              </w:rPr>
            </w:pPr>
          </w:p>
        </w:tc>
      </w:tr>
      <w:tr w:rsidR="00311468" w:rsidTr="006A15ED">
        <w:trPr>
          <w:trHeight w:val="288"/>
        </w:trPr>
        <w:tc>
          <w:tcPr>
            <w:tcW w:w="4693"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rPr>
            </w:pPr>
            <w:r>
              <w:rPr>
                <w:rFonts w:eastAsia="Times New Roman"/>
                <w:i/>
                <w:color w:val="000000"/>
                <w:kern w:val="22"/>
                <w:sz w:val="15"/>
                <w:lang w:val="es-ES"/>
              </w:rPr>
              <w:t> </w:t>
            </w:r>
          </w:p>
        </w:tc>
        <w:tc>
          <w:tcPr>
            <w:tcW w:w="1418"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5"/>
                <w:lang w:val="es-ES"/>
              </w:rPr>
              <w:t>2019</w:t>
            </w:r>
            <w:r>
              <w:rPr>
                <w:rFonts w:eastAsia="Times New Roman"/>
                <w:i/>
                <w:color w:val="000000"/>
                <w:kern w:val="22"/>
                <w:sz w:val="15"/>
                <w:lang w:val="es-ES"/>
              </w:rPr>
              <w:br/>
              <w:t>(En miles de dólares de los Estados Unidos)</w:t>
            </w:r>
          </w:p>
        </w:tc>
        <w:tc>
          <w:tcPr>
            <w:tcW w:w="1369"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5"/>
                <w:lang w:val="es-ES"/>
              </w:rPr>
              <w:t>2020</w:t>
            </w:r>
            <w:r>
              <w:rPr>
                <w:rFonts w:eastAsia="Times New Roman"/>
                <w:i/>
                <w:color w:val="000000"/>
                <w:kern w:val="22"/>
                <w:sz w:val="15"/>
                <w:lang w:val="es-ES"/>
              </w:rPr>
              <w:br/>
              <w:t>(En miles de dólares de los Estados Unidos)</w:t>
            </w:r>
          </w:p>
        </w:tc>
        <w:tc>
          <w:tcPr>
            <w:tcW w:w="1640" w:type="dxa"/>
            <w:vMerge w:val="restart"/>
            <w:tcBorders>
              <w:top w:val="single" w:sz="8" w:space="0" w:color="auto"/>
              <w:left w:val="nil"/>
              <w:bottom w:val="single" w:sz="12" w:space="0" w:color="000000"/>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5"/>
                <w:lang w:val="es-ES"/>
              </w:rPr>
              <w:t>Total</w:t>
            </w:r>
            <w:r>
              <w:rPr>
                <w:rFonts w:eastAsia="Times New Roman"/>
                <w:i/>
                <w:color w:val="000000"/>
                <w:kern w:val="22"/>
                <w:sz w:val="15"/>
                <w:lang w:val="es-ES"/>
              </w:rPr>
              <w:br/>
              <w:t>(En miles de dólares de los Estados Unidos)</w:t>
            </w:r>
          </w:p>
        </w:tc>
      </w:tr>
      <w:tr w:rsidR="00311468" w:rsidTr="006A15ED">
        <w:trPr>
          <w:trHeight w:val="288"/>
        </w:trPr>
        <w:tc>
          <w:tcPr>
            <w:tcW w:w="4693"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418"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369"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640"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r>
      <w:tr w:rsidR="00311468" w:rsidTr="006A15ED">
        <w:trPr>
          <w:trHeight w:val="300"/>
        </w:trPr>
        <w:tc>
          <w:tcPr>
            <w:tcW w:w="4693"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418"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369"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c>
          <w:tcPr>
            <w:tcW w:w="1640" w:type="dxa"/>
            <w:vMerge/>
            <w:tcBorders>
              <w:top w:val="single" w:sz="8" w:space="0" w:color="auto"/>
              <w:left w:val="nil"/>
              <w:bottom w:val="single" w:sz="12" w:space="0" w:color="000000"/>
              <w:right w:val="nil"/>
            </w:tcBorders>
            <w:vAlign w:val="center"/>
          </w:tcPr>
          <w:p w:rsidR="00311468" w:rsidRDefault="00311468">
            <w:pPr>
              <w:suppressLineNumbers/>
              <w:suppressAutoHyphens/>
              <w:jc w:val="left"/>
              <w:rPr>
                <w:rFonts w:eastAsia="Times New Roman"/>
                <w:i/>
                <w:color w:val="000000"/>
                <w:kern w:val="22"/>
                <w:sz w:val="15"/>
                <w:lang w:val="es-ES"/>
              </w:rPr>
            </w:pPr>
          </w:p>
        </w:tc>
      </w:tr>
      <w:tr w:rsidR="00311468" w:rsidTr="00591133">
        <w:trPr>
          <w:trHeight w:val="300"/>
        </w:trPr>
        <w:tc>
          <w:tcPr>
            <w:tcW w:w="4693" w:type="dxa"/>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b/>
                <w:kern w:val="22"/>
                <w:sz w:val="17"/>
                <w:lang w:val="es-ES"/>
              </w:rPr>
              <w:t>I. Programas:</w:t>
            </w:r>
          </w:p>
        </w:tc>
        <w:tc>
          <w:tcPr>
            <w:tcW w:w="1418" w:type="dxa"/>
            <w:tcBorders>
              <w:top w:val="nil"/>
              <w:left w:val="nil"/>
              <w:bottom w:val="nil"/>
              <w:right w:val="nil"/>
            </w:tcBorders>
            <w:vAlign w:val="center"/>
          </w:tcPr>
          <w:p w:rsidR="00311468" w:rsidRDefault="00311468">
            <w:pPr>
              <w:suppressLineNumbers/>
              <w:suppressAutoHyphens/>
              <w:jc w:val="left"/>
              <w:rPr>
                <w:rFonts w:eastAsia="Times New Roman"/>
                <w:color w:val="000000"/>
                <w:kern w:val="22"/>
                <w:sz w:val="17"/>
                <w:lang w:val="es-ES"/>
              </w:rPr>
            </w:pPr>
          </w:p>
        </w:tc>
        <w:tc>
          <w:tcPr>
            <w:tcW w:w="1369" w:type="dxa"/>
            <w:tcBorders>
              <w:top w:val="nil"/>
              <w:left w:val="nil"/>
              <w:bottom w:val="nil"/>
              <w:right w:val="nil"/>
            </w:tcBorders>
            <w:vAlign w:val="center"/>
          </w:tcPr>
          <w:p w:rsidR="00311468" w:rsidRDefault="00311468">
            <w:pPr>
              <w:suppressLineNumbers/>
              <w:suppressAutoHyphens/>
              <w:jc w:val="right"/>
              <w:rPr>
                <w:rFonts w:eastAsia="Times New Roman"/>
                <w:color w:val="000000"/>
                <w:kern w:val="22"/>
                <w:sz w:val="17"/>
                <w:lang w:val="es-ES"/>
              </w:rPr>
            </w:pPr>
          </w:p>
        </w:tc>
        <w:tc>
          <w:tcPr>
            <w:tcW w:w="1640" w:type="dxa"/>
            <w:tcBorders>
              <w:top w:val="nil"/>
              <w:left w:val="nil"/>
              <w:bottom w:val="nil"/>
              <w:right w:val="nil"/>
            </w:tcBorders>
            <w:vAlign w:val="center"/>
          </w:tcPr>
          <w:p w:rsidR="00311468" w:rsidRDefault="00311468">
            <w:pPr>
              <w:suppressLineNumbers/>
              <w:suppressAutoHyphens/>
              <w:jc w:val="right"/>
              <w:rPr>
                <w:rFonts w:eastAsia="Times New Roman"/>
                <w:color w:val="000000"/>
                <w:kern w:val="22"/>
                <w:sz w:val="17"/>
                <w:lang w:val="es-ES"/>
              </w:rPr>
            </w:pPr>
          </w:p>
        </w:tc>
      </w:tr>
      <w:tr w:rsidR="00311468" w:rsidTr="00591133">
        <w:trPr>
          <w:trHeight w:val="288"/>
        </w:trPr>
        <w:tc>
          <w:tcPr>
            <w:tcW w:w="4693" w:type="dxa"/>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 xml:space="preserve">  Oficina de la Secretaria Ejecutiva</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3 534,0</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3 444,8</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6 978,8</w:t>
            </w:r>
          </w:p>
        </w:tc>
      </w:tr>
      <w:tr w:rsidR="00311468" w:rsidTr="00591133">
        <w:trPr>
          <w:trHeight w:val="288"/>
        </w:trPr>
        <w:tc>
          <w:tcPr>
            <w:tcW w:w="4693" w:type="dxa"/>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 xml:space="preserve">  Protocolos de APB y SB</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2 322,6</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2 375,9</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4 698,5</w:t>
            </w:r>
          </w:p>
        </w:tc>
      </w:tr>
      <w:tr w:rsidR="00311468" w:rsidTr="00591133">
        <w:trPr>
          <w:trHeight w:val="288"/>
        </w:trPr>
        <w:tc>
          <w:tcPr>
            <w:tcW w:w="4693" w:type="dxa"/>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 xml:space="preserve">  División de Ciencia, Sociedad y Futuros Sostenibles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3 912,3</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3 909,0</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7 821,3</w:t>
            </w:r>
          </w:p>
        </w:tc>
      </w:tr>
      <w:tr w:rsidR="00311468" w:rsidTr="00591133">
        <w:trPr>
          <w:trHeight w:val="300"/>
        </w:trPr>
        <w:tc>
          <w:tcPr>
            <w:tcW w:w="4693" w:type="dxa"/>
            <w:tcBorders>
              <w:top w:val="nil"/>
              <w:left w:val="nil"/>
              <w:bottom w:val="single" w:sz="8" w:space="0" w:color="auto"/>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 xml:space="preserve">  División de Apoyo a la Aplicación</w:t>
            </w:r>
          </w:p>
        </w:tc>
        <w:tc>
          <w:tcPr>
            <w:tcW w:w="1418"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3 105,0</w:t>
            </w:r>
          </w:p>
        </w:tc>
        <w:tc>
          <w:tcPr>
            <w:tcW w:w="136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3 708,2</w:t>
            </w:r>
          </w:p>
        </w:tc>
        <w:tc>
          <w:tcPr>
            <w:tcW w:w="1640"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6 813,2</w:t>
            </w:r>
          </w:p>
        </w:tc>
      </w:tr>
      <w:tr w:rsidR="00311468" w:rsidTr="004C337D">
        <w:trPr>
          <w:trHeight w:val="300"/>
        </w:trPr>
        <w:tc>
          <w:tcPr>
            <w:tcW w:w="4693" w:type="dxa"/>
            <w:tcBorders>
              <w:top w:val="nil"/>
              <w:left w:val="nil"/>
              <w:bottom w:val="single" w:sz="8" w:space="0" w:color="auto"/>
              <w:right w:val="nil"/>
            </w:tcBorders>
            <w:vAlign w:val="center"/>
          </w:tcPr>
          <w:p w:rsidR="00311468" w:rsidRDefault="00311468" w:rsidP="006A15ED">
            <w:pPr>
              <w:suppressLineNumbers/>
              <w:suppressAutoHyphens/>
              <w:jc w:val="left"/>
              <w:rPr>
                <w:rFonts w:eastAsia="Times New Roman"/>
              </w:rPr>
            </w:pPr>
            <w:r>
              <w:rPr>
                <w:rFonts w:eastAsia="Times New Roman"/>
                <w:b/>
                <w:color w:val="000000"/>
                <w:kern w:val="22"/>
                <w:sz w:val="17"/>
                <w:lang w:val="es-ES"/>
              </w:rPr>
              <w:t>II. Administración, Finanzas y Servicios de Conferencias</w:t>
            </w:r>
          </w:p>
        </w:tc>
        <w:tc>
          <w:tcPr>
            <w:tcW w:w="1418"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3 845,0</w:t>
            </w:r>
          </w:p>
        </w:tc>
        <w:tc>
          <w:tcPr>
            <w:tcW w:w="136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4 052,6</w:t>
            </w:r>
          </w:p>
        </w:tc>
        <w:tc>
          <w:tcPr>
            <w:tcW w:w="1640"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7 897,6</w:t>
            </w:r>
          </w:p>
        </w:tc>
      </w:tr>
      <w:tr w:rsidR="00311468" w:rsidTr="004C337D">
        <w:trPr>
          <w:trHeight w:val="300"/>
        </w:trPr>
        <w:tc>
          <w:tcPr>
            <w:tcW w:w="4693" w:type="dxa"/>
            <w:tcBorders>
              <w:top w:val="nil"/>
              <w:left w:val="nil"/>
              <w:bottom w:val="single" w:sz="12" w:space="0" w:color="auto"/>
              <w:right w:val="nil"/>
            </w:tcBorders>
            <w:vAlign w:val="center"/>
          </w:tcPr>
          <w:p w:rsidR="00311468" w:rsidRDefault="00311468" w:rsidP="006A15ED">
            <w:pPr>
              <w:suppressLineNumbers/>
              <w:suppressAutoHyphens/>
              <w:jc w:val="left"/>
              <w:rPr>
                <w:rFonts w:eastAsia="Times New Roman"/>
              </w:rPr>
            </w:pPr>
            <w:r>
              <w:rPr>
                <w:rFonts w:eastAsia="Times New Roman"/>
                <w:b/>
                <w:color w:val="000000"/>
                <w:kern w:val="22"/>
                <w:sz w:val="17"/>
                <w:lang w:val="es-ES"/>
              </w:rPr>
              <w:t>Subtotal</w:t>
            </w:r>
          </w:p>
        </w:tc>
        <w:tc>
          <w:tcPr>
            <w:tcW w:w="1418" w:type="dxa"/>
            <w:tcBorders>
              <w:top w:val="nil"/>
              <w:left w:val="nil"/>
              <w:bottom w:val="single" w:sz="12"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16 718,9</w:t>
            </w:r>
          </w:p>
        </w:tc>
        <w:tc>
          <w:tcPr>
            <w:tcW w:w="1369" w:type="dxa"/>
            <w:tcBorders>
              <w:top w:val="nil"/>
              <w:left w:val="nil"/>
              <w:bottom w:val="single" w:sz="12"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17 490,5</w:t>
            </w:r>
          </w:p>
        </w:tc>
        <w:tc>
          <w:tcPr>
            <w:tcW w:w="1640" w:type="dxa"/>
            <w:tcBorders>
              <w:top w:val="nil"/>
              <w:left w:val="nil"/>
              <w:bottom w:val="single" w:sz="12"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34 209,4</w:t>
            </w:r>
          </w:p>
        </w:tc>
      </w:tr>
      <w:tr w:rsidR="00311468" w:rsidTr="004C337D">
        <w:trPr>
          <w:trHeight w:val="300"/>
        </w:trPr>
        <w:tc>
          <w:tcPr>
            <w:tcW w:w="4693" w:type="dxa"/>
            <w:tcBorders>
              <w:top w:val="nil"/>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color w:val="000000"/>
                <w:kern w:val="22"/>
                <w:sz w:val="17"/>
                <w:lang w:val="es-ES"/>
              </w:rPr>
              <w:t>Gastos de apoyo a los programas</w:t>
            </w:r>
          </w:p>
        </w:tc>
        <w:tc>
          <w:tcPr>
            <w:tcW w:w="1418" w:type="dxa"/>
            <w:tcBorders>
              <w:top w:val="nil"/>
              <w:left w:val="nil"/>
              <w:bottom w:val="nil"/>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2 173,4</w:t>
            </w:r>
          </w:p>
        </w:tc>
        <w:tc>
          <w:tcPr>
            <w:tcW w:w="1369" w:type="dxa"/>
            <w:tcBorders>
              <w:top w:val="nil"/>
              <w:left w:val="nil"/>
              <w:bottom w:val="nil"/>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2 273,9</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4 447,2</w:t>
            </w:r>
          </w:p>
        </w:tc>
      </w:tr>
      <w:tr w:rsidR="00311468" w:rsidTr="004C337D">
        <w:trPr>
          <w:trHeight w:val="300"/>
        </w:trPr>
        <w:tc>
          <w:tcPr>
            <w:tcW w:w="4693" w:type="dxa"/>
            <w:tcBorders>
              <w:top w:val="nil"/>
              <w:left w:val="nil"/>
              <w:bottom w:val="single" w:sz="8" w:space="0" w:color="auto"/>
              <w:right w:val="nil"/>
            </w:tcBorders>
            <w:vAlign w:val="center"/>
          </w:tcPr>
          <w:p w:rsidR="00311468" w:rsidRDefault="00311468" w:rsidP="006A15ED">
            <w:pPr>
              <w:suppressLineNumbers/>
              <w:suppressAutoHyphens/>
              <w:jc w:val="left"/>
              <w:rPr>
                <w:rFonts w:eastAsia="Times New Roman"/>
              </w:rPr>
            </w:pPr>
            <w:r>
              <w:rPr>
                <w:rFonts w:eastAsia="Times New Roman"/>
                <w:b/>
                <w:color w:val="000000"/>
                <w:kern w:val="22"/>
                <w:sz w:val="17"/>
                <w:lang w:val="es-ES"/>
              </w:rPr>
              <w:t>III. Reserva operacional</w:t>
            </w:r>
          </w:p>
        </w:tc>
        <w:tc>
          <w:tcPr>
            <w:tcW w:w="1418"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56,6</w:t>
            </w:r>
          </w:p>
        </w:tc>
        <w:tc>
          <w:tcPr>
            <w:tcW w:w="1369"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130,8</w:t>
            </w:r>
          </w:p>
        </w:tc>
        <w:tc>
          <w:tcPr>
            <w:tcW w:w="1640"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187,5</w:t>
            </w:r>
          </w:p>
        </w:tc>
      </w:tr>
      <w:tr w:rsidR="00311468" w:rsidTr="004C337D">
        <w:trPr>
          <w:trHeight w:val="300"/>
        </w:trPr>
        <w:tc>
          <w:tcPr>
            <w:tcW w:w="4693" w:type="dxa"/>
            <w:tcBorders>
              <w:top w:val="nil"/>
              <w:left w:val="nil"/>
              <w:bottom w:val="single" w:sz="8" w:space="0" w:color="auto"/>
              <w:right w:val="nil"/>
            </w:tcBorders>
            <w:vAlign w:val="center"/>
          </w:tcPr>
          <w:p w:rsidR="00311468" w:rsidRDefault="00311468" w:rsidP="006A15ED">
            <w:pPr>
              <w:suppressLineNumbers/>
              <w:suppressAutoHyphens/>
              <w:jc w:val="left"/>
              <w:rPr>
                <w:rFonts w:eastAsia="Times New Roman"/>
              </w:rPr>
            </w:pPr>
            <w:r>
              <w:rPr>
                <w:rFonts w:eastAsia="Times New Roman"/>
                <w:b/>
                <w:color w:val="000000"/>
                <w:kern w:val="22"/>
                <w:sz w:val="17"/>
                <w:lang w:val="es-ES"/>
              </w:rPr>
              <w:t>Total</w:t>
            </w:r>
          </w:p>
        </w:tc>
        <w:tc>
          <w:tcPr>
            <w:tcW w:w="1418"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18 948,9</w:t>
            </w:r>
          </w:p>
        </w:tc>
        <w:tc>
          <w:tcPr>
            <w:tcW w:w="1369" w:type="dxa"/>
            <w:tcBorders>
              <w:top w:val="nil"/>
              <w:left w:val="nil"/>
              <w:bottom w:val="single" w:sz="8"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19 895,2</w:t>
            </w:r>
          </w:p>
        </w:tc>
        <w:tc>
          <w:tcPr>
            <w:tcW w:w="1640"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38 844,1</w:t>
            </w:r>
          </w:p>
        </w:tc>
      </w:tr>
      <w:tr w:rsidR="00311468" w:rsidTr="004C337D">
        <w:trPr>
          <w:trHeight w:val="288"/>
        </w:trPr>
        <w:tc>
          <w:tcPr>
            <w:tcW w:w="4693" w:type="dxa"/>
            <w:tcBorders>
              <w:top w:val="nil"/>
              <w:left w:val="nil"/>
              <w:bottom w:val="single" w:sz="4" w:space="0" w:color="auto"/>
              <w:right w:val="nil"/>
            </w:tcBorders>
            <w:vAlign w:val="center"/>
          </w:tcPr>
          <w:p w:rsidR="00311468" w:rsidRDefault="00311468" w:rsidP="006A15ED">
            <w:pPr>
              <w:suppressLineNumbers/>
              <w:suppressAutoHyphens/>
              <w:jc w:val="left"/>
              <w:rPr>
                <w:rFonts w:eastAsia="Times New Roman"/>
              </w:rPr>
            </w:pPr>
            <w:r>
              <w:rPr>
                <w:rFonts w:eastAsia="Times New Roman"/>
                <w:kern w:val="22"/>
                <w:sz w:val="17"/>
                <w:lang w:val="es-ES"/>
              </w:rPr>
              <w:t>Porcentaje del presupuesto integrado que corresponde al Protocolo de Cartagena (15%)</w:t>
            </w:r>
          </w:p>
        </w:tc>
        <w:tc>
          <w:tcPr>
            <w:tcW w:w="1418"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2 842,4</w:t>
            </w:r>
          </w:p>
        </w:tc>
        <w:tc>
          <w:tcPr>
            <w:tcW w:w="136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2 984,3</w:t>
            </w:r>
          </w:p>
        </w:tc>
        <w:tc>
          <w:tcPr>
            <w:tcW w:w="1640" w:type="dxa"/>
            <w:tcBorders>
              <w:top w:val="nil"/>
              <w:left w:val="nil"/>
              <w:bottom w:val="single" w:sz="4" w:space="0" w:color="auto"/>
              <w:right w:val="nil"/>
            </w:tcBorders>
            <w:noWrap/>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5 826,7</w:t>
            </w:r>
          </w:p>
        </w:tc>
      </w:tr>
      <w:tr w:rsidR="00311468" w:rsidTr="004C337D">
        <w:trPr>
          <w:trHeight w:val="288"/>
        </w:trPr>
        <w:tc>
          <w:tcPr>
            <w:tcW w:w="4693" w:type="dxa"/>
            <w:tcBorders>
              <w:top w:val="nil"/>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color w:val="000000"/>
                <w:kern w:val="22"/>
                <w:sz w:val="17"/>
                <w:u w:val="single"/>
                <w:lang w:val="es-ES"/>
              </w:rPr>
              <w:t>Menos</w:t>
            </w:r>
            <w:r>
              <w:rPr>
                <w:rFonts w:eastAsia="Times New Roman"/>
                <w:color w:val="000000"/>
                <w:kern w:val="22"/>
                <w:sz w:val="17"/>
                <w:lang w:val="es-ES"/>
              </w:rPr>
              <w:t>:  Contribución del país anfitrión</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(184,4)</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(213,5)</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(397,9)</w:t>
            </w:r>
          </w:p>
        </w:tc>
      </w:tr>
      <w:tr w:rsidR="00311468" w:rsidTr="004C337D">
        <w:trPr>
          <w:trHeight w:val="288"/>
        </w:trPr>
        <w:tc>
          <w:tcPr>
            <w:tcW w:w="4693" w:type="dxa"/>
            <w:tcBorders>
              <w:top w:val="nil"/>
              <w:left w:val="nil"/>
              <w:bottom w:val="nil"/>
              <w:right w:val="nil"/>
            </w:tcBorders>
            <w:vAlign w:val="center"/>
          </w:tcPr>
          <w:p w:rsidR="00311468" w:rsidRDefault="00311468" w:rsidP="006A15ED">
            <w:pPr>
              <w:suppressLineNumbers/>
              <w:suppressAutoHyphens/>
              <w:jc w:val="left"/>
              <w:rPr>
                <w:rFonts w:eastAsia="Times New Roman"/>
              </w:rPr>
            </w:pPr>
            <w:r w:rsidRPr="009526BA">
              <w:rPr>
                <w:rFonts w:eastAsia="Times New Roman"/>
                <w:color w:val="000000"/>
                <w:kern w:val="22"/>
                <w:sz w:val="17"/>
                <w:u w:val="single"/>
                <w:lang w:val="es-ES"/>
              </w:rPr>
              <w:t>Menos</w:t>
            </w:r>
            <w:r>
              <w:rPr>
                <w:rFonts w:eastAsia="Times New Roman"/>
                <w:color w:val="000000"/>
                <w:kern w:val="22"/>
                <w:sz w:val="17"/>
                <w:lang w:val="es-ES"/>
              </w:rPr>
              <w:t xml:space="preserve">: </w:t>
            </w:r>
            <w:r w:rsidR="009526BA">
              <w:rPr>
                <w:rFonts w:eastAsia="Times New Roman"/>
                <w:color w:val="000000"/>
                <w:kern w:val="22"/>
                <w:sz w:val="17"/>
                <w:lang w:val="es-ES"/>
              </w:rPr>
              <w:t xml:space="preserve"> </w:t>
            </w:r>
            <w:r>
              <w:rPr>
                <w:rFonts w:eastAsia="Times New Roman"/>
                <w:color w:val="000000"/>
                <w:kern w:val="22"/>
                <w:sz w:val="17"/>
                <w:lang w:val="es-ES"/>
              </w:rPr>
              <w:t>Empleo de fondos de reserva para reuniones extraordinarias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(127,1)</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(94,9)</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(222,0)</w:t>
            </w:r>
          </w:p>
        </w:tc>
      </w:tr>
      <w:tr w:rsidR="00311468" w:rsidTr="004C337D">
        <w:trPr>
          <w:trHeight w:val="288"/>
        </w:trPr>
        <w:tc>
          <w:tcPr>
            <w:tcW w:w="4693" w:type="dxa"/>
            <w:tcBorders>
              <w:top w:val="nil"/>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color w:val="000000"/>
                <w:kern w:val="22"/>
                <w:sz w:val="17"/>
                <w:u w:val="single"/>
                <w:lang w:val="es-ES"/>
              </w:rPr>
              <w:t>Menos</w:t>
            </w:r>
            <w:r>
              <w:rPr>
                <w:rFonts w:eastAsia="Times New Roman"/>
                <w:color w:val="000000"/>
                <w:kern w:val="22"/>
                <w:sz w:val="17"/>
                <w:lang w:val="es-ES"/>
              </w:rPr>
              <w:t>:  Empleo de fondos de reserva de años anteriores</w:t>
            </w:r>
          </w:p>
        </w:tc>
        <w:tc>
          <w:tcPr>
            <w:tcW w:w="1418"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 (129,5)</w:t>
            </w:r>
          </w:p>
        </w:tc>
        <w:tc>
          <w:tcPr>
            <w:tcW w:w="136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(129,5)</w:t>
            </w:r>
          </w:p>
        </w:tc>
        <w:tc>
          <w:tcPr>
            <w:tcW w:w="1640"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(259,0)</w:t>
            </w:r>
          </w:p>
        </w:tc>
      </w:tr>
      <w:tr w:rsidR="00311468" w:rsidTr="004C337D">
        <w:trPr>
          <w:trHeight w:val="300"/>
        </w:trPr>
        <w:tc>
          <w:tcPr>
            <w:tcW w:w="4693" w:type="dxa"/>
            <w:tcBorders>
              <w:top w:val="single" w:sz="4" w:space="0" w:color="auto"/>
              <w:left w:val="nil"/>
              <w:bottom w:val="single" w:sz="8" w:space="0" w:color="auto"/>
              <w:right w:val="nil"/>
            </w:tcBorders>
            <w:vAlign w:val="center"/>
          </w:tcPr>
          <w:p w:rsidR="00311468" w:rsidRDefault="00311468" w:rsidP="006A15ED">
            <w:pPr>
              <w:suppressLineNumbers/>
              <w:suppressAutoHyphens/>
              <w:jc w:val="left"/>
              <w:rPr>
                <w:rFonts w:eastAsia="Times New Roman"/>
              </w:rPr>
            </w:pPr>
            <w:r>
              <w:rPr>
                <w:rFonts w:eastAsia="Times New Roman"/>
                <w:color w:val="000000"/>
                <w:kern w:val="22"/>
                <w:sz w:val="17"/>
                <w:lang w:val="es-ES"/>
              </w:rPr>
              <w:t>Total neto (monto dividido entre las Partes)</w:t>
            </w:r>
          </w:p>
        </w:tc>
        <w:tc>
          <w:tcPr>
            <w:tcW w:w="1418" w:type="dxa"/>
            <w:tcBorders>
              <w:top w:val="single" w:sz="4" w:space="0" w:color="auto"/>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2 401,4</w:t>
            </w:r>
          </w:p>
        </w:tc>
        <w:tc>
          <w:tcPr>
            <w:tcW w:w="1369" w:type="dxa"/>
            <w:tcBorders>
              <w:top w:val="single" w:sz="4" w:space="0" w:color="auto"/>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2 546,4</w:t>
            </w:r>
          </w:p>
        </w:tc>
        <w:tc>
          <w:tcPr>
            <w:tcW w:w="1640" w:type="dxa"/>
            <w:tcBorders>
              <w:top w:val="single" w:sz="4" w:space="0" w:color="auto"/>
              <w:left w:val="nil"/>
              <w:bottom w:val="single" w:sz="8" w:space="0" w:color="auto"/>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4 947,8</w:t>
            </w:r>
          </w:p>
        </w:tc>
      </w:tr>
    </w:tbl>
    <w:p w:rsidR="00311468" w:rsidRDefault="00311468">
      <w:pPr>
        <w:suppressLineNumbers/>
        <w:suppressAutoHyphens/>
        <w:jc w:val="left"/>
        <w:rPr>
          <w:rFonts w:eastAsia="Times New Roman"/>
          <w:kern w:val="22"/>
          <w:lang w:val="es-ES"/>
        </w:rPr>
      </w:pPr>
    </w:p>
    <w:p w:rsidR="00311468" w:rsidRDefault="00311468">
      <w:pPr>
        <w:suppressLineNumbers/>
        <w:suppressAutoHyphens/>
        <w:jc w:val="left"/>
        <w:rPr>
          <w:rFonts w:eastAsia="Times New Roman"/>
          <w:kern w:val="22"/>
          <w:lang w:val="es-ES"/>
        </w:rPr>
      </w:pPr>
    </w:p>
    <w:p w:rsidR="00311468" w:rsidRDefault="00311468">
      <w:pPr>
        <w:keepNext/>
        <w:suppressLineNumbers/>
        <w:suppressAutoHyphens/>
        <w:spacing w:before="120" w:after="120"/>
        <w:ind w:left="1260" w:hanging="1260"/>
        <w:rPr>
          <w:rFonts w:eastAsia="Times New Roman"/>
          <w:lang w:val="es-ES"/>
        </w:rPr>
      </w:pPr>
      <w:r>
        <w:rPr>
          <w:rFonts w:eastAsia="Times New Roman"/>
          <w:b/>
          <w:kern w:val="22"/>
          <w:lang w:val="es-ES"/>
        </w:rPr>
        <w:lastRenderedPageBreak/>
        <w:t>Cuadro 1b.</w:t>
      </w:r>
      <w:r>
        <w:rPr>
          <w:rFonts w:eastAsia="Times New Roman"/>
          <w:b/>
          <w:kern w:val="22"/>
          <w:lang w:val="es-ES"/>
        </w:rPr>
        <w:tab/>
        <w:t>Presupuesto bienal integrado para los Fondos Fiduciarios del Convenio sobre la Diversidad Biológica y sus Protocolos, 2019-2020 (por objeto de gastos)</w:t>
      </w:r>
    </w:p>
    <w:p w:rsidR="00311468" w:rsidRDefault="00311468">
      <w:pPr>
        <w:keepNext/>
        <w:suppressLineNumbers/>
        <w:suppressAutoHyphens/>
        <w:spacing w:before="120" w:after="120"/>
        <w:ind w:left="990" w:hanging="990"/>
        <w:rPr>
          <w:rFonts w:ascii="Malgun Gothic" w:eastAsia="Malgun Gothic"/>
          <w:b/>
          <w:i/>
          <w:kern w:val="22"/>
          <w:lang w:val="es-ES"/>
        </w:rPr>
      </w:pPr>
    </w:p>
    <w:tbl>
      <w:tblPr>
        <w:tblW w:w="9934" w:type="dxa"/>
        <w:tblInd w:w="93" w:type="dxa"/>
        <w:tblLayout w:type="fixed"/>
        <w:tblLook w:val="00A0"/>
      </w:tblPr>
      <w:tblGrid>
        <w:gridCol w:w="582"/>
        <w:gridCol w:w="142"/>
        <w:gridCol w:w="2554"/>
        <w:gridCol w:w="2830"/>
        <w:gridCol w:w="1159"/>
        <w:gridCol w:w="1159"/>
        <w:gridCol w:w="1159"/>
        <w:gridCol w:w="349"/>
      </w:tblGrid>
      <w:tr w:rsidR="00311468" w:rsidTr="006A15E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vMerge w:val="restart"/>
            <w:tcBorders>
              <w:top w:val="single" w:sz="8" w:space="0" w:color="auto"/>
              <w:left w:val="nil"/>
              <w:bottom w:val="single" w:sz="8" w:space="0" w:color="000000"/>
              <w:right w:val="nil"/>
            </w:tcBorders>
            <w:vAlign w:val="center"/>
          </w:tcPr>
          <w:p w:rsidR="00311468" w:rsidRDefault="00311468">
            <w:pPr>
              <w:suppressLineNumbers/>
              <w:suppressAutoHyphens/>
              <w:jc w:val="center"/>
              <w:rPr>
                <w:rFonts w:eastAsia="Times New Roman"/>
              </w:rPr>
            </w:pPr>
            <w:r>
              <w:rPr>
                <w:rFonts w:eastAsia="Times New Roman"/>
                <w:b/>
                <w:i/>
                <w:color w:val="000000"/>
                <w:kern w:val="22"/>
                <w:sz w:val="17"/>
                <w:lang w:val="es-ES"/>
              </w:rPr>
              <w:t>Objeto de gastos</w:t>
            </w:r>
          </w:p>
        </w:tc>
        <w:tc>
          <w:tcPr>
            <w:tcW w:w="1159" w:type="dxa"/>
            <w:tcBorders>
              <w:top w:val="single" w:sz="8" w:space="0" w:color="auto"/>
              <w:left w:val="nil"/>
              <w:bottom w:val="nil"/>
              <w:right w:val="nil"/>
            </w:tcBorders>
            <w:vAlign w:val="center"/>
          </w:tcPr>
          <w:p w:rsidR="00311468" w:rsidRPr="004C337D" w:rsidRDefault="00311468">
            <w:pPr>
              <w:suppressLineNumbers/>
              <w:suppressAutoHyphens/>
              <w:jc w:val="center"/>
              <w:rPr>
                <w:rFonts w:eastAsia="Times New Roman"/>
                <w:i/>
                <w:color w:val="000000"/>
                <w:kern w:val="22"/>
                <w:sz w:val="17"/>
                <w:lang w:val="es-ES"/>
              </w:rPr>
            </w:pPr>
            <w:r w:rsidRPr="004C337D">
              <w:rPr>
                <w:rFonts w:eastAsia="Times New Roman"/>
                <w:i/>
                <w:color w:val="000000"/>
                <w:kern w:val="22"/>
                <w:sz w:val="17"/>
                <w:lang w:val="es-ES"/>
              </w:rPr>
              <w:t>2019</w:t>
            </w:r>
          </w:p>
        </w:tc>
        <w:tc>
          <w:tcPr>
            <w:tcW w:w="1159" w:type="dxa"/>
            <w:tcBorders>
              <w:top w:val="single" w:sz="8" w:space="0" w:color="auto"/>
              <w:left w:val="nil"/>
              <w:bottom w:val="nil"/>
              <w:right w:val="nil"/>
            </w:tcBorders>
            <w:vAlign w:val="center"/>
          </w:tcPr>
          <w:p w:rsidR="00311468" w:rsidRPr="004C337D" w:rsidRDefault="00311468">
            <w:pPr>
              <w:suppressLineNumbers/>
              <w:suppressAutoHyphens/>
              <w:jc w:val="center"/>
              <w:rPr>
                <w:rFonts w:eastAsia="Times New Roman"/>
                <w:i/>
                <w:color w:val="000000"/>
                <w:kern w:val="22"/>
                <w:sz w:val="17"/>
                <w:lang w:val="es-ES"/>
              </w:rPr>
            </w:pPr>
            <w:r w:rsidRPr="004C337D">
              <w:rPr>
                <w:rFonts w:eastAsia="Times New Roman"/>
                <w:i/>
                <w:color w:val="000000"/>
                <w:kern w:val="22"/>
                <w:sz w:val="17"/>
                <w:lang w:val="es-ES"/>
              </w:rPr>
              <w:t>2020</w:t>
            </w:r>
          </w:p>
        </w:tc>
        <w:tc>
          <w:tcPr>
            <w:tcW w:w="1159" w:type="dxa"/>
            <w:tcBorders>
              <w:top w:val="single" w:sz="8" w:space="0" w:color="auto"/>
              <w:left w:val="nil"/>
              <w:bottom w:val="nil"/>
              <w:right w:val="nil"/>
            </w:tcBorders>
            <w:vAlign w:val="center"/>
          </w:tcPr>
          <w:p w:rsidR="00311468" w:rsidRPr="004C337D" w:rsidRDefault="00311468">
            <w:pPr>
              <w:suppressLineNumbers/>
              <w:suppressAutoHyphens/>
              <w:jc w:val="center"/>
              <w:rPr>
                <w:rFonts w:eastAsia="Times New Roman"/>
              </w:rPr>
            </w:pPr>
            <w:r w:rsidRPr="004C337D">
              <w:rPr>
                <w:rFonts w:eastAsia="Times New Roman"/>
                <w:i/>
                <w:color w:val="000000"/>
                <w:kern w:val="22"/>
                <w:sz w:val="17"/>
                <w:lang w:val="es-ES"/>
              </w:rPr>
              <w:t>Total</w:t>
            </w:r>
          </w:p>
        </w:tc>
      </w:tr>
      <w:tr w:rsidR="00311468" w:rsidTr="006A15E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vMerge/>
            <w:tcBorders>
              <w:top w:val="nil"/>
              <w:left w:val="nil"/>
              <w:bottom w:val="nil"/>
              <w:right w:val="nil"/>
            </w:tcBorders>
            <w:vAlign w:val="center"/>
          </w:tcPr>
          <w:p w:rsidR="00311468" w:rsidRDefault="00311468">
            <w:pPr>
              <w:suppressLineNumbers/>
              <w:suppressAutoHyphens/>
              <w:rPr>
                <w:rFonts w:eastAsia="Times New Roman"/>
                <w:b/>
                <w:i/>
                <w:color w:val="000000"/>
                <w:kern w:val="22"/>
                <w:sz w:val="17"/>
                <w:lang w:val="es-ES"/>
              </w:rPr>
            </w:pPr>
          </w:p>
        </w:tc>
        <w:tc>
          <w:tcPr>
            <w:tcW w:w="3477" w:type="dxa"/>
            <w:gridSpan w:val="3"/>
            <w:tcBorders>
              <w:top w:val="nil"/>
              <w:left w:val="nil"/>
              <w:bottom w:val="nil"/>
              <w:right w:val="nil"/>
            </w:tcBorders>
            <w:vAlign w:val="center"/>
          </w:tcPr>
          <w:p w:rsidR="00311468" w:rsidRDefault="00311468">
            <w:pPr>
              <w:suppressLineNumbers/>
              <w:suppressAutoHyphens/>
              <w:jc w:val="center"/>
              <w:rPr>
                <w:rFonts w:eastAsia="Times New Roman"/>
              </w:rPr>
            </w:pPr>
            <w:r>
              <w:rPr>
                <w:rFonts w:eastAsia="Times New Roman"/>
                <w:i/>
                <w:color w:val="000000"/>
                <w:kern w:val="22"/>
                <w:sz w:val="17"/>
                <w:lang w:val="es-ES"/>
              </w:rPr>
              <w:t>(En miles de dólares de los Estados Unidos)</w:t>
            </w:r>
          </w:p>
        </w:tc>
      </w:tr>
      <w:tr w:rsidR="00311468" w:rsidTr="006A15ED">
        <w:trPr>
          <w:gridAfter w:val="1"/>
          <w:wAfter w:w="349" w:type="dxa"/>
          <w:trHeight w:val="48"/>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vMerge/>
            <w:tcBorders>
              <w:top w:val="nil"/>
              <w:left w:val="nil"/>
              <w:bottom w:val="nil"/>
              <w:right w:val="nil"/>
            </w:tcBorders>
            <w:vAlign w:val="center"/>
          </w:tcPr>
          <w:p w:rsidR="00311468" w:rsidRDefault="00311468">
            <w:pPr>
              <w:suppressLineNumbers/>
              <w:suppressAutoHyphens/>
              <w:rPr>
                <w:rFonts w:eastAsia="Times New Roman"/>
                <w:b/>
                <w:i/>
                <w:color w:val="000000"/>
                <w:kern w:val="22"/>
                <w:sz w:val="17"/>
                <w:lang w:val="es-ES"/>
              </w:rPr>
            </w:pPr>
          </w:p>
        </w:tc>
        <w:tc>
          <w:tcPr>
            <w:tcW w:w="1159" w:type="dxa"/>
            <w:tcBorders>
              <w:top w:val="nil"/>
              <w:left w:val="nil"/>
              <w:bottom w:val="single" w:sz="8" w:space="0" w:color="auto"/>
              <w:right w:val="nil"/>
            </w:tcBorders>
            <w:vAlign w:val="center"/>
          </w:tcPr>
          <w:p w:rsidR="00311468" w:rsidRDefault="00311468">
            <w:pPr>
              <w:suppressLineNumbers/>
              <w:suppressAutoHyphens/>
              <w:jc w:val="center"/>
              <w:rPr>
                <w:rFonts w:eastAsia="Times New Roman"/>
                <w:b/>
                <w:color w:val="000000"/>
                <w:kern w:val="22"/>
                <w:sz w:val="17"/>
                <w:lang w:val="es-ES"/>
              </w:rPr>
            </w:pPr>
          </w:p>
        </w:tc>
        <w:tc>
          <w:tcPr>
            <w:tcW w:w="1159" w:type="dxa"/>
            <w:tcBorders>
              <w:top w:val="nil"/>
              <w:left w:val="nil"/>
              <w:bottom w:val="single" w:sz="8" w:space="0" w:color="auto"/>
              <w:right w:val="nil"/>
            </w:tcBorders>
            <w:vAlign w:val="center"/>
          </w:tcPr>
          <w:p w:rsidR="00311468" w:rsidRDefault="00311468">
            <w:pPr>
              <w:suppressLineNumbers/>
              <w:suppressAutoHyphens/>
              <w:jc w:val="center"/>
              <w:rPr>
                <w:rFonts w:eastAsia="Times New Roman"/>
                <w:b/>
                <w:color w:val="000000"/>
                <w:kern w:val="22"/>
                <w:sz w:val="17"/>
                <w:lang w:val="es-ES"/>
              </w:rPr>
            </w:pPr>
          </w:p>
        </w:tc>
        <w:tc>
          <w:tcPr>
            <w:tcW w:w="1159" w:type="dxa"/>
            <w:tcBorders>
              <w:top w:val="nil"/>
              <w:left w:val="nil"/>
              <w:bottom w:val="single" w:sz="8" w:space="0" w:color="auto"/>
              <w:right w:val="nil"/>
            </w:tcBorders>
            <w:vAlign w:val="center"/>
          </w:tcPr>
          <w:p w:rsidR="00311468" w:rsidRDefault="00311468">
            <w:pPr>
              <w:suppressLineNumbers/>
              <w:suppressAutoHyphens/>
              <w:jc w:val="center"/>
              <w:rPr>
                <w:rFonts w:eastAsia="Times New Roman"/>
                <w:b/>
                <w:color w:val="000000"/>
                <w:kern w:val="22"/>
                <w:sz w:val="17"/>
                <w:lang w:val="es-ES"/>
              </w:rPr>
            </w:pP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A.</w:t>
            </w:r>
          </w:p>
        </w:tc>
        <w:tc>
          <w:tcPr>
            <w:tcW w:w="5526" w:type="dxa"/>
            <w:gridSpan w:val="3"/>
            <w:tcBorders>
              <w:top w:val="single" w:sz="8" w:space="0" w:color="auto"/>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Gastos de personal</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11 453,9</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11 626,6</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23 080,5</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B.</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Reuniones de la Mesa</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215,0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365,0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C.</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Viajes en comisión de servicio</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400,0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400,0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800,0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D.</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kern w:val="22"/>
                <w:sz w:val="17"/>
                <w:lang w:val="es-ES"/>
              </w:rPr>
              <w:t>Consultores/Subcontratistas</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100,0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E.</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kern w:val="22"/>
                <w:sz w:val="17"/>
                <w:lang w:val="es-ES"/>
              </w:rPr>
              <w:t>Materiales de concienciación del público/comunicaciones</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100,0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F.</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Personal temporario/horas extraordinarias</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100,0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100,0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200,0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G.</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Capacitación</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5,0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5,0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H.</w:t>
            </w:r>
          </w:p>
        </w:tc>
        <w:tc>
          <w:tcPr>
            <w:tcW w:w="5526" w:type="dxa"/>
            <w:gridSpan w:val="3"/>
            <w:tcBorders>
              <w:top w:val="nil"/>
              <w:left w:val="nil"/>
              <w:bottom w:val="nil"/>
              <w:right w:val="nil"/>
            </w:tcBorders>
            <w:vAlign w:val="center"/>
          </w:tcPr>
          <w:p w:rsidR="00311468" w:rsidRPr="00591133" w:rsidRDefault="00311468" w:rsidP="00591133">
            <w:pPr>
              <w:suppressLineNumbers/>
              <w:suppressAutoHyphens/>
              <w:jc w:val="left"/>
              <w:rPr>
                <w:rFonts w:eastAsia="Times New Roman"/>
                <w:spacing w:val="-2"/>
              </w:rPr>
            </w:pPr>
            <w:r w:rsidRPr="00591133">
              <w:rPr>
                <w:rFonts w:eastAsia="Times New Roman"/>
                <w:color w:val="000000"/>
                <w:spacing w:val="-2"/>
                <w:kern w:val="22"/>
                <w:sz w:val="17"/>
                <w:lang w:val="es-ES"/>
              </w:rPr>
              <w:t>Traducción del sitio web del mecanismo de facilitación/proyectos de sitio web</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65,0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65,0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130,0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I.</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kern w:val="22"/>
                <w:sz w:val="17"/>
                <w:lang w:val="es-ES"/>
              </w:rPr>
              <w:t>Reuniones</w:t>
            </w:r>
            <w:r>
              <w:rPr>
                <w:rFonts w:eastAsia="Times New Roman"/>
                <w:kern w:val="22"/>
                <w:sz w:val="17"/>
                <w:vertAlign w:val="superscript"/>
                <w:lang w:val="es-ES"/>
              </w:rPr>
              <w:t>1/2/3</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1 569,0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2 119,0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3 688,0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J</w:t>
            </w:r>
            <w:r w:rsidR="009526BA">
              <w:rPr>
                <w:rFonts w:eastAsia="Times New Roman"/>
                <w:color w:val="000000"/>
                <w:kern w:val="22"/>
                <w:sz w:val="17"/>
                <w:lang w:val="es-ES"/>
              </w:rPr>
              <w:t>.</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Reuniones de expertos</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170,0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320,0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K.</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kern w:val="22"/>
                <w:sz w:val="17"/>
                <w:lang w:val="es-ES"/>
              </w:rPr>
              <w:t>Reuniones extraordinarias sobre el período posterior a 2020</w:t>
            </w:r>
            <w:r>
              <w:rPr>
                <w:rFonts w:eastAsia="Times New Roman"/>
                <w:kern w:val="22"/>
                <w:sz w:val="17"/>
                <w:vertAlign w:val="superscript"/>
                <w:lang w:val="es-ES"/>
              </w:rPr>
              <w:t>4/</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750,0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560,0</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1 310,0</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color w:val="000000"/>
                <w:kern w:val="22"/>
                <w:sz w:val="17"/>
                <w:lang w:val="es-ES"/>
              </w:rPr>
              <w:t>L.</w:t>
            </w:r>
          </w:p>
        </w:tc>
        <w:tc>
          <w:tcPr>
            <w:tcW w:w="5526" w:type="dxa"/>
            <w:gridSpan w:val="3"/>
            <w:tcBorders>
              <w:top w:val="nil"/>
              <w:left w:val="nil"/>
              <w:bottom w:val="nil"/>
              <w:right w:val="nil"/>
            </w:tcBorders>
            <w:vAlign w:val="center"/>
          </w:tcPr>
          <w:p w:rsidR="00311468" w:rsidRDefault="00311468" w:rsidP="00591133">
            <w:pPr>
              <w:suppressLineNumbers/>
              <w:suppressAutoHyphens/>
              <w:jc w:val="left"/>
              <w:rPr>
                <w:rFonts w:eastAsia="Times New Roman"/>
              </w:rPr>
            </w:pPr>
            <w:r>
              <w:rPr>
                <w:rFonts w:eastAsia="Times New Roman"/>
                <w:kern w:val="22"/>
                <w:sz w:val="17"/>
                <w:lang w:val="es-ES"/>
              </w:rPr>
              <w:t>Alquiler y gastos relacionados</w:t>
            </w:r>
            <w:r>
              <w:rPr>
                <w:rFonts w:eastAsia="Times New Roman"/>
                <w:kern w:val="22"/>
                <w:sz w:val="17"/>
                <w:vertAlign w:val="superscript"/>
                <w:lang w:val="es-ES"/>
              </w:rPr>
              <w:t>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1 229,5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1 423,4</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2 652,9</w:t>
            </w:r>
          </w:p>
        </w:tc>
      </w:tr>
      <w:tr w:rsidR="00311468" w:rsidTr="00591133">
        <w:trPr>
          <w:gridAfter w:val="1"/>
          <w:wAfter w:w="349" w:type="dxa"/>
          <w:trHeight w:val="261"/>
        </w:trPr>
        <w:tc>
          <w:tcPr>
            <w:tcW w:w="582" w:type="dxa"/>
            <w:tcBorders>
              <w:top w:val="nil"/>
              <w:left w:val="nil"/>
              <w:bottom w:val="nil"/>
              <w:right w:val="nil"/>
            </w:tcBorders>
            <w:noWrap/>
            <w:vAlign w:val="center"/>
          </w:tcPr>
          <w:p w:rsidR="00311468" w:rsidRPr="006A15ED" w:rsidRDefault="00311468" w:rsidP="006A15ED">
            <w:pPr>
              <w:suppressLineNumbers/>
              <w:suppressAutoHyphens/>
              <w:jc w:val="center"/>
              <w:rPr>
                <w:rFonts w:eastAsia="Times New Roman"/>
              </w:rPr>
            </w:pPr>
            <w:r>
              <w:rPr>
                <w:rFonts w:eastAsia="Times New Roman"/>
                <w:color w:val="000000"/>
                <w:kern w:val="22"/>
                <w:sz w:val="17"/>
                <w:lang w:val="es-ES"/>
              </w:rPr>
              <w:t>M.</w:t>
            </w:r>
          </w:p>
        </w:tc>
        <w:tc>
          <w:tcPr>
            <w:tcW w:w="5526" w:type="dxa"/>
            <w:gridSpan w:val="3"/>
            <w:tcBorders>
              <w:top w:val="nil"/>
              <w:left w:val="nil"/>
              <w:bottom w:val="single" w:sz="4" w:space="0" w:color="auto"/>
              <w:right w:val="nil"/>
            </w:tcBorders>
            <w:vAlign w:val="center"/>
          </w:tcPr>
          <w:p w:rsidR="00311468" w:rsidRDefault="00311468" w:rsidP="00591133">
            <w:pPr>
              <w:suppressLineNumbers/>
              <w:suppressAutoHyphens/>
              <w:jc w:val="left"/>
              <w:rPr>
                <w:rFonts w:eastAsia="Times New Roman"/>
              </w:rPr>
            </w:pPr>
            <w:r>
              <w:rPr>
                <w:rFonts w:eastAsia="Times New Roman"/>
                <w:color w:val="000000"/>
                <w:kern w:val="22"/>
                <w:sz w:val="17"/>
                <w:lang w:val="es-ES"/>
              </w:rPr>
              <w:t>Gastos generales de funcionamiento</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726,6</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726,6</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color w:val="000000"/>
                <w:kern w:val="22"/>
                <w:sz w:val="17"/>
                <w:lang w:val="es-ES"/>
              </w:rPr>
            </w:pPr>
            <w:r>
              <w:rPr>
                <w:rFonts w:eastAsia="Times New Roman"/>
                <w:color w:val="000000"/>
                <w:kern w:val="22"/>
                <w:sz w:val="17"/>
                <w:lang w:val="es-ES"/>
              </w:rPr>
              <w:t>1 453,2</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b/>
                <w:color w:val="000000"/>
                <w:kern w:val="22"/>
                <w:sz w:val="17"/>
                <w:lang w:val="es-ES"/>
              </w:rPr>
            </w:pPr>
          </w:p>
        </w:tc>
        <w:tc>
          <w:tcPr>
            <w:tcW w:w="5526" w:type="dxa"/>
            <w:gridSpan w:val="3"/>
            <w:tcBorders>
              <w:top w:val="single" w:sz="4" w:space="0" w:color="auto"/>
              <w:left w:val="nil"/>
              <w:bottom w:val="single" w:sz="4" w:space="0" w:color="auto"/>
              <w:right w:val="nil"/>
            </w:tcBorders>
            <w:vAlign w:val="center"/>
          </w:tcPr>
          <w:p w:rsidR="00311468" w:rsidRDefault="00311468" w:rsidP="006A15ED">
            <w:pPr>
              <w:suppressLineNumbers/>
              <w:suppressAutoHyphens/>
              <w:jc w:val="left"/>
              <w:rPr>
                <w:rFonts w:eastAsia="Times New Roman"/>
              </w:rPr>
            </w:pPr>
            <w:r>
              <w:rPr>
                <w:rFonts w:eastAsia="Times New Roman"/>
                <w:b/>
                <w:kern w:val="22"/>
                <w:sz w:val="17"/>
                <w:lang w:val="es-ES"/>
              </w:rPr>
              <w:t>Subtotal (I)</w:t>
            </w:r>
          </w:p>
        </w:tc>
        <w:tc>
          <w:tcPr>
            <w:tcW w:w="1159" w:type="dxa"/>
            <w:tcBorders>
              <w:top w:val="single" w:sz="4" w:space="0" w:color="auto"/>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16 719,0</w:t>
            </w:r>
          </w:p>
        </w:tc>
        <w:tc>
          <w:tcPr>
            <w:tcW w:w="1159" w:type="dxa"/>
            <w:tcBorders>
              <w:top w:val="single" w:sz="4" w:space="0" w:color="auto"/>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17 490,6</w:t>
            </w:r>
          </w:p>
        </w:tc>
        <w:tc>
          <w:tcPr>
            <w:tcW w:w="1159" w:type="dxa"/>
            <w:tcBorders>
              <w:top w:val="single" w:sz="4" w:space="0" w:color="auto"/>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34 209,6</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b/>
                <w:color w:val="000000"/>
                <w:kern w:val="22"/>
                <w:sz w:val="17"/>
                <w:lang w:val="es-ES"/>
              </w:rPr>
              <w:t>II</w:t>
            </w:r>
          </w:p>
        </w:tc>
        <w:tc>
          <w:tcPr>
            <w:tcW w:w="5526" w:type="dxa"/>
            <w:gridSpan w:val="3"/>
            <w:tcBorders>
              <w:top w:val="single" w:sz="4" w:space="0" w:color="auto"/>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b/>
                <w:kern w:val="22"/>
                <w:sz w:val="17"/>
                <w:lang w:val="es-ES"/>
              </w:rPr>
              <w:t>Gastos de apoyo a los programas (13%)</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2 173,5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2 273,8</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4 447,2</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b/>
                <w:color w:val="000000"/>
                <w:kern w:val="22"/>
                <w:sz w:val="17"/>
                <w:lang w:val="es-ES"/>
              </w:rPr>
            </w:pPr>
          </w:p>
        </w:tc>
        <w:tc>
          <w:tcPr>
            <w:tcW w:w="5526" w:type="dxa"/>
            <w:gridSpan w:val="3"/>
            <w:tcBorders>
              <w:top w:val="nil"/>
              <w:left w:val="nil"/>
              <w:bottom w:val="single" w:sz="4" w:space="0" w:color="auto"/>
              <w:right w:val="nil"/>
            </w:tcBorders>
            <w:vAlign w:val="center"/>
          </w:tcPr>
          <w:p w:rsidR="00311468" w:rsidRDefault="00311468" w:rsidP="006A15ED">
            <w:pPr>
              <w:suppressLineNumbers/>
              <w:suppressAutoHyphens/>
              <w:jc w:val="left"/>
              <w:rPr>
                <w:rFonts w:eastAsia="Times New Roman"/>
              </w:rPr>
            </w:pPr>
            <w:r>
              <w:rPr>
                <w:rFonts w:eastAsia="Times New Roman"/>
                <w:b/>
                <w:kern w:val="22"/>
                <w:sz w:val="17"/>
                <w:lang w:val="es-ES"/>
              </w:rPr>
              <w:t>Subtotal (I + II)</w:t>
            </w:r>
          </w:p>
        </w:tc>
        <w:tc>
          <w:tcPr>
            <w:tcW w:w="115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18 892,4</w:t>
            </w:r>
          </w:p>
        </w:tc>
        <w:tc>
          <w:tcPr>
            <w:tcW w:w="115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19 764,4</w:t>
            </w:r>
          </w:p>
        </w:tc>
        <w:tc>
          <w:tcPr>
            <w:tcW w:w="115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38 656,8</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rsidP="006A15ED">
            <w:pPr>
              <w:suppressLineNumbers/>
              <w:suppressAutoHyphens/>
              <w:jc w:val="center"/>
              <w:rPr>
                <w:rFonts w:eastAsia="Times New Roman"/>
              </w:rPr>
            </w:pPr>
            <w:r>
              <w:rPr>
                <w:rFonts w:eastAsia="Times New Roman"/>
                <w:b/>
                <w:color w:val="000000"/>
                <w:kern w:val="22"/>
                <w:sz w:val="17"/>
                <w:lang w:val="es-ES"/>
              </w:rPr>
              <w:t>III.</w:t>
            </w:r>
          </w:p>
        </w:tc>
        <w:tc>
          <w:tcPr>
            <w:tcW w:w="5526" w:type="dxa"/>
            <w:gridSpan w:val="3"/>
            <w:tcBorders>
              <w:top w:val="single" w:sz="4" w:space="0" w:color="auto"/>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kern w:val="22"/>
                <w:sz w:val="17"/>
                <w:lang w:val="es-ES"/>
              </w:rPr>
              <w:t>Reserva operacional</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 xml:space="preserve">56,6 </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130,8</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187,3</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b/>
                <w:color w:val="000000"/>
                <w:kern w:val="22"/>
                <w:sz w:val="17"/>
                <w:lang w:val="es-ES"/>
              </w:rPr>
            </w:pPr>
          </w:p>
        </w:tc>
        <w:tc>
          <w:tcPr>
            <w:tcW w:w="5526" w:type="dxa"/>
            <w:gridSpan w:val="3"/>
            <w:tcBorders>
              <w:top w:val="nil"/>
              <w:left w:val="nil"/>
              <w:bottom w:val="single" w:sz="8" w:space="0" w:color="auto"/>
              <w:right w:val="nil"/>
            </w:tcBorders>
            <w:vAlign w:val="center"/>
          </w:tcPr>
          <w:p w:rsidR="00311468" w:rsidRDefault="00311468" w:rsidP="006A15ED">
            <w:pPr>
              <w:suppressLineNumbers/>
              <w:suppressAutoHyphens/>
              <w:jc w:val="left"/>
              <w:rPr>
                <w:rFonts w:eastAsia="Times New Roman"/>
              </w:rPr>
            </w:pPr>
            <w:r>
              <w:rPr>
                <w:rFonts w:eastAsia="Times New Roman"/>
                <w:b/>
                <w:color w:val="000000"/>
                <w:kern w:val="22"/>
                <w:sz w:val="17"/>
                <w:lang w:val="es-ES"/>
              </w:rPr>
              <w:t>Total general (II +III)</w:t>
            </w:r>
          </w:p>
        </w:tc>
        <w:tc>
          <w:tcPr>
            <w:tcW w:w="115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18 949,0</w:t>
            </w:r>
          </w:p>
        </w:tc>
        <w:tc>
          <w:tcPr>
            <w:tcW w:w="115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19 895,1</w:t>
            </w:r>
          </w:p>
        </w:tc>
        <w:tc>
          <w:tcPr>
            <w:tcW w:w="115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b/>
                <w:color w:val="000000"/>
                <w:kern w:val="22"/>
                <w:sz w:val="17"/>
                <w:lang w:val="es-ES"/>
              </w:rPr>
            </w:pPr>
            <w:r>
              <w:rPr>
                <w:rFonts w:eastAsia="Times New Roman"/>
                <w:b/>
                <w:color w:val="000000"/>
                <w:kern w:val="22"/>
                <w:sz w:val="17"/>
                <w:lang w:val="es-ES"/>
              </w:rPr>
              <w:t>38 844,1</w:t>
            </w:r>
          </w:p>
        </w:tc>
      </w:tr>
      <w:tr w:rsidR="00311468" w:rsidTr="004C337D">
        <w:trPr>
          <w:gridAfter w:val="1"/>
          <w:wAfter w:w="349" w:type="dxa"/>
          <w:trHeight w:val="396"/>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tcBorders>
              <w:top w:val="single" w:sz="8" w:space="0" w:color="auto"/>
              <w:left w:val="nil"/>
              <w:bottom w:val="single" w:sz="8" w:space="0" w:color="auto"/>
              <w:right w:val="nil"/>
            </w:tcBorders>
            <w:vAlign w:val="center"/>
          </w:tcPr>
          <w:p w:rsidR="00311468" w:rsidRDefault="00311468" w:rsidP="006A15ED">
            <w:pPr>
              <w:suppressLineNumbers/>
              <w:suppressAutoHyphens/>
              <w:jc w:val="left"/>
              <w:rPr>
                <w:rFonts w:eastAsia="Times New Roman"/>
              </w:rPr>
            </w:pPr>
            <w:r>
              <w:rPr>
                <w:rFonts w:eastAsia="Times New Roman"/>
                <w:kern w:val="22"/>
                <w:sz w:val="17"/>
                <w:lang w:val="es-ES"/>
              </w:rPr>
              <w:t>Porcentaje del presupuesto integrado que corresponde al Protocolo de Cartagena (15%)</w:t>
            </w:r>
          </w:p>
        </w:tc>
        <w:tc>
          <w:tcPr>
            <w:tcW w:w="115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2 842,3</w:t>
            </w:r>
          </w:p>
        </w:tc>
        <w:tc>
          <w:tcPr>
            <w:tcW w:w="115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2 984,3</w:t>
            </w:r>
          </w:p>
        </w:tc>
        <w:tc>
          <w:tcPr>
            <w:tcW w:w="1159" w:type="dxa"/>
            <w:tcBorders>
              <w:top w:val="nil"/>
              <w:left w:val="nil"/>
              <w:bottom w:val="single" w:sz="8" w:space="0" w:color="auto"/>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5 826,6</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tcBorders>
              <w:top w:val="nil"/>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kern w:val="22"/>
                <w:sz w:val="17"/>
                <w:u w:val="single"/>
                <w:lang w:val="es-ES"/>
              </w:rPr>
              <w:t>Menos</w:t>
            </w:r>
            <w:r>
              <w:rPr>
                <w:rFonts w:eastAsia="Times New Roman"/>
                <w:kern w:val="22"/>
                <w:sz w:val="17"/>
                <w:lang w:val="es-ES"/>
              </w:rPr>
              <w:t xml:space="preserve"> la contribución del país anfitrión</w:t>
            </w:r>
            <w:r>
              <w:rPr>
                <w:rFonts w:eastAsia="Times New Roman"/>
                <w:kern w:val="22"/>
                <w:sz w:val="17"/>
                <w:vertAlign w:val="superscript"/>
                <w:lang w:val="es-ES"/>
              </w:rPr>
              <w:t>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(184,4)</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(213,5)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(397,9)</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tcBorders>
              <w:top w:val="nil"/>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kern w:val="22"/>
                <w:sz w:val="17"/>
                <w:u w:val="single"/>
                <w:lang w:val="es-ES"/>
              </w:rPr>
              <w:t>Menos</w:t>
            </w:r>
            <w:r>
              <w:rPr>
                <w:rFonts w:eastAsia="Times New Roman"/>
                <w:kern w:val="22"/>
                <w:sz w:val="17"/>
                <w:lang w:val="es-ES"/>
              </w:rPr>
              <w:t xml:space="preserve"> el empleo de fondos de reserva para reuniones extraordinarias</w:t>
            </w:r>
            <w:r>
              <w:rPr>
                <w:rFonts w:eastAsia="Times New Roman"/>
                <w:kern w:val="22"/>
                <w:sz w:val="17"/>
                <w:vertAlign w:val="superscript"/>
                <w:lang w:val="es-ES"/>
              </w:rPr>
              <w:t>/4</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(127,1)</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(94,9)</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(222,0)</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tcBorders>
              <w:top w:val="nil"/>
              <w:left w:val="nil"/>
              <w:bottom w:val="nil"/>
              <w:right w:val="nil"/>
            </w:tcBorders>
            <w:vAlign w:val="center"/>
          </w:tcPr>
          <w:p w:rsidR="00311468" w:rsidRDefault="00311468" w:rsidP="006A15ED">
            <w:pPr>
              <w:suppressLineNumbers/>
              <w:suppressAutoHyphens/>
              <w:jc w:val="left"/>
              <w:rPr>
                <w:rFonts w:eastAsia="Times New Roman"/>
              </w:rPr>
            </w:pPr>
            <w:r>
              <w:rPr>
                <w:rFonts w:eastAsia="Times New Roman"/>
                <w:kern w:val="22"/>
                <w:sz w:val="17"/>
                <w:u w:val="single"/>
                <w:lang w:val="es-ES"/>
              </w:rPr>
              <w:t>Menos</w:t>
            </w:r>
            <w:r>
              <w:rPr>
                <w:rFonts w:eastAsia="Times New Roman"/>
                <w:kern w:val="22"/>
                <w:sz w:val="17"/>
                <w:lang w:val="es-ES"/>
              </w:rPr>
              <w:t xml:space="preserve"> el empleo de fondos de reserva de años anteriores</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(129,5)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(129,5)</w:t>
            </w:r>
          </w:p>
        </w:tc>
        <w:tc>
          <w:tcPr>
            <w:tcW w:w="1159" w:type="dxa"/>
            <w:tcBorders>
              <w:top w:val="nil"/>
              <w:left w:val="nil"/>
              <w:bottom w:val="nil"/>
              <w:right w:val="nil"/>
            </w:tcBorders>
            <w:vAlign w:val="center"/>
          </w:tcPr>
          <w:p w:rsidR="00311468" w:rsidRDefault="00311468" w:rsidP="004C337D">
            <w:pPr>
              <w:suppressLineNumbers/>
              <w:suppressAutoHyphens/>
              <w:jc w:val="right"/>
              <w:rPr>
                <w:rFonts w:eastAsia="Times New Roman"/>
                <w:kern w:val="22"/>
                <w:sz w:val="17"/>
                <w:lang w:val="es-ES"/>
              </w:rPr>
            </w:pPr>
            <w:r>
              <w:rPr>
                <w:rFonts w:eastAsia="Times New Roman"/>
                <w:kern w:val="22"/>
                <w:sz w:val="17"/>
                <w:lang w:val="es-ES"/>
              </w:rPr>
              <w:t>(258,9)</w:t>
            </w:r>
          </w:p>
        </w:tc>
      </w:tr>
      <w:tr w:rsidR="00311468" w:rsidTr="004C337D">
        <w:trPr>
          <w:gridAfter w:val="1"/>
          <w:wAfter w:w="349" w:type="dxa"/>
          <w:trHeight w:val="261"/>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5526" w:type="dxa"/>
            <w:gridSpan w:val="3"/>
            <w:tcBorders>
              <w:top w:val="nil"/>
              <w:left w:val="nil"/>
              <w:bottom w:val="single" w:sz="4" w:space="0" w:color="auto"/>
              <w:right w:val="nil"/>
            </w:tcBorders>
            <w:vAlign w:val="center"/>
          </w:tcPr>
          <w:p w:rsidR="00311468" w:rsidRDefault="00311468" w:rsidP="006A15ED">
            <w:pPr>
              <w:suppressLineNumbers/>
              <w:suppressAutoHyphens/>
              <w:jc w:val="left"/>
              <w:rPr>
                <w:rFonts w:eastAsia="Times New Roman"/>
              </w:rPr>
            </w:pPr>
            <w:r>
              <w:rPr>
                <w:rFonts w:eastAsia="Times New Roman"/>
                <w:b/>
                <w:kern w:val="22"/>
                <w:sz w:val="17"/>
                <w:lang w:val="es-ES"/>
              </w:rPr>
              <w:t>Total neto (monto dividido entre las Partes)</w:t>
            </w:r>
          </w:p>
        </w:tc>
        <w:tc>
          <w:tcPr>
            <w:tcW w:w="115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2 401,3</w:t>
            </w:r>
          </w:p>
        </w:tc>
        <w:tc>
          <w:tcPr>
            <w:tcW w:w="115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2 546,4</w:t>
            </w:r>
          </w:p>
        </w:tc>
        <w:tc>
          <w:tcPr>
            <w:tcW w:w="1159" w:type="dxa"/>
            <w:tcBorders>
              <w:top w:val="nil"/>
              <w:left w:val="nil"/>
              <w:bottom w:val="single" w:sz="4" w:space="0" w:color="auto"/>
              <w:right w:val="nil"/>
            </w:tcBorders>
            <w:vAlign w:val="center"/>
          </w:tcPr>
          <w:p w:rsidR="00311468" w:rsidRDefault="00311468" w:rsidP="004C337D">
            <w:pPr>
              <w:suppressLineNumbers/>
              <w:suppressAutoHyphens/>
              <w:jc w:val="right"/>
              <w:rPr>
                <w:rFonts w:eastAsia="Times New Roman"/>
                <w:b/>
                <w:kern w:val="22"/>
                <w:sz w:val="17"/>
                <w:lang w:val="es-ES"/>
              </w:rPr>
            </w:pPr>
            <w:r>
              <w:rPr>
                <w:rFonts w:eastAsia="Times New Roman"/>
                <w:b/>
                <w:kern w:val="22"/>
                <w:sz w:val="17"/>
                <w:lang w:val="es-ES"/>
              </w:rPr>
              <w:t>4 947,7</w:t>
            </w:r>
          </w:p>
        </w:tc>
      </w:tr>
      <w:tr w:rsidR="00311468" w:rsidTr="006A15ED">
        <w:trPr>
          <w:gridAfter w:val="1"/>
          <w:wAfter w:w="349" w:type="dxa"/>
          <w:trHeight w:val="288"/>
        </w:trPr>
        <w:tc>
          <w:tcPr>
            <w:tcW w:w="582" w:type="dxa"/>
            <w:tcBorders>
              <w:top w:val="nil"/>
              <w:left w:val="nil"/>
              <w:bottom w:val="nil"/>
              <w:right w:val="nil"/>
            </w:tcBorders>
            <w:noWrap/>
            <w:vAlign w:val="center"/>
          </w:tcPr>
          <w:p w:rsidR="00311468" w:rsidRDefault="00311468">
            <w:pPr>
              <w:suppressLineNumbers/>
              <w:suppressAutoHyphens/>
              <w:jc w:val="right"/>
              <w:rPr>
                <w:rFonts w:eastAsia="Times New Roman"/>
                <w:color w:val="000000"/>
                <w:kern w:val="22"/>
                <w:sz w:val="17"/>
                <w:lang w:val="es-ES"/>
              </w:rPr>
            </w:pPr>
          </w:p>
        </w:tc>
        <w:tc>
          <w:tcPr>
            <w:tcW w:w="2696" w:type="dxa"/>
            <w:gridSpan w:val="2"/>
            <w:tcBorders>
              <w:top w:val="nil"/>
              <w:left w:val="nil"/>
              <w:bottom w:val="nil"/>
              <w:right w:val="nil"/>
            </w:tcBorders>
            <w:noWrap/>
            <w:vAlign w:val="center"/>
          </w:tcPr>
          <w:p w:rsidR="00311468" w:rsidRDefault="00311468">
            <w:pPr>
              <w:suppressLineNumbers/>
              <w:suppressAutoHyphens/>
              <w:rPr>
                <w:rFonts w:eastAsia="Times New Roman"/>
                <w:color w:val="000000"/>
                <w:kern w:val="22"/>
                <w:sz w:val="16"/>
                <w:lang w:val="es-ES"/>
              </w:rPr>
            </w:pPr>
          </w:p>
        </w:tc>
        <w:tc>
          <w:tcPr>
            <w:tcW w:w="2830" w:type="dxa"/>
            <w:tcBorders>
              <w:top w:val="nil"/>
              <w:left w:val="nil"/>
              <w:bottom w:val="nil"/>
              <w:right w:val="nil"/>
            </w:tcBorders>
            <w:noWrap/>
            <w:vAlign w:val="center"/>
          </w:tcPr>
          <w:p w:rsidR="00311468" w:rsidRDefault="00311468">
            <w:pPr>
              <w:suppressLineNumbers/>
              <w:suppressAutoHyphens/>
              <w:rPr>
                <w:rFonts w:eastAsia="Times New Roman"/>
                <w:color w:val="000000"/>
                <w:kern w:val="22"/>
                <w:sz w:val="16"/>
                <w:lang w:val="es-ES"/>
              </w:rPr>
            </w:pPr>
          </w:p>
        </w:tc>
        <w:tc>
          <w:tcPr>
            <w:tcW w:w="1159" w:type="dxa"/>
            <w:tcBorders>
              <w:top w:val="nil"/>
              <w:left w:val="nil"/>
              <w:bottom w:val="nil"/>
              <w:right w:val="nil"/>
            </w:tcBorders>
            <w:noWrap/>
            <w:vAlign w:val="center"/>
          </w:tcPr>
          <w:p w:rsidR="00311468" w:rsidRDefault="00311468">
            <w:pPr>
              <w:suppressLineNumbers/>
              <w:suppressAutoHyphens/>
              <w:rPr>
                <w:rFonts w:eastAsia="Times New Roman"/>
                <w:color w:val="000000"/>
                <w:kern w:val="22"/>
                <w:sz w:val="16"/>
                <w:lang w:val="es-ES"/>
              </w:rPr>
            </w:pPr>
          </w:p>
        </w:tc>
        <w:tc>
          <w:tcPr>
            <w:tcW w:w="1159" w:type="dxa"/>
            <w:tcBorders>
              <w:top w:val="nil"/>
              <w:left w:val="nil"/>
              <w:bottom w:val="nil"/>
              <w:right w:val="nil"/>
            </w:tcBorders>
            <w:noWrap/>
            <w:vAlign w:val="center"/>
          </w:tcPr>
          <w:p w:rsidR="00311468" w:rsidRDefault="00311468">
            <w:pPr>
              <w:suppressLineNumbers/>
              <w:suppressAutoHyphens/>
              <w:rPr>
                <w:rFonts w:eastAsia="Times New Roman"/>
                <w:color w:val="000000"/>
                <w:kern w:val="22"/>
                <w:sz w:val="16"/>
                <w:lang w:val="es-ES"/>
              </w:rPr>
            </w:pPr>
          </w:p>
        </w:tc>
        <w:tc>
          <w:tcPr>
            <w:tcW w:w="1159" w:type="dxa"/>
            <w:tcBorders>
              <w:top w:val="nil"/>
              <w:left w:val="nil"/>
              <w:bottom w:val="nil"/>
              <w:right w:val="nil"/>
            </w:tcBorders>
            <w:noWrap/>
            <w:vAlign w:val="center"/>
          </w:tcPr>
          <w:p w:rsidR="00311468" w:rsidRDefault="00311468">
            <w:pPr>
              <w:suppressLineNumbers/>
              <w:suppressAutoHyphens/>
              <w:rPr>
                <w:rFonts w:eastAsia="Times New Roman"/>
                <w:color w:val="000000"/>
                <w:kern w:val="22"/>
                <w:sz w:val="16"/>
                <w:lang w:val="es-ES"/>
              </w:rPr>
            </w:pPr>
          </w:p>
        </w:tc>
      </w:tr>
      <w:tr w:rsidR="00311468" w:rsidTr="006A15ED">
        <w:trPr>
          <w:gridAfter w:val="1"/>
          <w:wAfter w:w="349" w:type="dxa"/>
          <w:trHeight w:val="216"/>
        </w:trPr>
        <w:tc>
          <w:tcPr>
            <w:tcW w:w="582" w:type="dxa"/>
            <w:tcBorders>
              <w:top w:val="nil"/>
              <w:left w:val="nil"/>
              <w:bottom w:val="nil"/>
              <w:right w:val="nil"/>
            </w:tcBorders>
            <w:noWrap/>
          </w:tcPr>
          <w:p w:rsidR="00311468" w:rsidRDefault="00311468">
            <w:pPr>
              <w:suppressLineNumbers/>
              <w:suppressAutoHyphens/>
              <w:jc w:val="left"/>
              <w:rPr>
                <w:rFonts w:eastAsia="Times New Roman"/>
                <w:color w:val="000000"/>
                <w:kern w:val="22"/>
                <w:sz w:val="17"/>
                <w:lang w:val="es-ES"/>
              </w:rPr>
            </w:pPr>
          </w:p>
        </w:tc>
        <w:tc>
          <w:tcPr>
            <w:tcW w:w="9003" w:type="dxa"/>
            <w:gridSpan w:val="6"/>
            <w:tcBorders>
              <w:top w:val="nil"/>
              <w:left w:val="nil"/>
              <w:bottom w:val="nil"/>
              <w:right w:val="nil"/>
            </w:tcBorders>
          </w:tcPr>
          <w:p w:rsidR="00311468" w:rsidRDefault="00311468">
            <w:pPr>
              <w:suppressLineNumbers/>
              <w:suppressAutoHyphens/>
              <w:jc w:val="left"/>
              <w:rPr>
                <w:rFonts w:eastAsia="Times New Roman"/>
              </w:rPr>
            </w:pPr>
            <w:r>
              <w:rPr>
                <w:rFonts w:eastAsia="Times New Roman"/>
                <w:kern w:val="22"/>
                <w:sz w:val="16"/>
                <w:lang w:val="es-ES"/>
              </w:rPr>
              <w:t>1/ Reuniones ordinarias financiadas con cargo al presupuesto básico:</w:t>
            </w:r>
          </w:p>
        </w:tc>
      </w:tr>
      <w:tr w:rsidR="00311468" w:rsidTr="006A15ED">
        <w:trPr>
          <w:gridAfter w:val="1"/>
          <w:wAfter w:w="349" w:type="dxa"/>
          <w:trHeight w:val="216"/>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7"/>
                <w:lang w:val="es-ES"/>
              </w:rPr>
            </w:pPr>
          </w:p>
        </w:tc>
        <w:tc>
          <w:tcPr>
            <w:tcW w:w="9003" w:type="dxa"/>
            <w:gridSpan w:val="6"/>
            <w:tcBorders>
              <w:top w:val="nil"/>
              <w:left w:val="nil"/>
              <w:bottom w:val="nil"/>
              <w:right w:val="nil"/>
            </w:tcBorders>
            <w:noWrap/>
          </w:tcPr>
          <w:p w:rsidR="00311468" w:rsidRDefault="00311468" w:rsidP="006A15ED">
            <w:pPr>
              <w:suppressLineNumbers/>
              <w:suppressAutoHyphens/>
              <w:ind w:left="34"/>
              <w:jc w:val="left"/>
              <w:rPr>
                <w:rFonts w:eastAsia="Times New Roman"/>
              </w:rPr>
            </w:pPr>
            <w:r>
              <w:rPr>
                <w:rFonts w:eastAsia="Times New Roman"/>
                <w:color w:val="000000"/>
                <w:kern w:val="22"/>
                <w:sz w:val="16"/>
                <w:lang w:val="es-ES"/>
              </w:rPr>
              <w:t>- 11ª reunión del Grupo de Trabajo Especial sobre el Artículo 8 j) y Disposiciones Conexas.</w:t>
            </w:r>
          </w:p>
        </w:tc>
      </w:tr>
      <w:tr w:rsidR="00311468" w:rsidTr="006A15ED">
        <w:tc>
          <w:tcPr>
            <w:tcW w:w="724" w:type="dxa"/>
            <w:gridSpan w:val="2"/>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7"/>
                <w:lang w:val="es-ES"/>
              </w:rPr>
            </w:pPr>
          </w:p>
        </w:tc>
        <w:tc>
          <w:tcPr>
            <w:tcW w:w="9210" w:type="dxa"/>
            <w:gridSpan w:val="6"/>
            <w:tcBorders>
              <w:top w:val="nil"/>
              <w:left w:val="nil"/>
              <w:bottom w:val="nil"/>
              <w:right w:val="nil"/>
            </w:tcBorders>
            <w:noWrap/>
          </w:tcPr>
          <w:p w:rsidR="00311468" w:rsidRDefault="00311468" w:rsidP="006A15ED">
            <w:pPr>
              <w:suppressLineNumbers/>
              <w:suppressAutoHyphens/>
              <w:ind w:left="-108"/>
              <w:jc w:val="left"/>
              <w:rPr>
                <w:rFonts w:eastAsia="Times New Roman"/>
              </w:rPr>
            </w:pPr>
            <w:r>
              <w:rPr>
                <w:rFonts w:eastAsia="Times New Roman"/>
                <w:color w:val="000000"/>
                <w:kern w:val="22"/>
                <w:sz w:val="16"/>
                <w:lang w:val="es-ES"/>
              </w:rPr>
              <w:t>- Reuniones 23ª y 24ª </w:t>
            </w:r>
            <w:r>
              <w:rPr>
                <w:rFonts w:eastAsia="Times New Roman"/>
                <w:color w:val="000000"/>
                <w:kern w:val="20"/>
                <w:sz w:val="16"/>
                <w:lang w:val="es-ES"/>
              </w:rPr>
              <w:t xml:space="preserve"> del Órgano Subsidiario de Asesoramiento Científico, Técnico y Tecnológico</w:t>
            </w:r>
          </w:p>
        </w:tc>
      </w:tr>
      <w:tr w:rsidR="00311468" w:rsidTr="006A15ED">
        <w:trPr>
          <w:gridAfter w:val="1"/>
          <w:wAfter w:w="349" w:type="dxa"/>
          <w:trHeight w:val="216"/>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7"/>
                <w:lang w:val="es-ES"/>
              </w:rPr>
            </w:pPr>
          </w:p>
        </w:tc>
        <w:tc>
          <w:tcPr>
            <w:tcW w:w="9003" w:type="dxa"/>
            <w:gridSpan w:val="6"/>
            <w:tcBorders>
              <w:top w:val="nil"/>
              <w:left w:val="nil"/>
              <w:bottom w:val="nil"/>
              <w:right w:val="nil"/>
            </w:tcBorders>
            <w:noWrap/>
          </w:tcPr>
          <w:p w:rsidR="00311468" w:rsidRDefault="00311468" w:rsidP="006A15ED">
            <w:pPr>
              <w:suppressLineNumbers/>
              <w:suppressAutoHyphens/>
              <w:ind w:left="34"/>
              <w:jc w:val="left"/>
              <w:rPr>
                <w:rFonts w:eastAsia="Times New Roman"/>
              </w:rPr>
            </w:pPr>
            <w:r>
              <w:rPr>
                <w:rFonts w:eastAsia="Times New Roman"/>
                <w:color w:val="000000"/>
                <w:kern w:val="22"/>
                <w:sz w:val="16"/>
                <w:lang w:val="es-ES"/>
              </w:rPr>
              <w:t>- 3ª reunión del Órgano Subsidiario sobre la Aplicación.</w:t>
            </w:r>
          </w:p>
        </w:tc>
      </w:tr>
      <w:tr w:rsidR="00311468" w:rsidTr="006A15ED">
        <w:trPr>
          <w:gridAfter w:val="1"/>
          <w:wAfter w:w="349" w:type="dxa"/>
          <w:trHeight w:val="216"/>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7"/>
                <w:lang w:val="es-ES"/>
              </w:rPr>
            </w:pPr>
          </w:p>
        </w:tc>
        <w:tc>
          <w:tcPr>
            <w:tcW w:w="9003" w:type="dxa"/>
            <w:gridSpan w:val="6"/>
            <w:tcBorders>
              <w:top w:val="nil"/>
              <w:left w:val="nil"/>
              <w:bottom w:val="nil"/>
              <w:right w:val="nil"/>
            </w:tcBorders>
            <w:noWrap/>
          </w:tcPr>
          <w:p w:rsidR="00311468" w:rsidRDefault="00311468" w:rsidP="006A15ED">
            <w:pPr>
              <w:suppressLineNumbers/>
              <w:suppressAutoHyphens/>
              <w:ind w:left="34"/>
              <w:jc w:val="left"/>
              <w:rPr>
                <w:rFonts w:eastAsia="Times New Roman"/>
              </w:rPr>
            </w:pPr>
            <w:r>
              <w:rPr>
                <w:rFonts w:eastAsia="Times New Roman"/>
                <w:color w:val="000000"/>
                <w:kern w:val="22"/>
                <w:sz w:val="16"/>
                <w:lang w:val="es-ES"/>
              </w:rPr>
              <w:t>- 15ª reunión de la Conferencia de las Partes en el Convenio / 10ª reunión de las Partes en el Protocolo de Cartagena / 4ª reunión de las Partes en el Protocolo de Nagoya celebradas en forma concurrente.</w:t>
            </w:r>
          </w:p>
        </w:tc>
      </w:tr>
      <w:tr w:rsidR="00311468" w:rsidTr="006A15ED">
        <w:trPr>
          <w:gridAfter w:val="1"/>
          <w:wAfter w:w="349" w:type="dxa"/>
          <w:trHeight w:val="99"/>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2696" w:type="dxa"/>
            <w:gridSpan w:val="2"/>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2830"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1159"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1159"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1159"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r>
      <w:tr w:rsidR="00311468" w:rsidTr="006A15ED">
        <w:trPr>
          <w:gridAfter w:val="1"/>
          <w:wAfter w:w="349" w:type="dxa"/>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9003" w:type="dxa"/>
            <w:gridSpan w:val="6"/>
            <w:tcBorders>
              <w:top w:val="nil"/>
              <w:left w:val="nil"/>
              <w:bottom w:val="nil"/>
              <w:right w:val="nil"/>
            </w:tcBorders>
          </w:tcPr>
          <w:p w:rsidR="00311468" w:rsidRDefault="00311468" w:rsidP="005A39C3">
            <w:pPr>
              <w:suppressLineNumbers/>
              <w:suppressAutoHyphens/>
              <w:ind w:left="34"/>
              <w:jc w:val="left"/>
              <w:rPr>
                <w:rFonts w:eastAsia="Times New Roman"/>
              </w:rPr>
            </w:pPr>
            <w:r>
              <w:rPr>
                <w:rFonts w:eastAsia="Times New Roman"/>
                <w:color w:val="000000"/>
                <w:kern w:val="22"/>
                <w:sz w:val="16"/>
                <w:lang w:val="es-ES"/>
              </w:rPr>
              <w:t xml:space="preserve">2/ OSACTT-23 (3 días) y </w:t>
            </w:r>
            <w:r w:rsidR="005A39C3">
              <w:rPr>
                <w:rFonts w:eastAsia="Times New Roman"/>
                <w:color w:val="000000"/>
                <w:kern w:val="22"/>
                <w:sz w:val="16"/>
                <w:lang w:val="es-ES"/>
              </w:rPr>
              <w:t>11</w:t>
            </w:r>
            <w:r w:rsidR="005A39C3" w:rsidRPr="005A39C3">
              <w:rPr>
                <w:rFonts w:eastAsia="Times New Roman"/>
                <w:color w:val="000000"/>
                <w:kern w:val="22"/>
                <w:sz w:val="16"/>
                <w:vertAlign w:val="superscript"/>
                <w:lang w:val="es-ES"/>
              </w:rPr>
              <w:t>a</w:t>
            </w:r>
            <w:r w:rsidR="005A39C3">
              <w:rPr>
                <w:rFonts w:eastAsia="Times New Roman"/>
                <w:color w:val="000000"/>
                <w:kern w:val="22"/>
                <w:sz w:val="16"/>
                <w:lang w:val="es-ES"/>
              </w:rPr>
              <w:t xml:space="preserve"> </w:t>
            </w:r>
            <w:r>
              <w:rPr>
                <w:rFonts w:eastAsia="Times New Roman"/>
                <w:color w:val="000000"/>
                <w:kern w:val="22"/>
                <w:sz w:val="16"/>
                <w:lang w:val="es-ES"/>
              </w:rPr>
              <w:t>Art. 8 j) (3 días) celebradas en forma consecutiva en 2019. OSACTT-24 (6 días) y OSA-3 (5 días) celebradas en forma consecutiva en 2020.</w:t>
            </w:r>
          </w:p>
        </w:tc>
      </w:tr>
      <w:tr w:rsidR="00311468" w:rsidTr="006A15ED">
        <w:trPr>
          <w:gridAfter w:val="1"/>
          <w:wAfter w:w="349" w:type="dxa"/>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9003" w:type="dxa"/>
            <w:gridSpan w:val="6"/>
            <w:tcBorders>
              <w:top w:val="nil"/>
              <w:left w:val="nil"/>
              <w:bottom w:val="nil"/>
              <w:right w:val="nil"/>
            </w:tcBorders>
          </w:tcPr>
          <w:p w:rsidR="00311468" w:rsidRDefault="00311468" w:rsidP="006A15ED">
            <w:pPr>
              <w:suppressLineNumbers/>
              <w:suppressAutoHyphens/>
              <w:ind w:left="34"/>
              <w:jc w:val="left"/>
              <w:rPr>
                <w:rFonts w:eastAsia="Times New Roman"/>
              </w:rPr>
            </w:pPr>
            <w:r>
              <w:rPr>
                <w:rFonts w:eastAsia="Times New Roman"/>
                <w:color w:val="000000"/>
                <w:kern w:val="22"/>
                <w:sz w:val="16"/>
                <w:lang w:val="es-ES"/>
              </w:rPr>
              <w:t>3/ Presupuesto para las COP-15/COP-MOP 10 y COP-MOP 4 divido en partes iguales entre los dos años del bienio.</w:t>
            </w:r>
          </w:p>
        </w:tc>
      </w:tr>
      <w:tr w:rsidR="00311468" w:rsidTr="006A15ED">
        <w:trPr>
          <w:gridAfter w:val="1"/>
          <w:wAfter w:w="349" w:type="dxa"/>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9003" w:type="dxa"/>
            <w:gridSpan w:val="6"/>
            <w:tcBorders>
              <w:top w:val="nil"/>
              <w:left w:val="nil"/>
              <w:bottom w:val="nil"/>
              <w:right w:val="nil"/>
            </w:tcBorders>
          </w:tcPr>
          <w:p w:rsidR="00311468" w:rsidRDefault="00311468" w:rsidP="006A15ED">
            <w:pPr>
              <w:suppressLineNumbers/>
              <w:suppressAutoHyphens/>
              <w:ind w:left="34"/>
              <w:jc w:val="left"/>
              <w:rPr>
                <w:rFonts w:eastAsia="Times New Roman"/>
              </w:rPr>
            </w:pPr>
            <w:r>
              <w:rPr>
                <w:rFonts w:eastAsia="Times New Roman"/>
                <w:color w:val="000000"/>
                <w:kern w:val="22"/>
                <w:sz w:val="16"/>
                <w:lang w:val="es-ES"/>
              </w:rPr>
              <w:t>4/ Dos reuniones extraordinarias independientes, de 5 días cada una, más 2 días adicionales para la OSACTT-23.</w:t>
            </w:r>
          </w:p>
        </w:tc>
      </w:tr>
      <w:tr w:rsidR="00311468" w:rsidTr="006A15ED">
        <w:trPr>
          <w:gridAfter w:val="1"/>
          <w:wAfter w:w="349" w:type="dxa"/>
        </w:trPr>
        <w:tc>
          <w:tcPr>
            <w:tcW w:w="582" w:type="dxa"/>
            <w:tcBorders>
              <w:top w:val="nil"/>
              <w:left w:val="nil"/>
              <w:bottom w:val="nil"/>
              <w:right w:val="nil"/>
            </w:tcBorders>
            <w:noWrap/>
          </w:tcPr>
          <w:p w:rsidR="00311468" w:rsidRDefault="00311468" w:rsidP="006A15ED">
            <w:pPr>
              <w:suppressLineNumbers/>
              <w:suppressAutoHyphens/>
              <w:jc w:val="left"/>
              <w:rPr>
                <w:rFonts w:eastAsia="Times New Roman"/>
                <w:color w:val="000000"/>
                <w:kern w:val="22"/>
                <w:sz w:val="16"/>
                <w:lang w:val="es-ES"/>
              </w:rPr>
            </w:pPr>
          </w:p>
        </w:tc>
        <w:tc>
          <w:tcPr>
            <w:tcW w:w="9003" w:type="dxa"/>
            <w:gridSpan w:val="6"/>
            <w:tcBorders>
              <w:top w:val="nil"/>
              <w:left w:val="nil"/>
              <w:bottom w:val="nil"/>
              <w:right w:val="nil"/>
            </w:tcBorders>
          </w:tcPr>
          <w:p w:rsidR="00311468" w:rsidRDefault="00311468" w:rsidP="006A15ED">
            <w:pPr>
              <w:suppressLineNumbers/>
              <w:suppressAutoHyphens/>
              <w:ind w:left="34"/>
              <w:jc w:val="left"/>
              <w:rPr>
                <w:rFonts w:eastAsia="Times New Roman"/>
              </w:rPr>
            </w:pPr>
            <w:r>
              <w:rPr>
                <w:rFonts w:eastAsia="Times New Roman"/>
                <w:color w:val="000000"/>
                <w:kern w:val="22"/>
                <w:sz w:val="16"/>
                <w:lang w:val="es-ES"/>
              </w:rPr>
              <w:t>5/ Indicativo.</w:t>
            </w:r>
          </w:p>
        </w:tc>
      </w:tr>
    </w:tbl>
    <w:p w:rsidR="00311468" w:rsidRDefault="00311468" w:rsidP="006A15ED">
      <w:pPr>
        <w:suppressLineNumbers/>
        <w:suppressAutoHyphens/>
        <w:jc w:val="left"/>
        <w:rPr>
          <w:rFonts w:eastAsia="Times New Roman"/>
          <w:kern w:val="22"/>
          <w:lang w:val="es-ES"/>
        </w:rPr>
      </w:pPr>
    </w:p>
    <w:p w:rsidR="00311468" w:rsidRDefault="00311468">
      <w:pPr>
        <w:suppressLineNumbers/>
        <w:suppressAutoHyphens/>
        <w:jc w:val="left"/>
        <w:rPr>
          <w:rFonts w:eastAsia="Times New Roman"/>
          <w:kern w:val="22"/>
          <w:lang w:val="es-ES"/>
        </w:rPr>
      </w:pPr>
    </w:p>
    <w:p w:rsidR="00311468" w:rsidRDefault="00311468">
      <w:pPr>
        <w:suppressLineNumbers/>
        <w:suppressAutoHyphens/>
        <w:rPr>
          <w:rFonts w:eastAsia="Times New Roman"/>
          <w:kern w:val="22"/>
          <w:lang w:val="es-ES"/>
        </w:rPr>
        <w:sectPr w:rsidR="00311468">
          <w:headerReference w:type="even" r:id="rId15"/>
          <w:headerReference w:type="default" r:id="rId16"/>
          <w:pgSz w:w="12240" w:h="15840"/>
          <w:pgMar w:top="567" w:right="1389" w:bottom="1134" w:left="1389" w:header="709" w:footer="709" w:gutter="0"/>
          <w:cols w:space="708"/>
          <w:titlePg/>
          <w:docGrid w:linePitch="360"/>
        </w:sectPr>
      </w:pPr>
    </w:p>
    <w:p w:rsidR="00311468" w:rsidRDefault="00311468">
      <w:pPr>
        <w:suppressLineNumbers/>
        <w:suppressAutoHyphens/>
        <w:rPr>
          <w:rFonts w:eastAsia="Times New Roman"/>
          <w:b/>
          <w:kern w:val="22"/>
          <w:lang w:val="es-ES"/>
        </w:rPr>
      </w:pPr>
      <w:r>
        <w:rPr>
          <w:rFonts w:eastAsia="Times New Roman"/>
          <w:b/>
          <w:kern w:val="22"/>
          <w:lang w:val="es-ES"/>
        </w:rPr>
        <w:lastRenderedPageBreak/>
        <w:t>Cuadro 2. Contribuciones al Fondo Fiduciario para el Protocolo de Cartagena sobre Seguridad de la Biotecnología para el bienio 2019-2020</w:t>
      </w:r>
      <w:r>
        <w:rPr>
          <w:rStyle w:val="FootnoteReference"/>
          <w:rFonts w:eastAsia="Times New Roman"/>
          <w:b/>
          <w:kern w:val="22"/>
          <w:lang w:val="es-ES"/>
        </w:rPr>
        <w:footnoteReference w:id="2"/>
      </w:r>
    </w:p>
    <w:p w:rsidR="00311468" w:rsidRDefault="00311468">
      <w:pPr>
        <w:suppressLineNumbers/>
        <w:suppressAutoHyphens/>
        <w:rPr>
          <w:rFonts w:eastAsia="Times New Roman"/>
          <w:kern w:val="22"/>
          <w:lang w:val="es-ES"/>
        </w:rPr>
      </w:pPr>
    </w:p>
    <w:tbl>
      <w:tblPr>
        <w:tblW w:w="0" w:type="auto"/>
        <w:jc w:val="center"/>
        <w:tblLayout w:type="fixed"/>
        <w:tblLook w:val="00A0"/>
      </w:tblPr>
      <w:tblGrid>
        <w:gridCol w:w="2499"/>
        <w:gridCol w:w="2288"/>
        <w:gridCol w:w="3832"/>
        <w:gridCol w:w="2125"/>
        <w:gridCol w:w="2125"/>
        <w:gridCol w:w="1486"/>
      </w:tblGrid>
      <w:tr w:rsidR="00311468">
        <w:trPr>
          <w:cantSplit/>
          <w:tblHeader/>
          <w:jc w:val="center"/>
        </w:trPr>
        <w:tc>
          <w:tcPr>
            <w:tcW w:w="2499" w:type="dxa"/>
            <w:tcBorders>
              <w:top w:val="single" w:sz="4" w:space="0" w:color="auto"/>
              <w:left w:val="single" w:sz="4" w:space="0" w:color="auto"/>
              <w:bottom w:val="single" w:sz="4" w:space="0" w:color="auto"/>
              <w:right w:val="single" w:sz="4" w:space="0" w:color="auto"/>
            </w:tcBorders>
            <w:noWrap/>
            <w:vAlign w:val="center"/>
          </w:tcPr>
          <w:p w:rsidR="00311468" w:rsidRDefault="00311468">
            <w:pPr>
              <w:jc w:val="center"/>
              <w:rPr>
                <w:rFonts w:eastAsia="Times New Roman"/>
              </w:rPr>
            </w:pPr>
            <w:r>
              <w:rPr>
                <w:rFonts w:eastAsia="Times New Roman"/>
                <w:b/>
                <w:lang w:val="es-ES"/>
              </w:rPr>
              <w:t>Parte</w:t>
            </w:r>
          </w:p>
        </w:tc>
        <w:tc>
          <w:tcPr>
            <w:tcW w:w="2288" w:type="dxa"/>
            <w:tcBorders>
              <w:top w:val="single" w:sz="4" w:space="0" w:color="auto"/>
              <w:left w:val="nil"/>
              <w:bottom w:val="single" w:sz="4" w:space="0" w:color="auto"/>
              <w:right w:val="single" w:sz="4" w:space="0" w:color="auto"/>
            </w:tcBorders>
            <w:vAlign w:val="center"/>
          </w:tcPr>
          <w:p w:rsidR="00311468" w:rsidRDefault="00311468">
            <w:pPr>
              <w:jc w:val="center"/>
              <w:rPr>
                <w:rFonts w:eastAsia="Times New Roman"/>
              </w:rPr>
            </w:pPr>
            <w:r>
              <w:rPr>
                <w:rFonts w:eastAsia="Times New Roman"/>
                <w:b/>
                <w:lang w:val="es-ES"/>
              </w:rPr>
              <w:t>Escala de cuotas 2016-2018</w:t>
            </w:r>
          </w:p>
        </w:tc>
        <w:tc>
          <w:tcPr>
            <w:tcW w:w="3832" w:type="dxa"/>
            <w:tcBorders>
              <w:top w:val="single" w:sz="4" w:space="0" w:color="auto"/>
              <w:left w:val="nil"/>
              <w:bottom w:val="single" w:sz="4" w:space="0" w:color="auto"/>
              <w:right w:val="single" w:sz="4" w:space="0" w:color="auto"/>
            </w:tcBorders>
            <w:vAlign w:val="center"/>
          </w:tcPr>
          <w:p w:rsidR="00311468" w:rsidRDefault="00311468" w:rsidP="005A39C3">
            <w:pPr>
              <w:jc w:val="center"/>
              <w:rPr>
                <w:rFonts w:eastAsia="Times New Roman"/>
              </w:rPr>
            </w:pPr>
            <w:r>
              <w:rPr>
                <w:rFonts w:eastAsia="Times New Roman"/>
                <w:b/>
                <w:lang w:val="es-ES"/>
              </w:rPr>
              <w:t>Escala con t</w:t>
            </w:r>
            <w:r w:rsidR="005A39C3">
              <w:rPr>
                <w:rFonts w:eastAsia="Times New Roman"/>
                <w:b/>
                <w:lang w:val="es-ES"/>
              </w:rPr>
              <w:t>op</w:t>
            </w:r>
            <w:r>
              <w:rPr>
                <w:rFonts w:eastAsia="Times New Roman"/>
                <w:b/>
                <w:lang w:val="es-ES"/>
              </w:rPr>
              <w:t xml:space="preserve">e del 22%, </w:t>
            </w:r>
            <w:r w:rsidR="005A39C3">
              <w:rPr>
                <w:rFonts w:eastAsia="Times New Roman"/>
                <w:b/>
                <w:lang w:val="es-ES"/>
              </w:rPr>
              <w:t>en la que ningún</w:t>
            </w:r>
            <w:r>
              <w:rPr>
                <w:rFonts w:eastAsia="Times New Roman"/>
                <w:b/>
                <w:lang w:val="es-ES"/>
              </w:rPr>
              <w:t xml:space="preserve"> país menos adelantado paga más del 0,01%</w:t>
            </w:r>
          </w:p>
        </w:tc>
        <w:tc>
          <w:tcPr>
            <w:tcW w:w="2125" w:type="dxa"/>
            <w:tcBorders>
              <w:top w:val="single" w:sz="4" w:space="0" w:color="auto"/>
              <w:left w:val="nil"/>
              <w:bottom w:val="single" w:sz="4" w:space="0" w:color="auto"/>
              <w:right w:val="single" w:sz="4" w:space="0" w:color="auto"/>
            </w:tcBorders>
            <w:vAlign w:val="center"/>
          </w:tcPr>
          <w:p w:rsidR="00311468" w:rsidRDefault="00311468">
            <w:pPr>
              <w:jc w:val="center"/>
              <w:rPr>
                <w:rFonts w:eastAsia="Times New Roman"/>
              </w:rPr>
            </w:pPr>
            <w:r>
              <w:rPr>
                <w:rFonts w:eastAsia="Times New Roman"/>
                <w:b/>
                <w:lang w:val="es-ES"/>
              </w:rPr>
              <w:t>Contribución al 1 de enero de 2019</w:t>
            </w:r>
          </w:p>
        </w:tc>
        <w:tc>
          <w:tcPr>
            <w:tcW w:w="2125" w:type="dxa"/>
            <w:tcBorders>
              <w:top w:val="single" w:sz="4" w:space="0" w:color="auto"/>
              <w:left w:val="nil"/>
              <w:bottom w:val="single" w:sz="4" w:space="0" w:color="auto"/>
              <w:right w:val="single" w:sz="4" w:space="0" w:color="auto"/>
            </w:tcBorders>
            <w:vAlign w:val="center"/>
          </w:tcPr>
          <w:p w:rsidR="00311468" w:rsidRDefault="00311468">
            <w:pPr>
              <w:jc w:val="center"/>
              <w:rPr>
                <w:rFonts w:eastAsia="Times New Roman"/>
              </w:rPr>
            </w:pPr>
            <w:r>
              <w:rPr>
                <w:rFonts w:eastAsia="Times New Roman"/>
                <w:b/>
                <w:lang w:val="es-ES"/>
              </w:rPr>
              <w:t>Contribución al 1 de enero de 2020</w:t>
            </w:r>
          </w:p>
        </w:tc>
        <w:tc>
          <w:tcPr>
            <w:tcW w:w="1486" w:type="dxa"/>
            <w:tcBorders>
              <w:top w:val="single" w:sz="4" w:space="0" w:color="auto"/>
              <w:left w:val="nil"/>
              <w:bottom w:val="single" w:sz="4" w:space="0" w:color="auto"/>
              <w:right w:val="single" w:sz="4" w:space="0" w:color="auto"/>
            </w:tcBorders>
            <w:vAlign w:val="center"/>
          </w:tcPr>
          <w:p w:rsidR="00311468" w:rsidRDefault="00311468">
            <w:pPr>
              <w:jc w:val="center"/>
              <w:rPr>
                <w:rFonts w:eastAsia="Times New Roman"/>
              </w:rPr>
            </w:pPr>
            <w:r>
              <w:rPr>
                <w:rFonts w:eastAsia="Times New Roman"/>
                <w:b/>
                <w:lang w:val="es-ES"/>
              </w:rPr>
              <w:t>Total 2019-2020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Afganistán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221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430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Albania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295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573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Alemania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6,389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9,251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222 140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235 558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457 698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Angola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Antigua y Barbuda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Arabia Saudita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1,146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1,659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39 845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42 252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82 098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w:t>
            </w:r>
            <w:r>
              <w:rPr>
                <w:rFonts w:eastAsia="Times New Roman"/>
                <w:spacing w:val="-2"/>
                <w:lang w:val="es-ES"/>
              </w:rPr>
              <w:t>r</w:t>
            </w:r>
            <w:r>
              <w:rPr>
                <w:rFonts w:eastAsia="Times New Roman"/>
                <w:lang w:val="es-ES"/>
              </w:rPr>
              <w:t>g</w:t>
            </w:r>
            <w:r>
              <w:rPr>
                <w:rFonts w:eastAsia="Times New Roman"/>
                <w:spacing w:val="-2"/>
                <w:lang w:val="es-ES"/>
              </w:rPr>
              <w:t>e</w:t>
            </w:r>
            <w:r>
              <w:rPr>
                <w:rFonts w:eastAsia="Times New Roman"/>
                <w:spacing w:val="-3"/>
                <w:lang w:val="es-ES"/>
              </w:rPr>
              <w:t>l</w:t>
            </w:r>
            <w:r>
              <w:rPr>
                <w:rFonts w:eastAsia="Times New Roman"/>
                <w:spacing w:val="-2"/>
                <w:lang w:val="es-ES"/>
              </w:rPr>
              <w:t>i</w:t>
            </w:r>
            <w:r>
              <w:rPr>
                <w:rFonts w:eastAsia="Times New Roman"/>
                <w:lang w:val="es-ES"/>
              </w:rPr>
              <w:t>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0,161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0,233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5 598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5 936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11 534</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Armenia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221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430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Austria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0,720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1,042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25 034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26 546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51 580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Azerbaiyán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0,060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0,087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2 086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2 212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4 298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Bahamas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487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516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1 003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spacing w:val="1"/>
                <w:lang w:val="es-ES"/>
              </w:rPr>
              <w:t>B</w:t>
            </w:r>
            <w:r>
              <w:rPr>
                <w:rFonts w:eastAsia="Times New Roman"/>
                <w:spacing w:val="-2"/>
                <w:lang w:val="es-ES"/>
              </w:rPr>
              <w:t>a</w:t>
            </w:r>
            <w:r>
              <w:rPr>
                <w:rFonts w:eastAsia="Times New Roman"/>
                <w:spacing w:val="-3"/>
                <w:lang w:val="es-ES"/>
              </w:rPr>
              <w:t>h</w:t>
            </w:r>
            <w:r>
              <w:rPr>
                <w:rFonts w:eastAsia="Times New Roman"/>
                <w:lang w:val="es-ES"/>
              </w:rPr>
              <w:t>r</w:t>
            </w:r>
            <w:r>
              <w:rPr>
                <w:rFonts w:eastAsia="Times New Roman"/>
                <w:spacing w:val="-2"/>
                <w:lang w:val="es-ES"/>
              </w:rPr>
              <w:t>ei</w:t>
            </w:r>
            <w:r>
              <w:rPr>
                <w:rFonts w:eastAsia="Times New Roman"/>
                <w:lang w:val="es-ES"/>
              </w:rPr>
              <w:t>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0,044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0,064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1 530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1 622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3 152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Bangladesh</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Barbados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501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Belarús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0,056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0,081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1 947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2 065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4 012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spacing w:val="1"/>
                <w:lang w:val="es-ES"/>
              </w:rPr>
              <w:t>B</w:t>
            </w:r>
            <w:r>
              <w:rPr>
                <w:rFonts w:eastAsia="Times New Roman"/>
                <w:spacing w:val="-2"/>
                <w:lang w:val="es-ES"/>
              </w:rPr>
              <w:t>él</w:t>
            </w:r>
            <w:r>
              <w:rPr>
                <w:rFonts w:eastAsia="Times New Roman"/>
                <w:lang w:val="es-ES"/>
              </w:rPr>
              <w:t>g</w:t>
            </w:r>
            <w:r>
              <w:rPr>
                <w:rFonts w:eastAsia="Times New Roman"/>
                <w:spacing w:val="-3"/>
                <w:lang w:val="es-ES"/>
              </w:rPr>
              <w:t>i</w:t>
            </w:r>
            <w:r>
              <w:rPr>
                <w:rFonts w:eastAsia="Times New Roman"/>
                <w:lang w:val="es-ES"/>
              </w:rPr>
              <w:t>ca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0,885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1,281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30 771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32 629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63 400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Belice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Benin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spacing w:val="1"/>
                <w:lang w:val="es-ES"/>
              </w:rPr>
              <w:t>B</w:t>
            </w:r>
            <w:r>
              <w:rPr>
                <w:rFonts w:eastAsia="Times New Roman"/>
                <w:spacing w:val="-3"/>
                <w:lang w:val="es-ES"/>
              </w:rPr>
              <w:t>h</w:t>
            </w:r>
            <w:r>
              <w:rPr>
                <w:rFonts w:eastAsia="Times New Roman"/>
                <w:lang w:val="es-ES"/>
              </w:rPr>
              <w:t>u</w:t>
            </w:r>
            <w:r>
              <w:rPr>
                <w:rFonts w:eastAsia="Times New Roman"/>
                <w:spacing w:val="-2"/>
                <w:lang w:val="es-ES"/>
              </w:rPr>
              <w:t>tá</w:t>
            </w:r>
            <w:r>
              <w:rPr>
                <w:rFonts w:eastAsia="Times New Roman"/>
                <w:lang w:val="es-ES"/>
              </w:rPr>
              <w:t>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Bolivia (Estado Plurinacional de)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417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442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860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Bo</w:t>
            </w:r>
            <w:r>
              <w:rPr>
                <w:rFonts w:eastAsia="Times New Roman"/>
                <w:spacing w:val="-2"/>
                <w:lang w:val="es-ES"/>
              </w:rPr>
              <w:t>s</w:t>
            </w:r>
            <w:r>
              <w:rPr>
                <w:rFonts w:eastAsia="Times New Roman"/>
                <w:spacing w:val="-3"/>
                <w:lang w:val="es-ES"/>
              </w:rPr>
              <w:t>n</w:t>
            </w:r>
            <w:r>
              <w:rPr>
                <w:rFonts w:eastAsia="Times New Roman"/>
                <w:spacing w:val="-2"/>
                <w:lang w:val="es-ES"/>
              </w:rPr>
              <w:t xml:space="preserve">ia </w:t>
            </w:r>
            <w:r>
              <w:rPr>
                <w:rFonts w:eastAsia="Times New Roman"/>
                <w:lang w:val="es-ES"/>
              </w:rPr>
              <w:t>y</w:t>
            </w:r>
            <w:r>
              <w:rPr>
                <w:rFonts w:eastAsia="Times New Roman"/>
                <w:spacing w:val="-2"/>
                <w:lang w:val="es-ES"/>
              </w:rPr>
              <w:t xml:space="preserve"> Her</w:t>
            </w:r>
            <w:r>
              <w:rPr>
                <w:rFonts w:eastAsia="Times New Roman"/>
                <w:spacing w:val="-3"/>
                <w:lang w:val="es-ES"/>
              </w:rPr>
              <w:t>z</w:t>
            </w:r>
            <w:r>
              <w:rPr>
                <w:rFonts w:eastAsia="Times New Roman"/>
                <w:spacing w:val="-2"/>
                <w:lang w:val="es-ES"/>
              </w:rPr>
              <w:t>egov</w:t>
            </w:r>
            <w:r>
              <w:rPr>
                <w:rFonts w:eastAsia="Times New Roman"/>
                <w:lang w:val="es-ES"/>
              </w:rPr>
              <w:t>ina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452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479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931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Botswana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487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516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1 003</w:t>
            </w:r>
          </w:p>
        </w:tc>
      </w:tr>
      <w:tr w:rsidR="006A15ED">
        <w:trPr>
          <w:cantSplit/>
          <w:jc w:val="center"/>
        </w:trPr>
        <w:tc>
          <w:tcPr>
            <w:tcW w:w="2499" w:type="dxa"/>
            <w:tcBorders>
              <w:top w:val="single" w:sz="4" w:space="0" w:color="auto"/>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Brasil</w:t>
            </w:r>
          </w:p>
        </w:tc>
        <w:tc>
          <w:tcPr>
            <w:tcW w:w="2288" w:type="dxa"/>
            <w:tcBorders>
              <w:top w:val="single" w:sz="4" w:space="0" w:color="auto"/>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3,823</w:t>
            </w:r>
          </w:p>
        </w:tc>
        <w:tc>
          <w:tcPr>
            <w:tcW w:w="3832" w:type="dxa"/>
            <w:tcBorders>
              <w:top w:val="single" w:sz="4" w:space="0" w:color="auto"/>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5,535</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132 922</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140 951</w:t>
            </w:r>
          </w:p>
        </w:tc>
        <w:tc>
          <w:tcPr>
            <w:tcW w:w="1486"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273 874</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Bulgaria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0,045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0,065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1 565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1 659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3 224</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Burkina Faso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Burundi</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lastRenderedPageBreak/>
              <w:t>Cabo Verde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Camboya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Camerún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348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369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716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Chad</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184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Chequia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0,344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0,498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11 961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12 683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24 644</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China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7,921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11,469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275 406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292 042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567 448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Chipre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0,043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0,062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1 495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1 585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3 080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Colombia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0,322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0,466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11 196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11 872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23 068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Comoras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Congo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221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430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Costa Rica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0,047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0,068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1 634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1 733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3 367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Côte d’Ivoire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313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332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645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Croacia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0,099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0,143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3 442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3 650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7 092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Cuba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0,065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0,094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2 260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2 397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4 656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Dinamarca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0,584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0,846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20 305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21 532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41 837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Djibouti</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Dominica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single" w:sz="4" w:space="0" w:color="auto"/>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Ecuador</w:t>
            </w:r>
          </w:p>
        </w:tc>
        <w:tc>
          <w:tcPr>
            <w:tcW w:w="2288" w:type="dxa"/>
            <w:tcBorders>
              <w:top w:val="single" w:sz="4" w:space="0" w:color="auto"/>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0,067</w:t>
            </w:r>
          </w:p>
        </w:tc>
        <w:tc>
          <w:tcPr>
            <w:tcW w:w="3832" w:type="dxa"/>
            <w:tcBorders>
              <w:top w:val="single" w:sz="4" w:space="0" w:color="auto"/>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0,097</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2 330</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2 470</w:t>
            </w:r>
          </w:p>
        </w:tc>
        <w:tc>
          <w:tcPr>
            <w:tcW w:w="1486"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4 800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Egipto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0,152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0,220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5 285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5 604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10 889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El Salvador</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487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516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1 003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Emiratos Árabes Unidos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0,604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0,875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21 001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22 269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43 270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Eritrea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Es</w:t>
            </w:r>
            <w:r>
              <w:rPr>
                <w:rFonts w:eastAsia="Times New Roman"/>
                <w:spacing w:val="-2"/>
                <w:lang w:val="es-ES"/>
              </w:rPr>
              <w:t>lovaqui</w:t>
            </w:r>
            <w:r>
              <w:rPr>
                <w:rFonts w:eastAsia="Times New Roman"/>
                <w:lang w:val="es-ES"/>
              </w:rPr>
              <w:t>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0,160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0,232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5 563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5 899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11 462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Eslovenia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0,084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0,122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2 921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3 097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6 018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Es</w:t>
            </w:r>
            <w:r>
              <w:rPr>
                <w:rFonts w:eastAsia="Times New Roman"/>
                <w:spacing w:val="-2"/>
                <w:lang w:val="es-ES"/>
              </w:rPr>
              <w:t>pa</w:t>
            </w:r>
            <w:r>
              <w:rPr>
                <w:rFonts w:eastAsia="Times New Roman"/>
                <w:spacing w:val="-3"/>
                <w:lang w:val="es-ES"/>
              </w:rPr>
              <w:t>ña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2,443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3,537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84 941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90 072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175 013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Estado de Palestina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501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Estonia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0,038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0,055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1 321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1 401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2 722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Eswatini</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Etiopía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Pr="006A15ED" w:rsidRDefault="006A15ED">
            <w:pPr>
              <w:jc w:val="left"/>
              <w:rPr>
                <w:rFonts w:eastAsia="Times New Roman"/>
              </w:rPr>
            </w:pPr>
            <w:r w:rsidRPr="006A15ED">
              <w:rPr>
                <w:rFonts w:eastAsia="Times New Roman"/>
                <w:lang w:val="es-ES"/>
              </w:rPr>
              <w:t>ex República Yugoslava de Macedonia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501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Fiji</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lastRenderedPageBreak/>
              <w:t>Filipinas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0,165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5 737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6 083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11 820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Finlandia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0,456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0,660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15 855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16 812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32 667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Francia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4,859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7,035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168 943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179 148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348 091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Gabón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591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627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1 218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Gambia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Georgia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295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573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Ghana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556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590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1 146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Granada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Grecia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0,471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0,682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16 376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17 365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33 742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Guatemala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0,028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0,041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1 032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2 006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Guinea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Guinea-Bissau</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Guyana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Honduras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295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573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Hu</w:t>
            </w:r>
            <w:r>
              <w:rPr>
                <w:rFonts w:eastAsia="Times New Roman"/>
                <w:spacing w:val="-3"/>
                <w:lang w:val="es-ES"/>
              </w:rPr>
              <w:t>n</w:t>
            </w:r>
            <w:r>
              <w:rPr>
                <w:rFonts w:eastAsia="Times New Roman"/>
                <w:lang w:val="es-ES"/>
              </w:rPr>
              <w:t>gría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0,161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0,233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5 598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5 936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11 534</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India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0,737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1,067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25 625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27 173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52 797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Indonesia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0,504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0,730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17 524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18 582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36 106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Irán (República Islámica del)</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0,471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0,682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16 376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17 365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33 742</w:t>
            </w:r>
          </w:p>
        </w:tc>
      </w:tr>
      <w:tr w:rsidR="006A15ED">
        <w:trPr>
          <w:cantSplit/>
          <w:jc w:val="center"/>
        </w:trPr>
        <w:tc>
          <w:tcPr>
            <w:tcW w:w="2499" w:type="dxa"/>
            <w:tcBorders>
              <w:top w:val="single" w:sz="4" w:space="0" w:color="auto"/>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Iraq</w:t>
            </w:r>
          </w:p>
        </w:tc>
        <w:tc>
          <w:tcPr>
            <w:tcW w:w="2288" w:type="dxa"/>
            <w:tcBorders>
              <w:top w:val="single" w:sz="4" w:space="0" w:color="auto"/>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0,129</w:t>
            </w:r>
          </w:p>
        </w:tc>
        <w:tc>
          <w:tcPr>
            <w:tcW w:w="3832" w:type="dxa"/>
            <w:tcBorders>
              <w:top w:val="single" w:sz="4" w:space="0" w:color="auto"/>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0,187</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4 485</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4 756</w:t>
            </w:r>
          </w:p>
        </w:tc>
        <w:tc>
          <w:tcPr>
            <w:tcW w:w="1486"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9 241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Irla</w:t>
            </w:r>
            <w:r>
              <w:rPr>
                <w:rFonts w:eastAsia="Times New Roman"/>
                <w:spacing w:val="-3"/>
                <w:lang w:val="es-ES"/>
              </w:rPr>
              <w:t>n</w:t>
            </w:r>
            <w:r>
              <w:rPr>
                <w:rFonts w:eastAsia="Times New Roman"/>
                <w:lang w:val="es-ES"/>
              </w:rPr>
              <w:t>da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0,335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0,485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11 648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12 351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23 999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Islas Marshall</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Islas Salomón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Italia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3,748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5,427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130 315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138 186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268 501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Jamaica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313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332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645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Japón</w:t>
            </w:r>
          </w:p>
        </w:tc>
        <w:tc>
          <w:tcPr>
            <w:tcW w:w="2288" w:type="dxa"/>
            <w:tcBorders>
              <w:top w:val="nil"/>
              <w:left w:val="nil"/>
              <w:bottom w:val="single" w:sz="4" w:space="0" w:color="auto"/>
              <w:right w:val="single" w:sz="4" w:space="0" w:color="auto"/>
            </w:tcBorders>
            <w:noWrap/>
            <w:vAlign w:val="center"/>
          </w:tcPr>
          <w:p w:rsidR="006A15ED" w:rsidRDefault="006A15ED">
            <w:pPr>
              <w:ind w:right="770"/>
              <w:jc w:val="right"/>
              <w:rPr>
                <w:rFonts w:eastAsia="Times New Roman"/>
                <w:lang w:val="es-ES"/>
              </w:rPr>
            </w:pPr>
            <w:r>
              <w:rPr>
                <w:rFonts w:eastAsia="Times New Roman"/>
                <w:lang w:val="es-ES"/>
              </w:rPr>
              <w:t>9,680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14,016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336 565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356 895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693 460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Jordania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0,020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695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1 433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K</w:t>
            </w:r>
            <w:r>
              <w:rPr>
                <w:rFonts w:eastAsia="Times New Roman"/>
                <w:spacing w:val="-2"/>
                <w:lang w:val="es-ES"/>
              </w:rPr>
              <w:t>a</w:t>
            </w:r>
            <w:r>
              <w:rPr>
                <w:rFonts w:eastAsia="Times New Roman"/>
                <w:spacing w:val="-3"/>
                <w:lang w:val="es-ES"/>
              </w:rPr>
              <w:t>z</w:t>
            </w:r>
            <w:r>
              <w:rPr>
                <w:rFonts w:eastAsia="Times New Roman"/>
                <w:spacing w:val="-2"/>
                <w:lang w:val="es-ES"/>
              </w:rPr>
              <w:t>ajs</w:t>
            </w:r>
            <w:r>
              <w:rPr>
                <w:rFonts w:eastAsia="Times New Roman"/>
                <w:lang w:val="es-ES"/>
              </w:rPr>
              <w:t>t</w:t>
            </w:r>
            <w:r>
              <w:rPr>
                <w:rFonts w:eastAsia="Times New Roman"/>
                <w:spacing w:val="-2"/>
                <w:lang w:val="es-ES"/>
              </w:rPr>
              <w:t>á</w:t>
            </w:r>
            <w:r>
              <w:rPr>
                <w:rFonts w:eastAsia="Times New Roman"/>
                <w:lang w:val="es-ES"/>
              </w:rPr>
              <w:t>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0,191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0,277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6 641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7 042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13 683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Kenya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626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664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1 289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Kirguistán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Kiribati</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Kuwait</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0,285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0,413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9 909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10 508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20 417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lastRenderedPageBreak/>
              <w:t>Lesotho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L</w:t>
            </w:r>
            <w:r>
              <w:rPr>
                <w:rFonts w:eastAsia="Times New Roman"/>
                <w:spacing w:val="-2"/>
                <w:lang w:val="es-ES"/>
              </w:rPr>
              <w:t>etoni</w:t>
            </w:r>
            <w:r>
              <w:rPr>
                <w:rFonts w:eastAsia="Times New Roman"/>
                <w:lang w:val="es-ES"/>
              </w:rPr>
              <w:t>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0,050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0,072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1 738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1 843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3 582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Líba</w:t>
            </w:r>
            <w:r>
              <w:rPr>
                <w:rFonts w:eastAsia="Times New Roman"/>
                <w:spacing w:val="-3"/>
                <w:lang w:val="es-ES"/>
              </w:rPr>
              <w:t>n</w:t>
            </w:r>
            <w:r>
              <w:rPr>
                <w:rFonts w:eastAsia="Times New Roman"/>
                <w:lang w:val="es-ES"/>
              </w:rPr>
              <w:t>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0,046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0,067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1 599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1 696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3 295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Liberia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Libia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0,125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0,181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4 346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4 609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8 955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L</w:t>
            </w:r>
            <w:r>
              <w:rPr>
                <w:rFonts w:eastAsia="Times New Roman"/>
                <w:spacing w:val="-3"/>
                <w:lang w:val="es-ES"/>
              </w:rPr>
              <w:t>i</w:t>
            </w:r>
            <w:r>
              <w:rPr>
                <w:rFonts w:eastAsia="Times New Roman"/>
                <w:lang w:val="es-ES"/>
              </w:rPr>
              <w:t>tuan</w:t>
            </w:r>
            <w:r>
              <w:rPr>
                <w:rFonts w:eastAsia="Times New Roman"/>
                <w:spacing w:val="-3"/>
                <w:lang w:val="es-ES"/>
              </w:rPr>
              <w:t>i</w:t>
            </w:r>
            <w:r>
              <w:rPr>
                <w:rFonts w:eastAsia="Times New Roman"/>
                <w:lang w:val="es-ES"/>
              </w:rPr>
              <w:t>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0,072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2 503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2 655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5 158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Lu</w:t>
            </w:r>
            <w:r>
              <w:rPr>
                <w:rFonts w:eastAsia="Times New Roman"/>
                <w:spacing w:val="-3"/>
                <w:lang w:val="es-ES"/>
              </w:rPr>
              <w:t>x</w:t>
            </w:r>
            <w:r>
              <w:rPr>
                <w:rFonts w:eastAsia="Times New Roman"/>
                <w:lang w:val="es-ES"/>
              </w:rPr>
              <w:t>emburgo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0,064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0,093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2 225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2 360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4 585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Madagascar</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Malasia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0,322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0,466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11 196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11 872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23 068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Malawi</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Maldivas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Malí</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Malta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556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590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1 146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Marruecos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0,054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1 878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1 991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3 868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spacing w:val="-2"/>
                <w:lang w:val="es-ES"/>
              </w:rPr>
              <w:t>Ma</w:t>
            </w:r>
            <w:r>
              <w:rPr>
                <w:rFonts w:eastAsia="Times New Roman"/>
                <w:lang w:val="es-ES"/>
              </w:rPr>
              <w:t>u</w:t>
            </w:r>
            <w:r>
              <w:rPr>
                <w:rFonts w:eastAsia="Times New Roman"/>
                <w:spacing w:val="-3"/>
                <w:lang w:val="es-ES"/>
              </w:rPr>
              <w:t>r</w:t>
            </w:r>
            <w:r>
              <w:rPr>
                <w:rFonts w:eastAsia="Times New Roman"/>
                <w:spacing w:val="-2"/>
                <w:lang w:val="es-ES"/>
              </w:rPr>
              <w:t>i</w:t>
            </w:r>
            <w:r>
              <w:rPr>
                <w:rFonts w:eastAsia="Times New Roman"/>
                <w:lang w:val="es-ES"/>
              </w:rPr>
              <w:t>c</w:t>
            </w:r>
            <w:r>
              <w:rPr>
                <w:rFonts w:eastAsia="Times New Roman"/>
                <w:spacing w:val="-2"/>
                <w:lang w:val="es-ES"/>
              </w:rPr>
              <w:t>io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417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442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860</w:t>
            </w:r>
          </w:p>
        </w:tc>
      </w:tr>
      <w:tr w:rsidR="006A15ED">
        <w:trPr>
          <w:cantSplit/>
          <w:jc w:val="center"/>
        </w:trPr>
        <w:tc>
          <w:tcPr>
            <w:tcW w:w="2499" w:type="dxa"/>
            <w:tcBorders>
              <w:top w:val="single" w:sz="4" w:space="0" w:color="auto"/>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Mauritania</w:t>
            </w:r>
          </w:p>
        </w:tc>
        <w:tc>
          <w:tcPr>
            <w:tcW w:w="2288" w:type="dxa"/>
            <w:tcBorders>
              <w:top w:val="single" w:sz="4" w:space="0" w:color="auto"/>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single" w:sz="4" w:space="0" w:color="auto"/>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México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1,435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2,078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49 894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52 907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102 801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Mongolia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184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Montenegro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Mozambique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Myanmar</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Namibia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348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369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716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Nauru</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Nicaragua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Níger</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Nigeria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0,209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0,303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7 267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7 706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14 972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Niue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Noruega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0,849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1,229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29 519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31 302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60 821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Nueva Zelandia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0,268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0,388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9 318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9 881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19 199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Omán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0,113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0,164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3 929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4 166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8 095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Países Bajos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1,482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2,146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51 528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54 640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106 168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w:t>
            </w:r>
            <w:r>
              <w:rPr>
                <w:rFonts w:eastAsia="Times New Roman"/>
                <w:spacing w:val="-2"/>
                <w:lang w:val="es-ES"/>
              </w:rPr>
              <w:t>ak</w:t>
            </w:r>
            <w:r>
              <w:rPr>
                <w:rFonts w:eastAsia="Times New Roman"/>
                <w:spacing w:val="-3"/>
                <w:lang w:val="es-ES"/>
              </w:rPr>
              <w:t>i</w:t>
            </w:r>
            <w:r>
              <w:rPr>
                <w:rFonts w:eastAsia="Times New Roman"/>
                <w:spacing w:val="-2"/>
                <w:lang w:val="es-ES"/>
              </w:rPr>
              <w:t>s</w:t>
            </w:r>
            <w:r>
              <w:rPr>
                <w:rFonts w:eastAsia="Times New Roman"/>
                <w:lang w:val="es-ES"/>
              </w:rPr>
              <w:t>t</w:t>
            </w:r>
            <w:r>
              <w:rPr>
                <w:rFonts w:eastAsia="Times New Roman"/>
                <w:spacing w:val="-2"/>
                <w:lang w:val="es-ES"/>
              </w:rPr>
              <w:t>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0,093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3 234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3 429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6 662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lastRenderedPageBreak/>
              <w:t>Palau</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Panamá</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0,034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0,049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1 182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1 254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2 436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Papua Nueva Guinea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Paraguay</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0,020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487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516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1 003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Perú</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0,136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0,197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4 729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5 014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9 743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Polonia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0,841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1,218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29 241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31 007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60 248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Portugal</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0,392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0,568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13 629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14 453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28 082</w:t>
            </w:r>
          </w:p>
        </w:tc>
      </w:tr>
      <w:tr w:rsidR="006A15ED">
        <w:trPr>
          <w:cantSplit/>
          <w:jc w:val="center"/>
        </w:trPr>
        <w:tc>
          <w:tcPr>
            <w:tcW w:w="2499" w:type="dxa"/>
            <w:tcBorders>
              <w:top w:val="single" w:sz="4" w:space="0" w:color="auto"/>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Qatar</w:t>
            </w:r>
          </w:p>
        </w:tc>
        <w:tc>
          <w:tcPr>
            <w:tcW w:w="2288" w:type="dxa"/>
            <w:tcBorders>
              <w:top w:val="single" w:sz="4" w:space="0" w:color="auto"/>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0,269</w:t>
            </w:r>
          </w:p>
        </w:tc>
        <w:tc>
          <w:tcPr>
            <w:tcW w:w="3832" w:type="dxa"/>
            <w:tcBorders>
              <w:top w:val="single" w:sz="4" w:space="0" w:color="auto"/>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0,389</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9 353</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9 918</w:t>
            </w:r>
          </w:p>
        </w:tc>
        <w:tc>
          <w:tcPr>
            <w:tcW w:w="1486"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19 271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Reino Unido de Gran Bretaña e Irlanda del Norte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4,463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6,462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155 174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164 548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319 722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Árabe Siria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0,024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834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885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1 719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Centroafricana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de Corea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2,039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2,952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70 894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75 177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146 071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de Moldova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Democrática del Congo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Democrática Popular Lao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111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spacing w:val="-2"/>
                <w:lang w:val="es-ES"/>
              </w:rPr>
              <w:t>Rep</w:t>
            </w:r>
            <w:r>
              <w:rPr>
                <w:rFonts w:eastAsia="Times New Roman"/>
                <w:lang w:val="es-ES"/>
              </w:rPr>
              <w:t>ú</w:t>
            </w:r>
            <w:r>
              <w:rPr>
                <w:rFonts w:eastAsia="Times New Roman"/>
                <w:spacing w:val="-2"/>
                <w:lang w:val="es-ES"/>
              </w:rPr>
              <w:t>bli</w:t>
            </w:r>
            <w:r>
              <w:rPr>
                <w:rFonts w:eastAsia="Times New Roman"/>
                <w:lang w:val="es-ES"/>
              </w:rPr>
              <w:t xml:space="preserve">ca </w:t>
            </w:r>
            <w:r>
              <w:rPr>
                <w:rFonts w:eastAsia="Times New Roman"/>
                <w:spacing w:val="-2"/>
                <w:lang w:val="es-ES"/>
              </w:rPr>
              <w:t>Dominicana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0,046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0,067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1 599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1 696</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3 295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EC3645">
            <w:pPr>
              <w:jc w:val="left"/>
              <w:rPr>
                <w:rFonts w:eastAsia="Times New Roman"/>
              </w:rPr>
            </w:pPr>
            <w:hyperlink r:id="rId17" w:history="1">
              <w:r w:rsidR="006A15ED">
                <w:rPr>
                  <w:rFonts w:eastAsia="Times New Roman"/>
                  <w:lang w:val="es-ES"/>
                </w:rPr>
                <w:t>República Popular Democrática de Corea</w:t>
              </w:r>
            </w:hyperlink>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184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República Unida de Tanzanía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Rumania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0,184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0,266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6 398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6 784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13 181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Rwanda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EC3645">
            <w:pPr>
              <w:jc w:val="left"/>
              <w:rPr>
                <w:rFonts w:eastAsia="Times New Roman"/>
              </w:rPr>
            </w:pPr>
            <w:hyperlink r:id="rId18" w:history="1">
              <w:r w:rsidR="006A15ED">
                <w:rPr>
                  <w:rFonts w:eastAsia="Times New Roman"/>
                  <w:lang w:val="es-ES"/>
                </w:rPr>
                <w:t>Saint Kitts y Nevis</w:t>
              </w:r>
            </w:hyperlink>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Samoa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EC3645">
            <w:pPr>
              <w:jc w:val="left"/>
              <w:rPr>
                <w:rFonts w:eastAsia="Times New Roman"/>
              </w:rPr>
            </w:pPr>
            <w:hyperlink r:id="rId19" w:history="1">
              <w:r w:rsidR="006A15ED">
                <w:rPr>
                  <w:rFonts w:eastAsia="Times New Roman"/>
                  <w:lang w:val="es-ES"/>
                </w:rPr>
                <w:t>San Vicente y las Granadinas</w:t>
              </w:r>
            </w:hyperlink>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Santa Lucía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Senegal</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0,005</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184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lastRenderedPageBreak/>
              <w:t>Serbia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0,032</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0,046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1 113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1 180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2 292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Seychelles</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Somalia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Sri Lanka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0,031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0,045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1 078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1 143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2 221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Sudáfrica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0,364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0,527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12 656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13 420</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26 076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Sudán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Suecia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0,956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1,384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33 239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35 247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68 486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Suiza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1,140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1,651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39 637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42 031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81 668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Suriname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221</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430</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Tailandia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0,291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0,421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10 118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10 729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20 847</w:t>
            </w:r>
          </w:p>
        </w:tc>
      </w:tr>
      <w:tr w:rsidR="006A15ED">
        <w:trPr>
          <w:cantSplit/>
          <w:jc w:val="center"/>
        </w:trPr>
        <w:tc>
          <w:tcPr>
            <w:tcW w:w="2499" w:type="dxa"/>
            <w:tcBorders>
              <w:top w:val="single" w:sz="4" w:space="0" w:color="auto"/>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Tayikistán</w:t>
            </w:r>
          </w:p>
        </w:tc>
        <w:tc>
          <w:tcPr>
            <w:tcW w:w="2288" w:type="dxa"/>
            <w:tcBorders>
              <w:top w:val="single" w:sz="4" w:space="0" w:color="auto"/>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single" w:sz="4" w:space="0" w:color="auto"/>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single" w:sz="4" w:space="0" w:color="auto"/>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Togo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Tonga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Trinidad y Tabago</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0,034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0,049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1 182</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1 254</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2 436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spacing w:val="1"/>
                <w:lang w:val="es-ES"/>
              </w:rPr>
              <w:t>T</w:t>
            </w:r>
            <w:r>
              <w:rPr>
                <w:rFonts w:eastAsia="Times New Roman"/>
                <w:lang w:val="es-ES"/>
              </w:rPr>
              <w:t>ú</w:t>
            </w:r>
            <w:r>
              <w:rPr>
                <w:rFonts w:eastAsia="Times New Roman"/>
                <w:spacing w:val="-3"/>
                <w:lang w:val="es-ES"/>
              </w:rPr>
              <w:t>n</w:t>
            </w:r>
            <w:r>
              <w:rPr>
                <w:rFonts w:eastAsia="Times New Roman"/>
                <w:spacing w:val="-2"/>
                <w:lang w:val="es-ES"/>
              </w:rPr>
              <w:t>ez</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0,028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0,041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1 032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2 006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Turkmenistán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0,026</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0,038</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904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959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1 863</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Tu</w:t>
            </w:r>
            <w:r>
              <w:rPr>
                <w:rFonts w:eastAsia="Times New Roman"/>
                <w:spacing w:val="-3"/>
                <w:lang w:val="es-ES"/>
              </w:rPr>
              <w:t>r</w:t>
            </w:r>
            <w:r>
              <w:rPr>
                <w:rFonts w:eastAsia="Times New Roman"/>
                <w:spacing w:val="-2"/>
                <w:lang w:val="es-ES"/>
              </w:rPr>
              <w:t>quía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1,018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1,474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35 395</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37 533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72 928</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Ucrania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0,103</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0,149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3 581</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3 798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7 379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Uganda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Unión Europea</w:t>
            </w:r>
          </w:p>
        </w:tc>
        <w:tc>
          <w:tcPr>
            <w:tcW w:w="2288" w:type="dxa"/>
            <w:tcBorders>
              <w:top w:val="nil"/>
              <w:left w:val="nil"/>
              <w:bottom w:val="single" w:sz="4" w:space="0" w:color="auto"/>
              <w:right w:val="single" w:sz="4" w:space="0" w:color="auto"/>
            </w:tcBorders>
            <w:vAlign w:val="center"/>
          </w:tcPr>
          <w:p w:rsidR="006A15ED" w:rsidRDefault="006A15ED">
            <w:pPr>
              <w:ind w:right="770"/>
              <w:rPr>
                <w:rFonts w:eastAsia="Times New Roman"/>
                <w:lang w:val="es-ES"/>
              </w:rPr>
            </w:pP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2,500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60 033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63 659</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123 692</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Uruguay</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0,079</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0,114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2 747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2 913</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5 659</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Venezuela (República Bolivariana de)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0,571</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0,827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19 853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21 052</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40 906</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Viet Nam</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0,058</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0,084</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2 017</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2 138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4 155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Yemen</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0,010</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255</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495</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Zambia</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0,007</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0,010</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243</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258</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501</w:t>
            </w:r>
          </w:p>
        </w:tc>
      </w:tr>
      <w:tr w:rsidR="006A15ED">
        <w:trPr>
          <w:cantSplit/>
          <w:jc w:val="center"/>
        </w:trPr>
        <w:tc>
          <w:tcPr>
            <w:tcW w:w="2499" w:type="dxa"/>
            <w:tcBorders>
              <w:top w:val="nil"/>
              <w:left w:val="single" w:sz="4" w:space="0" w:color="auto"/>
              <w:bottom w:val="single" w:sz="4" w:space="0" w:color="auto"/>
              <w:right w:val="single" w:sz="4" w:space="0" w:color="auto"/>
            </w:tcBorders>
            <w:vAlign w:val="center"/>
          </w:tcPr>
          <w:p w:rsidR="006A15ED" w:rsidRDefault="006A15ED">
            <w:pPr>
              <w:jc w:val="left"/>
              <w:rPr>
                <w:rFonts w:eastAsia="Times New Roman"/>
              </w:rPr>
            </w:pPr>
            <w:r>
              <w:rPr>
                <w:rFonts w:eastAsia="Times New Roman"/>
                <w:lang w:val="es-ES"/>
              </w:rPr>
              <w:t>Zimbabwe</w:t>
            </w:r>
          </w:p>
        </w:tc>
        <w:tc>
          <w:tcPr>
            <w:tcW w:w="2288" w:type="dxa"/>
            <w:tcBorders>
              <w:top w:val="nil"/>
              <w:left w:val="nil"/>
              <w:bottom w:val="single" w:sz="4" w:space="0" w:color="auto"/>
              <w:right w:val="single" w:sz="4" w:space="0" w:color="auto"/>
            </w:tcBorders>
            <w:vAlign w:val="center"/>
          </w:tcPr>
          <w:p w:rsidR="006A15ED" w:rsidRDefault="006A15ED">
            <w:pPr>
              <w:ind w:right="770"/>
              <w:jc w:val="right"/>
              <w:rPr>
                <w:rFonts w:eastAsia="Times New Roman"/>
                <w:lang w:val="es-ES"/>
              </w:rPr>
            </w:pPr>
            <w:r>
              <w:rPr>
                <w:rFonts w:eastAsia="Times New Roman"/>
                <w:lang w:val="es-ES"/>
              </w:rPr>
              <w:t>0,004</w:t>
            </w:r>
          </w:p>
        </w:tc>
        <w:tc>
          <w:tcPr>
            <w:tcW w:w="3832" w:type="dxa"/>
            <w:tcBorders>
              <w:top w:val="nil"/>
              <w:left w:val="nil"/>
              <w:bottom w:val="single" w:sz="4" w:space="0" w:color="auto"/>
              <w:right w:val="single" w:sz="4" w:space="0" w:color="auto"/>
            </w:tcBorders>
            <w:noWrap/>
            <w:vAlign w:val="center"/>
          </w:tcPr>
          <w:p w:rsidR="006A15ED" w:rsidRDefault="006A15ED">
            <w:pPr>
              <w:ind w:right="1144"/>
              <w:jc w:val="right"/>
              <w:rPr>
                <w:rFonts w:eastAsia="Times New Roman"/>
                <w:lang w:val="es-ES"/>
              </w:rPr>
            </w:pPr>
            <w:r>
              <w:rPr>
                <w:rFonts w:eastAsia="Times New Roman"/>
                <w:lang w:val="es-ES"/>
              </w:rPr>
              <w:t>0,006</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139</w:t>
            </w:r>
          </w:p>
        </w:tc>
        <w:tc>
          <w:tcPr>
            <w:tcW w:w="2125"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147</w:t>
            </w:r>
          </w:p>
        </w:tc>
        <w:tc>
          <w:tcPr>
            <w:tcW w:w="1486" w:type="dxa"/>
            <w:tcBorders>
              <w:top w:val="nil"/>
              <w:left w:val="nil"/>
              <w:bottom w:val="single" w:sz="4" w:space="0" w:color="auto"/>
              <w:right w:val="single" w:sz="4" w:space="0" w:color="auto"/>
            </w:tcBorders>
            <w:noWrap/>
            <w:vAlign w:val="center"/>
          </w:tcPr>
          <w:p w:rsidR="006A15ED" w:rsidRDefault="006A15ED">
            <w:pPr>
              <w:ind w:right="276"/>
              <w:jc w:val="right"/>
              <w:rPr>
                <w:rFonts w:eastAsia="Times New Roman"/>
                <w:lang w:val="es-ES"/>
              </w:rPr>
            </w:pPr>
            <w:r>
              <w:rPr>
                <w:rFonts w:eastAsia="Times New Roman"/>
                <w:lang w:val="es-ES"/>
              </w:rPr>
              <w:t>287</w:t>
            </w:r>
          </w:p>
        </w:tc>
      </w:tr>
      <w:tr w:rsidR="00311468">
        <w:trPr>
          <w:cantSplit/>
          <w:jc w:val="center"/>
        </w:trPr>
        <w:tc>
          <w:tcPr>
            <w:tcW w:w="2499" w:type="dxa"/>
            <w:tcBorders>
              <w:top w:val="nil"/>
              <w:left w:val="single" w:sz="4" w:space="0" w:color="auto"/>
              <w:bottom w:val="single" w:sz="4" w:space="0" w:color="auto"/>
              <w:right w:val="single" w:sz="4" w:space="0" w:color="auto"/>
            </w:tcBorders>
            <w:noWrap/>
            <w:vAlign w:val="center"/>
          </w:tcPr>
          <w:p w:rsidR="00311468" w:rsidRDefault="00311468">
            <w:pPr>
              <w:jc w:val="left"/>
              <w:rPr>
                <w:rFonts w:eastAsia="Times New Roman"/>
              </w:rPr>
            </w:pPr>
            <w:r>
              <w:rPr>
                <w:rFonts w:eastAsia="Times New Roman"/>
                <w:b/>
                <w:lang w:val="es-ES"/>
              </w:rPr>
              <w:t>Total</w:t>
            </w:r>
          </w:p>
        </w:tc>
        <w:tc>
          <w:tcPr>
            <w:tcW w:w="2288" w:type="dxa"/>
            <w:tcBorders>
              <w:top w:val="nil"/>
              <w:left w:val="nil"/>
              <w:bottom w:val="single" w:sz="4" w:space="0" w:color="auto"/>
              <w:right w:val="single" w:sz="4" w:space="0" w:color="auto"/>
            </w:tcBorders>
            <w:noWrap/>
            <w:vAlign w:val="center"/>
          </w:tcPr>
          <w:p w:rsidR="00311468" w:rsidRDefault="00311468">
            <w:pPr>
              <w:ind w:right="770"/>
              <w:jc w:val="right"/>
              <w:rPr>
                <w:rFonts w:eastAsia="Times New Roman"/>
                <w:b/>
                <w:lang w:val="es-ES"/>
              </w:rPr>
            </w:pPr>
            <w:r>
              <w:rPr>
                <w:rFonts w:eastAsia="Times New Roman"/>
                <w:b/>
                <w:lang w:val="es-ES"/>
              </w:rPr>
              <w:t>67,363</w:t>
            </w:r>
          </w:p>
        </w:tc>
        <w:tc>
          <w:tcPr>
            <w:tcW w:w="3832" w:type="dxa"/>
            <w:tcBorders>
              <w:top w:val="nil"/>
              <w:left w:val="nil"/>
              <w:bottom w:val="single" w:sz="4" w:space="0" w:color="auto"/>
              <w:right w:val="single" w:sz="4" w:space="0" w:color="auto"/>
            </w:tcBorders>
            <w:noWrap/>
            <w:vAlign w:val="center"/>
          </w:tcPr>
          <w:p w:rsidR="00311468" w:rsidRDefault="00311468">
            <w:pPr>
              <w:ind w:right="1144"/>
              <w:jc w:val="right"/>
              <w:rPr>
                <w:rFonts w:eastAsia="Times New Roman"/>
                <w:b/>
                <w:lang w:val="es-ES"/>
              </w:rPr>
            </w:pPr>
            <w:r>
              <w:rPr>
                <w:rFonts w:eastAsia="Times New Roman"/>
                <w:b/>
                <w:lang w:val="es-ES"/>
              </w:rPr>
              <w:t>100</w:t>
            </w:r>
          </w:p>
        </w:tc>
        <w:tc>
          <w:tcPr>
            <w:tcW w:w="2125" w:type="dxa"/>
            <w:tcBorders>
              <w:top w:val="nil"/>
              <w:left w:val="nil"/>
              <w:bottom w:val="single" w:sz="4" w:space="0" w:color="auto"/>
              <w:right w:val="single" w:sz="4" w:space="0" w:color="auto"/>
            </w:tcBorders>
            <w:noWrap/>
            <w:vAlign w:val="center"/>
          </w:tcPr>
          <w:p w:rsidR="00311468" w:rsidRDefault="00311468">
            <w:pPr>
              <w:ind w:right="276"/>
              <w:jc w:val="right"/>
              <w:rPr>
                <w:rFonts w:eastAsia="Times New Roman"/>
                <w:b/>
                <w:lang w:val="es-ES"/>
              </w:rPr>
            </w:pPr>
            <w:r>
              <w:rPr>
                <w:rFonts w:eastAsia="Times New Roman"/>
                <w:b/>
                <w:lang w:val="es-ES"/>
              </w:rPr>
              <w:t>2 401 320</w:t>
            </w:r>
          </w:p>
        </w:tc>
        <w:tc>
          <w:tcPr>
            <w:tcW w:w="2125" w:type="dxa"/>
            <w:tcBorders>
              <w:top w:val="nil"/>
              <w:left w:val="nil"/>
              <w:bottom w:val="single" w:sz="4" w:space="0" w:color="auto"/>
              <w:right w:val="single" w:sz="4" w:space="0" w:color="auto"/>
            </w:tcBorders>
            <w:noWrap/>
            <w:vAlign w:val="center"/>
          </w:tcPr>
          <w:p w:rsidR="00311468" w:rsidRDefault="00311468">
            <w:pPr>
              <w:ind w:right="276"/>
              <w:jc w:val="right"/>
              <w:rPr>
                <w:rFonts w:eastAsia="Times New Roman"/>
                <w:b/>
                <w:lang w:val="es-ES"/>
              </w:rPr>
            </w:pPr>
            <w:r>
              <w:rPr>
                <w:rFonts w:eastAsia="Times New Roman"/>
                <w:b/>
                <w:lang w:val="es-ES"/>
              </w:rPr>
              <w:t>2 546 370</w:t>
            </w:r>
          </w:p>
        </w:tc>
        <w:tc>
          <w:tcPr>
            <w:tcW w:w="1486" w:type="dxa"/>
            <w:tcBorders>
              <w:top w:val="nil"/>
              <w:left w:val="nil"/>
              <w:bottom w:val="single" w:sz="4" w:space="0" w:color="auto"/>
              <w:right w:val="single" w:sz="4" w:space="0" w:color="auto"/>
            </w:tcBorders>
            <w:noWrap/>
            <w:vAlign w:val="center"/>
          </w:tcPr>
          <w:p w:rsidR="00311468" w:rsidRDefault="00311468">
            <w:pPr>
              <w:ind w:right="276"/>
              <w:jc w:val="right"/>
              <w:rPr>
                <w:rFonts w:eastAsia="Times New Roman"/>
                <w:b/>
                <w:lang w:val="es-ES"/>
              </w:rPr>
            </w:pPr>
            <w:r>
              <w:rPr>
                <w:rFonts w:eastAsia="Times New Roman"/>
                <w:b/>
                <w:lang w:val="es-ES"/>
              </w:rPr>
              <w:t>4 947 690</w:t>
            </w:r>
          </w:p>
        </w:tc>
      </w:tr>
    </w:tbl>
    <w:p w:rsidR="00311468" w:rsidRDefault="00311468">
      <w:pPr>
        <w:suppressLineNumbers/>
        <w:suppressAutoHyphens/>
        <w:rPr>
          <w:rFonts w:eastAsia="Times New Roman"/>
          <w:kern w:val="22"/>
          <w:lang w:val="es-ES"/>
        </w:rPr>
      </w:pPr>
    </w:p>
    <w:p w:rsidR="00311468" w:rsidRDefault="00311468">
      <w:pPr>
        <w:suppressLineNumbers/>
        <w:suppressAutoHyphens/>
        <w:jc w:val="center"/>
        <w:rPr>
          <w:rFonts w:eastAsia="Times New Roman"/>
          <w:kern w:val="22"/>
          <w:lang w:val="es-ES"/>
        </w:rPr>
      </w:pPr>
      <w:r>
        <w:rPr>
          <w:rFonts w:eastAsia="Times New Roman"/>
          <w:kern w:val="22"/>
          <w:lang w:val="es-ES"/>
        </w:rPr>
        <w:t>__________</w:t>
      </w:r>
    </w:p>
    <w:p w:rsidR="00311468" w:rsidRDefault="00311468">
      <w:pPr>
        <w:suppressLineNumbers/>
        <w:suppressAutoHyphens/>
        <w:spacing w:after="160" w:line="259" w:lineRule="auto"/>
        <w:jc w:val="left"/>
        <w:rPr>
          <w:rFonts w:eastAsia="Times New Roman"/>
          <w:kern w:val="22"/>
          <w:lang w:val="es-ES"/>
        </w:rPr>
      </w:pPr>
    </w:p>
    <w:sectPr w:rsidR="00311468" w:rsidSect="002261E1">
      <w:pgSz w:w="15840" w:h="12240" w:orient="landscape"/>
      <w:pgMar w:top="1389" w:right="567" w:bottom="138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017" w:rsidRDefault="007F0017">
      <w:pPr>
        <w:rPr>
          <w:rFonts w:eastAsia="Times New Roman"/>
        </w:rPr>
      </w:pPr>
      <w:r>
        <w:rPr>
          <w:rFonts w:eastAsia="Times New Roman"/>
        </w:rPr>
        <w:separator/>
      </w:r>
    </w:p>
  </w:endnote>
  <w:endnote w:type="continuationSeparator" w:id="0">
    <w:p w:rsidR="007F0017" w:rsidRDefault="007F0017">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20000003" w:usb1="00000000" w:usb2="00000000" w:usb3="00000000" w:csb0="000001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017" w:rsidRDefault="007F0017">
      <w:pPr>
        <w:rPr>
          <w:rFonts w:eastAsia="Times New Roman"/>
        </w:rPr>
      </w:pPr>
      <w:r>
        <w:rPr>
          <w:rFonts w:eastAsia="Times New Roman"/>
        </w:rPr>
        <w:separator/>
      </w:r>
    </w:p>
  </w:footnote>
  <w:footnote w:type="continuationSeparator" w:id="0">
    <w:p w:rsidR="007F0017" w:rsidRDefault="007F0017">
      <w:pPr>
        <w:rPr>
          <w:rFonts w:eastAsia="Times New Roman"/>
        </w:rPr>
      </w:pPr>
      <w:r>
        <w:rPr>
          <w:rFonts w:eastAsia="Times New Roman"/>
        </w:rPr>
        <w:continuationSeparator/>
      </w:r>
    </w:p>
  </w:footnote>
  <w:footnote w:id="1">
    <w:p w:rsidR="005A39C3" w:rsidRDefault="005A39C3" w:rsidP="00B7536E">
      <w:pPr>
        <w:pStyle w:val="FootnoteText"/>
        <w:ind w:firstLine="0"/>
        <w:jc w:val="left"/>
        <w:rPr>
          <w:rFonts w:eastAsia="Times New Roman"/>
        </w:rPr>
      </w:pPr>
      <w:r w:rsidRPr="00D21E29">
        <w:rPr>
          <w:rStyle w:val="FootnoteReference"/>
          <w:rFonts w:eastAsia="Times New Roman"/>
          <w:kern w:val="18"/>
          <w:sz w:val="18"/>
          <w:szCs w:val="18"/>
        </w:rPr>
        <w:footnoteRef/>
      </w:r>
      <w:r w:rsidRPr="00D21E29">
        <w:rPr>
          <w:rFonts w:eastAsia="Times New Roman"/>
          <w:kern w:val="18"/>
          <w:szCs w:val="18"/>
        </w:rPr>
        <w:t xml:space="preserve"> </w:t>
      </w:r>
      <w:r w:rsidRPr="00D21E29">
        <w:rPr>
          <w:rFonts w:eastAsia="Times New Roman"/>
          <w:kern w:val="18"/>
          <w:szCs w:val="18"/>
          <w:lang w:val="es-ES"/>
        </w:rPr>
        <w:t>Véase la nota del cuadro 2. Con arreglo a la resolución 70/245 de la Asamblea General de las Naciones Unidas.</w:t>
      </w:r>
    </w:p>
  </w:footnote>
  <w:footnote w:id="2">
    <w:p w:rsidR="005A39C3" w:rsidRDefault="005A39C3">
      <w:pPr>
        <w:pStyle w:val="FootnoteText"/>
        <w:ind w:firstLine="0"/>
        <w:jc w:val="left"/>
        <w:rPr>
          <w:rFonts w:eastAsia="Times New Roman"/>
        </w:rPr>
      </w:pPr>
      <w:r>
        <w:rPr>
          <w:rStyle w:val="FootnoteReference"/>
          <w:rFonts w:eastAsia="Times New Roman"/>
          <w:color w:val="000000"/>
          <w:kern w:val="18"/>
        </w:rPr>
        <w:footnoteRef/>
      </w:r>
      <w:r>
        <w:rPr>
          <w:rFonts w:eastAsia="Times New Roman"/>
          <w:color w:val="000000"/>
          <w:kern w:val="18"/>
        </w:rPr>
        <w:t xml:space="preserve"> </w:t>
      </w:r>
      <w:r>
        <w:rPr>
          <w:rFonts w:eastAsia="Times New Roman"/>
          <w:lang w:val="es-ES"/>
        </w:rPr>
        <w:t>Con arreglo a la resolución 70/245 de la Asamblea General de Naciones Unidas.</w:t>
      </w:r>
      <w:r>
        <w:rPr>
          <w:rFonts w:eastAsia="Times New Roman"/>
          <w:kern w:val="18"/>
          <w:lang w:val="es-ES"/>
        </w:rPr>
        <w:t xml:space="preserve"> </w:t>
      </w:r>
      <w:r w:rsidR="00F939C1">
        <w:rPr>
          <w:rFonts w:eastAsia="Times New Roman"/>
          <w:kern w:val="18"/>
          <w:lang w:val="es-ES"/>
        </w:rPr>
        <w:t>Cuando</w:t>
      </w:r>
      <w:r>
        <w:rPr>
          <w:rFonts w:eastAsia="Times New Roman"/>
          <w:kern w:val="18"/>
          <w:lang w:val="es-ES"/>
        </w:rPr>
        <w:t xml:space="preserve"> se emita una escala revisada de cuotas para el trienio</w:t>
      </w:r>
      <w:r w:rsidR="000C7F62">
        <w:rPr>
          <w:rFonts w:eastAsia="Times New Roman"/>
          <w:kern w:val="18"/>
          <w:lang w:val="es-ES"/>
        </w:rPr>
        <w:t xml:space="preserve"> esta se aplicará para </w:t>
      </w:r>
      <w:r>
        <w:rPr>
          <w:rFonts w:eastAsia="Times New Roman"/>
          <w:kern w:val="18"/>
          <w:lang w:val="es-ES"/>
        </w:rPr>
        <w:t xml:space="preserve">calcular las contribuciones prorrateadas para el bienio 2019-2020 (véase la notificación </w:t>
      </w:r>
      <w:hyperlink r:id="rId1" w:history="1">
        <w:r>
          <w:rPr>
            <w:rStyle w:val="Hyperlink"/>
            <w:rFonts w:eastAsia="Times New Roman"/>
            <w:lang w:val="es-MX"/>
          </w:rPr>
          <w:t>https://www.cbd.int/doc/notifications/2019/ntf-2019-016-budget-cp-en.pdf</w:t>
        </w:r>
      </w:hyperlink>
      <w:r>
        <w:rPr>
          <w:rFonts w:eastAsia="Times New Roman"/>
          <w:kern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C3" w:rsidRDefault="005A39C3">
    <w:pPr>
      <w:pStyle w:val="Header"/>
      <w:tabs>
        <w:tab w:val="clear" w:pos="4320"/>
        <w:tab w:val="clear" w:pos="8640"/>
      </w:tabs>
      <w:jc w:val="left"/>
      <w:rPr>
        <w:rFonts w:eastAsia="Times New Roman"/>
        <w:kern w:val="22"/>
        <w:lang w:val="es-ES"/>
      </w:rPr>
    </w:pPr>
    <w:r>
      <w:rPr>
        <w:rFonts w:eastAsia="Times New Roman"/>
        <w:kern w:val="22"/>
        <w:lang w:val="es-ES"/>
      </w:rPr>
      <w:t>CBD/CP/MOP/DEC/9/16</w:t>
    </w:r>
  </w:p>
  <w:p w:rsidR="005A39C3" w:rsidRDefault="005A39C3">
    <w:pPr>
      <w:pStyle w:val="Header"/>
      <w:tabs>
        <w:tab w:val="clear" w:pos="4320"/>
        <w:tab w:val="clear" w:pos="8640"/>
      </w:tabs>
      <w:jc w:val="left"/>
      <w:rPr>
        <w:rFonts w:eastAsia="Times New Roman"/>
        <w:kern w:val="22"/>
        <w:lang w:val="es-ES"/>
      </w:rPr>
    </w:pPr>
    <w:r>
      <w:rPr>
        <w:rFonts w:eastAsia="Times New Roman"/>
        <w:kern w:val="22"/>
        <w:lang w:val="es-ES"/>
      </w:rPr>
      <w:t xml:space="preserve">Página </w:t>
    </w:r>
    <w:r>
      <w:rPr>
        <w:rFonts w:eastAsia="Times New Roman"/>
        <w:kern w:val="22"/>
        <w:lang w:val="es-ES"/>
      </w:rPr>
      <w:fldChar w:fldCharType="begin"/>
    </w:r>
    <w:r>
      <w:rPr>
        <w:rFonts w:eastAsia="Times New Roman"/>
        <w:kern w:val="22"/>
        <w:lang w:val="es-ES"/>
      </w:rPr>
      <w:instrText xml:space="preserve"> PAGE   \* MERGEFORMAT </w:instrText>
    </w:r>
    <w:r>
      <w:rPr>
        <w:rFonts w:eastAsia="Times New Roman"/>
        <w:kern w:val="22"/>
        <w:lang w:val="es-ES"/>
      </w:rPr>
      <w:fldChar w:fldCharType="separate"/>
    </w:r>
    <w:r w:rsidR="003B40E8" w:rsidRPr="003B40E8">
      <w:rPr>
        <w:rFonts w:eastAsia="Times New Roman"/>
        <w:noProof/>
        <w:kern w:val="22"/>
      </w:rPr>
      <w:t>10</w:t>
    </w:r>
    <w:r>
      <w:rPr>
        <w:rFonts w:eastAsia="Times New Roman"/>
        <w:kern w:val="22"/>
        <w:lang w:val="es-ES"/>
      </w:rPr>
      <w:fldChar w:fldCharType="end"/>
    </w:r>
  </w:p>
  <w:p w:rsidR="005A39C3" w:rsidRDefault="005A39C3">
    <w:pPr>
      <w:pStyle w:val="Header"/>
      <w:tabs>
        <w:tab w:val="clear" w:pos="4320"/>
        <w:tab w:val="clear" w:pos="8640"/>
      </w:tabs>
      <w:jc w:val="left"/>
      <w:rPr>
        <w:rFonts w:eastAsia="Times New Roman"/>
        <w:noProof/>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C3" w:rsidRDefault="005A39C3">
    <w:pPr>
      <w:pStyle w:val="Header"/>
      <w:tabs>
        <w:tab w:val="clear" w:pos="4320"/>
        <w:tab w:val="clear" w:pos="8640"/>
      </w:tabs>
      <w:jc w:val="right"/>
      <w:rPr>
        <w:rFonts w:eastAsia="Times New Roman"/>
        <w:kern w:val="22"/>
        <w:lang w:val="es-ES"/>
      </w:rPr>
    </w:pPr>
    <w:r>
      <w:rPr>
        <w:rFonts w:eastAsia="Times New Roman"/>
        <w:kern w:val="22"/>
        <w:lang w:val="es-ES"/>
      </w:rPr>
      <w:t>CBD/CP/MOP/DEC/9/16</w:t>
    </w:r>
  </w:p>
  <w:p w:rsidR="005A39C3" w:rsidRDefault="005A39C3">
    <w:pPr>
      <w:pStyle w:val="Header"/>
      <w:tabs>
        <w:tab w:val="clear" w:pos="4320"/>
        <w:tab w:val="clear" w:pos="8640"/>
      </w:tabs>
      <w:jc w:val="right"/>
      <w:rPr>
        <w:rFonts w:eastAsia="Times New Roman"/>
        <w:kern w:val="22"/>
        <w:lang w:val="es-ES"/>
      </w:rPr>
    </w:pPr>
    <w:r>
      <w:rPr>
        <w:rFonts w:eastAsia="Times New Roman"/>
        <w:kern w:val="22"/>
        <w:lang w:val="es-ES"/>
      </w:rPr>
      <w:t xml:space="preserve">Página </w:t>
    </w:r>
    <w:r>
      <w:rPr>
        <w:rFonts w:eastAsia="Times New Roman"/>
        <w:kern w:val="22"/>
        <w:lang w:val="es-ES"/>
      </w:rPr>
      <w:fldChar w:fldCharType="begin"/>
    </w:r>
    <w:r>
      <w:rPr>
        <w:rFonts w:eastAsia="Times New Roman"/>
        <w:kern w:val="22"/>
        <w:lang w:val="es-ES"/>
      </w:rPr>
      <w:instrText xml:space="preserve"> PAGE   \* MERGEFORMAT </w:instrText>
    </w:r>
    <w:r>
      <w:rPr>
        <w:rFonts w:eastAsia="Times New Roman"/>
        <w:kern w:val="22"/>
        <w:lang w:val="es-ES"/>
      </w:rPr>
      <w:fldChar w:fldCharType="separate"/>
    </w:r>
    <w:r w:rsidR="003B40E8" w:rsidRPr="003B40E8">
      <w:rPr>
        <w:rFonts w:eastAsia="Times New Roman"/>
        <w:noProof/>
        <w:kern w:val="22"/>
      </w:rPr>
      <w:t>9</w:t>
    </w:r>
    <w:r>
      <w:rPr>
        <w:rFonts w:eastAsia="Times New Roman"/>
        <w:kern w:val="22"/>
        <w:lang w:val="es-ES"/>
      </w:rPr>
      <w:fldChar w:fldCharType="end"/>
    </w:r>
  </w:p>
  <w:p w:rsidR="005A39C3" w:rsidRDefault="005A39C3">
    <w:pPr>
      <w:pStyle w:val="Header"/>
      <w:tabs>
        <w:tab w:val="clear" w:pos="4320"/>
        <w:tab w:val="clear" w:pos="8640"/>
      </w:tabs>
      <w:jc w:val="right"/>
      <w:rPr>
        <w:rFonts w:eastAsia="Times New Roman"/>
        <w:kern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4D753F"/>
    <w:multiLevelType w:val="hybridMultilevel"/>
    <w:tmpl w:val="7D42E2E6"/>
    <w:lvl w:ilvl="0" w:tplc="022CD2EA">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000EF"/>
    <w:rsid w:val="00000614"/>
    <w:rsid w:val="000161A2"/>
    <w:rsid w:val="0001735B"/>
    <w:rsid w:val="000360CD"/>
    <w:rsid w:val="00080EEB"/>
    <w:rsid w:val="00087432"/>
    <w:rsid w:val="00090B8E"/>
    <w:rsid w:val="00097E25"/>
    <w:rsid w:val="000A40F5"/>
    <w:rsid w:val="000B467D"/>
    <w:rsid w:val="000C7F62"/>
    <w:rsid w:val="000E673A"/>
    <w:rsid w:val="000F3AA7"/>
    <w:rsid w:val="000F74F5"/>
    <w:rsid w:val="00101EB0"/>
    <w:rsid w:val="00105372"/>
    <w:rsid w:val="00105707"/>
    <w:rsid w:val="00131E7A"/>
    <w:rsid w:val="001372FB"/>
    <w:rsid w:val="0014534C"/>
    <w:rsid w:val="00161418"/>
    <w:rsid w:val="00172AF6"/>
    <w:rsid w:val="00176CEE"/>
    <w:rsid w:val="00180789"/>
    <w:rsid w:val="001810BD"/>
    <w:rsid w:val="00185B0E"/>
    <w:rsid w:val="00197140"/>
    <w:rsid w:val="001C01B5"/>
    <w:rsid w:val="001C0633"/>
    <w:rsid w:val="001C261A"/>
    <w:rsid w:val="001D35AB"/>
    <w:rsid w:val="001E2D46"/>
    <w:rsid w:val="001E426F"/>
    <w:rsid w:val="0021167A"/>
    <w:rsid w:val="002261E1"/>
    <w:rsid w:val="002430C5"/>
    <w:rsid w:val="00251B1F"/>
    <w:rsid w:val="00257C34"/>
    <w:rsid w:val="002725A8"/>
    <w:rsid w:val="002732EB"/>
    <w:rsid w:val="00274CDB"/>
    <w:rsid w:val="002B56FD"/>
    <w:rsid w:val="002B6E4B"/>
    <w:rsid w:val="002C066A"/>
    <w:rsid w:val="002C0D22"/>
    <w:rsid w:val="002C7A6E"/>
    <w:rsid w:val="002D5EB2"/>
    <w:rsid w:val="002E4BD8"/>
    <w:rsid w:val="002F6B5C"/>
    <w:rsid w:val="00311468"/>
    <w:rsid w:val="00340111"/>
    <w:rsid w:val="003468A8"/>
    <w:rsid w:val="00355034"/>
    <w:rsid w:val="00372F74"/>
    <w:rsid w:val="00380898"/>
    <w:rsid w:val="00382701"/>
    <w:rsid w:val="0038300D"/>
    <w:rsid w:val="003940E3"/>
    <w:rsid w:val="003B07AD"/>
    <w:rsid w:val="003B0950"/>
    <w:rsid w:val="003B40E8"/>
    <w:rsid w:val="003F7224"/>
    <w:rsid w:val="00405146"/>
    <w:rsid w:val="0040665F"/>
    <w:rsid w:val="00417600"/>
    <w:rsid w:val="0042412C"/>
    <w:rsid w:val="00427D21"/>
    <w:rsid w:val="0044118A"/>
    <w:rsid w:val="004644C2"/>
    <w:rsid w:val="00467F9C"/>
    <w:rsid w:val="004955BF"/>
    <w:rsid w:val="004B22EB"/>
    <w:rsid w:val="004C337D"/>
    <w:rsid w:val="004C6444"/>
    <w:rsid w:val="004D49CB"/>
    <w:rsid w:val="004D7EE8"/>
    <w:rsid w:val="004E63B0"/>
    <w:rsid w:val="004F1874"/>
    <w:rsid w:val="004F3E7D"/>
    <w:rsid w:val="004F5331"/>
    <w:rsid w:val="004F64EB"/>
    <w:rsid w:val="00500578"/>
    <w:rsid w:val="00502D0F"/>
    <w:rsid w:val="00505B85"/>
    <w:rsid w:val="00506A78"/>
    <w:rsid w:val="005078DD"/>
    <w:rsid w:val="00516F2B"/>
    <w:rsid w:val="00523214"/>
    <w:rsid w:val="00534681"/>
    <w:rsid w:val="00545B96"/>
    <w:rsid w:val="00565E72"/>
    <w:rsid w:val="00572E05"/>
    <w:rsid w:val="00591133"/>
    <w:rsid w:val="00596779"/>
    <w:rsid w:val="00597DD5"/>
    <w:rsid w:val="005A39C3"/>
    <w:rsid w:val="005C1D88"/>
    <w:rsid w:val="005D4B1D"/>
    <w:rsid w:val="005E32D2"/>
    <w:rsid w:val="005F05DF"/>
    <w:rsid w:val="005F28EA"/>
    <w:rsid w:val="006122BA"/>
    <w:rsid w:val="0061445E"/>
    <w:rsid w:val="00625A93"/>
    <w:rsid w:val="0062698D"/>
    <w:rsid w:val="0064537B"/>
    <w:rsid w:val="0065241B"/>
    <w:rsid w:val="00683515"/>
    <w:rsid w:val="006924DD"/>
    <w:rsid w:val="006A15ED"/>
    <w:rsid w:val="006A5E52"/>
    <w:rsid w:val="006A668D"/>
    <w:rsid w:val="006A7444"/>
    <w:rsid w:val="006B2290"/>
    <w:rsid w:val="006C6696"/>
    <w:rsid w:val="006D7F25"/>
    <w:rsid w:val="006E1526"/>
    <w:rsid w:val="006F1189"/>
    <w:rsid w:val="007014C8"/>
    <w:rsid w:val="00701C25"/>
    <w:rsid w:val="00702AC1"/>
    <w:rsid w:val="00702C88"/>
    <w:rsid w:val="00717D88"/>
    <w:rsid w:val="00723EEE"/>
    <w:rsid w:val="0072434F"/>
    <w:rsid w:val="00765118"/>
    <w:rsid w:val="00771D15"/>
    <w:rsid w:val="00785933"/>
    <w:rsid w:val="007940D5"/>
    <w:rsid w:val="007942D3"/>
    <w:rsid w:val="007B6C09"/>
    <w:rsid w:val="007B792A"/>
    <w:rsid w:val="007C2C90"/>
    <w:rsid w:val="007C37E4"/>
    <w:rsid w:val="007D099D"/>
    <w:rsid w:val="007D5089"/>
    <w:rsid w:val="007E09DA"/>
    <w:rsid w:val="007E4040"/>
    <w:rsid w:val="007F0017"/>
    <w:rsid w:val="00802074"/>
    <w:rsid w:val="00803DFA"/>
    <w:rsid w:val="0080531A"/>
    <w:rsid w:val="0081712D"/>
    <w:rsid w:val="008177BE"/>
    <w:rsid w:val="008178B6"/>
    <w:rsid w:val="00820A2E"/>
    <w:rsid w:val="008218A5"/>
    <w:rsid w:val="00833920"/>
    <w:rsid w:val="00850F52"/>
    <w:rsid w:val="00865B74"/>
    <w:rsid w:val="00894CCF"/>
    <w:rsid w:val="00897FF0"/>
    <w:rsid w:val="008C7BC0"/>
    <w:rsid w:val="008D136F"/>
    <w:rsid w:val="008E044D"/>
    <w:rsid w:val="00930BA1"/>
    <w:rsid w:val="0093169E"/>
    <w:rsid w:val="0093656B"/>
    <w:rsid w:val="009505C9"/>
    <w:rsid w:val="009526BA"/>
    <w:rsid w:val="009C200D"/>
    <w:rsid w:val="009D12DD"/>
    <w:rsid w:val="009D4600"/>
    <w:rsid w:val="009F1FCB"/>
    <w:rsid w:val="00A06986"/>
    <w:rsid w:val="00A10607"/>
    <w:rsid w:val="00A1206D"/>
    <w:rsid w:val="00A22967"/>
    <w:rsid w:val="00A22C02"/>
    <w:rsid w:val="00A40B4F"/>
    <w:rsid w:val="00A57394"/>
    <w:rsid w:val="00A60AC0"/>
    <w:rsid w:val="00A740C0"/>
    <w:rsid w:val="00A75C22"/>
    <w:rsid w:val="00AA655C"/>
    <w:rsid w:val="00AB77D1"/>
    <w:rsid w:val="00AD2802"/>
    <w:rsid w:val="00AD46D6"/>
    <w:rsid w:val="00AE53FB"/>
    <w:rsid w:val="00B1510A"/>
    <w:rsid w:val="00B161CD"/>
    <w:rsid w:val="00B30A0C"/>
    <w:rsid w:val="00B31607"/>
    <w:rsid w:val="00B3369F"/>
    <w:rsid w:val="00B46166"/>
    <w:rsid w:val="00B54EFC"/>
    <w:rsid w:val="00B7536E"/>
    <w:rsid w:val="00B83355"/>
    <w:rsid w:val="00B9226E"/>
    <w:rsid w:val="00BC3C7A"/>
    <w:rsid w:val="00BC6EAE"/>
    <w:rsid w:val="00BF449D"/>
    <w:rsid w:val="00BF67E1"/>
    <w:rsid w:val="00C46262"/>
    <w:rsid w:val="00C5070A"/>
    <w:rsid w:val="00C50B93"/>
    <w:rsid w:val="00C678EF"/>
    <w:rsid w:val="00C86770"/>
    <w:rsid w:val="00C9161D"/>
    <w:rsid w:val="00CA2944"/>
    <w:rsid w:val="00CB25AF"/>
    <w:rsid w:val="00CC4423"/>
    <w:rsid w:val="00CC72AB"/>
    <w:rsid w:val="00CD59F9"/>
    <w:rsid w:val="00CD6073"/>
    <w:rsid w:val="00CF1848"/>
    <w:rsid w:val="00D02B7E"/>
    <w:rsid w:val="00D11D94"/>
    <w:rsid w:val="00D12044"/>
    <w:rsid w:val="00D16340"/>
    <w:rsid w:val="00D21E29"/>
    <w:rsid w:val="00D24052"/>
    <w:rsid w:val="00D47191"/>
    <w:rsid w:val="00D47611"/>
    <w:rsid w:val="00D55ECC"/>
    <w:rsid w:val="00D76A18"/>
    <w:rsid w:val="00D84B46"/>
    <w:rsid w:val="00DA41A6"/>
    <w:rsid w:val="00DB1EF2"/>
    <w:rsid w:val="00DB2755"/>
    <w:rsid w:val="00DC012A"/>
    <w:rsid w:val="00DC107B"/>
    <w:rsid w:val="00DD118C"/>
    <w:rsid w:val="00DE38F0"/>
    <w:rsid w:val="00E16F77"/>
    <w:rsid w:val="00E2526A"/>
    <w:rsid w:val="00E37882"/>
    <w:rsid w:val="00E47F26"/>
    <w:rsid w:val="00E66235"/>
    <w:rsid w:val="00E748C8"/>
    <w:rsid w:val="00E83C24"/>
    <w:rsid w:val="00E8506B"/>
    <w:rsid w:val="00E9318D"/>
    <w:rsid w:val="00EA3EF1"/>
    <w:rsid w:val="00EC3645"/>
    <w:rsid w:val="00ED6608"/>
    <w:rsid w:val="00EF121C"/>
    <w:rsid w:val="00EF42BC"/>
    <w:rsid w:val="00F018BE"/>
    <w:rsid w:val="00F23424"/>
    <w:rsid w:val="00F25DFA"/>
    <w:rsid w:val="00F30585"/>
    <w:rsid w:val="00F32955"/>
    <w:rsid w:val="00F36002"/>
    <w:rsid w:val="00F361E3"/>
    <w:rsid w:val="00F41283"/>
    <w:rsid w:val="00F42B13"/>
    <w:rsid w:val="00F55A78"/>
    <w:rsid w:val="00F7375B"/>
    <w:rsid w:val="00F939C1"/>
    <w:rsid w:val="00F94774"/>
    <w:rsid w:val="00FC22B8"/>
    <w:rsid w:val="00FC53DB"/>
    <w:rsid w:val="00FD5ECE"/>
    <w:rsid w:val="00FE161B"/>
    <w:rsid w:val="00FE3223"/>
    <w:rsid w:val="00FE6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6"/>
    <w:qFormat/>
    <w:rsid w:val="002261E1"/>
    <w:pPr>
      <w:jc w:val="both"/>
    </w:pPr>
    <w:rPr>
      <w:rFonts w:eastAsia="MS Mincho"/>
      <w:snapToGrid w:val="0"/>
      <w:sz w:val="22"/>
      <w:szCs w:val="24"/>
      <w:lang w:val="en-GB" w:eastAsia="es-ES"/>
    </w:rPr>
  </w:style>
  <w:style w:type="paragraph" w:styleId="Heading1">
    <w:name w:val="heading 1"/>
    <w:basedOn w:val="Normal"/>
    <w:next w:val="Heading2"/>
    <w:qFormat/>
    <w:rsid w:val="002261E1"/>
    <w:pPr>
      <w:keepNext/>
      <w:tabs>
        <w:tab w:val="left" w:pos="720"/>
      </w:tabs>
      <w:spacing w:before="240" w:after="120"/>
      <w:jc w:val="center"/>
      <w:outlineLvl w:val="0"/>
    </w:pPr>
    <w:rPr>
      <w:b/>
      <w:caps/>
    </w:rPr>
  </w:style>
  <w:style w:type="paragraph" w:styleId="Heading2">
    <w:name w:val="heading 2"/>
    <w:aliases w:val="Heading 2 Char"/>
    <w:basedOn w:val="Normal"/>
    <w:next w:val="Normal"/>
    <w:link w:val="FollowedHyperlink"/>
    <w:qFormat/>
    <w:rsid w:val="002261E1"/>
    <w:pPr>
      <w:keepNext/>
      <w:tabs>
        <w:tab w:val="left" w:pos="720"/>
      </w:tabs>
      <w:spacing w:before="120" w:after="120"/>
      <w:jc w:val="center"/>
      <w:outlineLvl w:val="1"/>
    </w:pPr>
    <w:rPr>
      <w:b/>
      <w:bCs/>
      <w:iCs/>
    </w:rPr>
  </w:style>
  <w:style w:type="paragraph" w:styleId="Heading3">
    <w:name w:val="heading 3"/>
    <w:basedOn w:val="Normal"/>
    <w:next w:val="Normal"/>
    <w:link w:val="Heading3Char1"/>
    <w:qFormat/>
    <w:rsid w:val="002261E1"/>
    <w:pPr>
      <w:keepNext/>
      <w:tabs>
        <w:tab w:val="left" w:pos="567"/>
      </w:tabs>
      <w:spacing w:before="120" w:after="120"/>
      <w:jc w:val="center"/>
      <w:outlineLvl w:val="2"/>
    </w:pPr>
    <w:rPr>
      <w:i/>
      <w:iCs/>
    </w:rPr>
  </w:style>
  <w:style w:type="paragraph" w:styleId="Heading4">
    <w:name w:val="heading 4"/>
    <w:basedOn w:val="Normal"/>
    <w:qFormat/>
    <w:rsid w:val="002261E1"/>
    <w:pPr>
      <w:keepNext/>
      <w:spacing w:before="120" w:after="120"/>
      <w:outlineLvl w:val="3"/>
    </w:pPr>
    <w:rPr>
      <w:rFonts w:ascii="Times New Roman Bold" w:eastAsia="Times New Roman" w:hAnsi="Times New Roman Bold" w:cs="Arial"/>
      <w:b/>
      <w:bCs/>
      <w:i/>
    </w:rPr>
  </w:style>
  <w:style w:type="paragraph" w:styleId="Heading5">
    <w:name w:val="heading 5"/>
    <w:aliases w:val="Heading 5 Char1"/>
    <w:basedOn w:val="Normal"/>
    <w:next w:val="Normal"/>
    <w:link w:val="CommentReference"/>
    <w:qFormat/>
    <w:rsid w:val="002261E1"/>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2261E1"/>
    <w:pPr>
      <w:keepNext/>
      <w:spacing w:after="240" w:line="240" w:lineRule="exact"/>
      <w:ind w:left="720"/>
      <w:outlineLvl w:val="5"/>
    </w:pPr>
    <w:rPr>
      <w:u w:val="single"/>
    </w:rPr>
  </w:style>
  <w:style w:type="paragraph" w:styleId="Heading7">
    <w:name w:val="heading 7"/>
    <w:basedOn w:val="Normal"/>
    <w:next w:val="Normal"/>
    <w:qFormat/>
    <w:rsid w:val="002261E1"/>
    <w:pPr>
      <w:keepNext/>
      <w:jc w:val="right"/>
      <w:outlineLvl w:val="6"/>
    </w:pPr>
    <w:rPr>
      <w:b/>
      <w:sz w:val="28"/>
    </w:rPr>
  </w:style>
  <w:style w:type="paragraph" w:styleId="Heading8">
    <w:name w:val="heading 8"/>
    <w:basedOn w:val="Normal"/>
    <w:next w:val="Normal"/>
    <w:qFormat/>
    <w:rsid w:val="002261E1"/>
    <w:pPr>
      <w:keepNext/>
      <w:jc w:val="right"/>
      <w:outlineLvl w:val="7"/>
    </w:pPr>
    <w:rPr>
      <w:b/>
      <w:sz w:val="32"/>
    </w:rPr>
  </w:style>
  <w:style w:type="paragraph" w:styleId="Heading9">
    <w:name w:val="heading 9"/>
    <w:basedOn w:val="Normal"/>
    <w:next w:val="Normal"/>
    <w:link w:val="Heading9Char1"/>
    <w:qFormat/>
    <w:rsid w:val="002261E1"/>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1">
    <w:name w:val="Heading 9 Char1"/>
    <w:basedOn w:val="DefaultParagraphFont"/>
    <w:link w:val="Heading9"/>
    <w:locked/>
    <w:rsid w:val="002261E1"/>
    <w:rPr>
      <w:rFonts w:ascii="Times New Roman" w:hAnsi="Times New Roman" w:cs="Times New Roman"/>
      <w:b/>
      <w:bCs/>
      <w:iCs/>
      <w:sz w:val="22"/>
      <w:lang w:val="en-GB"/>
    </w:rPr>
  </w:style>
  <w:style w:type="character" w:customStyle="1" w:styleId="FooterChar">
    <w:name w:val="Footer Char"/>
    <w:basedOn w:val="DefaultParagraphFont"/>
    <w:link w:val="Footer"/>
    <w:locked/>
    <w:rsid w:val="002261E1"/>
    <w:rPr>
      <w:rFonts w:ascii="Times New Roman" w:hAnsi="Times New Roman" w:cs="Times New Roman"/>
      <w:b/>
      <w:caps/>
      <w:sz w:val="22"/>
      <w:lang w:val="en-GB"/>
    </w:rPr>
  </w:style>
  <w:style w:type="character" w:customStyle="1" w:styleId="Heading3Char">
    <w:name w:val="Heading 3 Char"/>
    <w:basedOn w:val="DefaultParagraphFont"/>
    <w:locked/>
    <w:rsid w:val="002261E1"/>
    <w:rPr>
      <w:rFonts w:ascii="Times New Roman" w:hAnsi="Times New Roman" w:cs="Times New Roman"/>
      <w:i/>
      <w:iCs/>
      <w:sz w:val="22"/>
      <w:lang w:val="en-GB"/>
    </w:rPr>
  </w:style>
  <w:style w:type="character" w:customStyle="1" w:styleId="Heading4Char">
    <w:name w:val="Heading 4 Char"/>
    <w:basedOn w:val="DefaultParagraphFont"/>
    <w:locked/>
    <w:rsid w:val="002261E1"/>
    <w:rPr>
      <w:rFonts w:ascii="Times New Roman Bold" w:eastAsia="Times New Roman" w:hAnsi="Times New Roman Bold" w:cs="Arial"/>
      <w:b/>
      <w:bCs/>
      <w:i/>
      <w:sz w:val="22"/>
      <w:lang w:val="en-GB"/>
    </w:rPr>
  </w:style>
  <w:style w:type="character" w:customStyle="1" w:styleId="Heading5Char">
    <w:name w:val="Heading 5 Char"/>
    <w:basedOn w:val="DefaultParagraphFont"/>
    <w:locked/>
    <w:rsid w:val="002261E1"/>
    <w:rPr>
      <w:rFonts w:ascii="Times New Roman" w:hAnsi="Times New Roman" w:cs="Times New Roman"/>
      <w:bCs/>
      <w:i/>
      <w:sz w:val="26"/>
      <w:szCs w:val="26"/>
      <w:lang w:val="en-CA"/>
    </w:rPr>
  </w:style>
  <w:style w:type="character" w:customStyle="1" w:styleId="Heading6Char">
    <w:name w:val="Heading 6 Char"/>
    <w:basedOn w:val="DefaultParagraphFont"/>
    <w:locked/>
    <w:rsid w:val="002261E1"/>
    <w:rPr>
      <w:rFonts w:ascii="Times New Roman" w:hAnsi="Times New Roman" w:cs="Times New Roman"/>
      <w:sz w:val="22"/>
      <w:u w:val="single"/>
      <w:lang w:val="en-GB"/>
    </w:rPr>
  </w:style>
  <w:style w:type="character" w:customStyle="1" w:styleId="Heading7Char">
    <w:name w:val="Heading 7 Char"/>
    <w:basedOn w:val="DefaultParagraphFont"/>
    <w:locked/>
    <w:rsid w:val="002261E1"/>
    <w:rPr>
      <w:rFonts w:ascii="Times New Roman" w:hAnsi="Times New Roman" w:cs="Times New Roman"/>
      <w:b/>
      <w:sz w:val="28"/>
      <w:lang w:val="en-GB"/>
    </w:rPr>
  </w:style>
  <w:style w:type="character" w:customStyle="1" w:styleId="Heading8Char">
    <w:name w:val="Heading 8 Char"/>
    <w:basedOn w:val="DefaultParagraphFont"/>
    <w:locked/>
    <w:rsid w:val="002261E1"/>
    <w:rPr>
      <w:rFonts w:ascii="Times New Roman" w:hAnsi="Times New Roman" w:cs="Times New Roman"/>
      <w:b/>
      <w:sz w:val="32"/>
      <w:lang w:val="en-GB"/>
    </w:rPr>
  </w:style>
  <w:style w:type="character" w:customStyle="1" w:styleId="Heading9Char">
    <w:name w:val="Heading 9 Char"/>
    <w:basedOn w:val="DefaultParagraphFont"/>
    <w:locked/>
    <w:rsid w:val="002261E1"/>
    <w:rPr>
      <w:rFonts w:ascii="Times New Roman" w:hAnsi="Times New Roman" w:cs="Times New Roman"/>
      <w:i/>
      <w:iCs/>
      <w:sz w:val="22"/>
      <w:lang w:val="en-GB"/>
    </w:rPr>
  </w:style>
  <w:style w:type="table" w:styleId="TableGrid">
    <w:name w:val="Table Grid"/>
    <w:basedOn w:val="TableNormal"/>
    <w:rsid w:val="002261E1"/>
    <w:rPr>
      <w:rFonts w:eastAsia="MS Mincho"/>
      <w:snapToGrid w:val="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61E1"/>
    <w:rPr>
      <w:sz w:val="18"/>
      <w:szCs w:val="18"/>
    </w:rPr>
  </w:style>
  <w:style w:type="character" w:customStyle="1" w:styleId="BalloonTextChar">
    <w:name w:val="Balloon Text Char"/>
    <w:basedOn w:val="DefaultParagraphFont"/>
    <w:semiHidden/>
    <w:locked/>
    <w:rsid w:val="002261E1"/>
    <w:rPr>
      <w:rFonts w:ascii="Times New Roman" w:hAnsi="Times New Roman" w:cs="Times New Roman"/>
      <w:sz w:val="18"/>
      <w:szCs w:val="18"/>
      <w:lang w:val="en-US"/>
    </w:rPr>
  </w:style>
  <w:style w:type="character" w:styleId="PlaceholderText">
    <w:name w:val="Placeholder Text"/>
    <w:basedOn w:val="DefaultParagraphFont"/>
    <w:semiHidden/>
    <w:rsid w:val="002261E1"/>
    <w:rPr>
      <w:rFonts w:cs="Times New Roman"/>
      <w:color w:val="808080"/>
    </w:rPr>
  </w:style>
  <w:style w:type="paragraph" w:styleId="Header">
    <w:name w:val="header"/>
    <w:basedOn w:val="Normal"/>
    <w:rsid w:val="002261E1"/>
    <w:pPr>
      <w:tabs>
        <w:tab w:val="center" w:pos="4320"/>
        <w:tab w:val="right" w:pos="8640"/>
      </w:tabs>
    </w:pPr>
  </w:style>
  <w:style w:type="character" w:customStyle="1" w:styleId="TitleChar1">
    <w:name w:val="Title Char1"/>
    <w:basedOn w:val="DefaultParagraphFont"/>
    <w:link w:val="Title"/>
    <w:locked/>
    <w:rsid w:val="002261E1"/>
    <w:rPr>
      <w:rFonts w:ascii="Times New Roman" w:hAnsi="Times New Roman" w:cs="Times New Roman"/>
      <w:sz w:val="22"/>
      <w:lang w:val="en-GB"/>
    </w:rPr>
  </w:style>
  <w:style w:type="paragraph" w:styleId="Footer">
    <w:name w:val="footer"/>
    <w:basedOn w:val="Normal"/>
    <w:link w:val="FooterChar"/>
    <w:rsid w:val="002261E1"/>
    <w:pPr>
      <w:tabs>
        <w:tab w:val="center" w:pos="4320"/>
        <w:tab w:val="right" w:pos="8640"/>
      </w:tabs>
      <w:ind w:firstLine="720"/>
      <w:jc w:val="right"/>
    </w:pPr>
  </w:style>
  <w:style w:type="character" w:customStyle="1" w:styleId="SubtitleChar1">
    <w:name w:val="Subtitle Char1"/>
    <w:basedOn w:val="DefaultParagraphFont"/>
    <w:link w:val="Subtitle"/>
    <w:locked/>
    <w:rsid w:val="002261E1"/>
    <w:rPr>
      <w:rFonts w:ascii="Times New Roman" w:hAnsi="Times New Roman" w:cs="Times New Roman"/>
      <w:sz w:val="22"/>
      <w:lang w:val="en-GB"/>
    </w:rPr>
  </w:style>
  <w:style w:type="paragraph" w:customStyle="1" w:styleId="meetingname">
    <w:name w:val="meeting name"/>
    <w:basedOn w:val="Normal"/>
    <w:rsid w:val="002261E1"/>
    <w:pPr>
      <w:ind w:left="142" w:right="4218" w:hanging="142"/>
    </w:pPr>
    <w:rPr>
      <w:caps/>
      <w:szCs w:val="22"/>
    </w:rPr>
  </w:style>
  <w:style w:type="paragraph" w:styleId="Title">
    <w:name w:val="Title"/>
    <w:basedOn w:val="Normal"/>
    <w:next w:val="Normal"/>
    <w:link w:val="TitleChar1"/>
    <w:qFormat/>
    <w:rsid w:val="002261E1"/>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ocked/>
    <w:rsid w:val="002261E1"/>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link w:val="SubtitleChar1"/>
    <w:qFormat/>
    <w:rsid w:val="002261E1"/>
    <w:pPr>
      <w:numPr>
        <w:ilvl w:val="1"/>
      </w:numPr>
    </w:pPr>
    <w:rPr>
      <w:rFonts w:eastAsia="Times New Roman"/>
      <w:i/>
      <w:iCs/>
      <w:color w:val="4F81BD"/>
      <w:spacing w:val="15"/>
      <w:sz w:val="24"/>
    </w:rPr>
  </w:style>
  <w:style w:type="character" w:customStyle="1" w:styleId="SubtitleChar">
    <w:name w:val="Subtitle Char"/>
    <w:basedOn w:val="DefaultParagraphFont"/>
    <w:locked/>
    <w:rsid w:val="002261E1"/>
    <w:rPr>
      <w:rFonts w:ascii="Times New Roman" w:eastAsia="Times New Roman" w:hAnsi="Times New Roman" w:cs="Times New Roman"/>
      <w:i/>
      <w:iCs/>
      <w:color w:val="4F81BD"/>
      <w:spacing w:val="15"/>
      <w:lang w:val="en-US"/>
    </w:rPr>
  </w:style>
  <w:style w:type="paragraph" w:styleId="BodyText">
    <w:name w:val="Body Text"/>
    <w:basedOn w:val="Normal"/>
    <w:rsid w:val="002261E1"/>
    <w:pPr>
      <w:spacing w:before="120" w:after="120"/>
      <w:ind w:firstLine="720"/>
    </w:pPr>
    <w:rPr>
      <w:iCs/>
    </w:rPr>
  </w:style>
  <w:style w:type="character" w:customStyle="1" w:styleId="Heading3Char1">
    <w:name w:val="Heading 3 Char1"/>
    <w:basedOn w:val="DefaultParagraphFont"/>
    <w:link w:val="Heading3"/>
    <w:locked/>
    <w:rsid w:val="002261E1"/>
    <w:rPr>
      <w:rFonts w:ascii="Times New Roman" w:hAnsi="Times New Roman" w:cs="Times New Roman"/>
      <w:iCs/>
      <w:sz w:val="22"/>
      <w:lang w:val="en-GB"/>
    </w:rPr>
  </w:style>
  <w:style w:type="paragraph" w:styleId="BodyTextIndent">
    <w:name w:val="Body Text Indent"/>
    <w:basedOn w:val="Normal"/>
    <w:link w:val="BodyTextIndentChar1"/>
    <w:rsid w:val="002261E1"/>
    <w:pPr>
      <w:spacing w:before="120" w:after="120"/>
      <w:ind w:left="1440" w:hanging="720"/>
      <w:jc w:val="left"/>
    </w:pPr>
  </w:style>
  <w:style w:type="character" w:customStyle="1" w:styleId="BodyTextIndentChar">
    <w:name w:val="Body Text Indent Char"/>
    <w:basedOn w:val="DefaultParagraphFont"/>
    <w:locked/>
    <w:rsid w:val="002261E1"/>
    <w:rPr>
      <w:rFonts w:ascii="Times New Roman" w:hAnsi="Times New Roman" w:cs="Times New Roman"/>
      <w:sz w:val="22"/>
      <w:lang w:val="en-GB"/>
    </w:rPr>
  </w:style>
  <w:style w:type="character" w:styleId="CommentReference">
    <w:name w:val="annotation reference"/>
    <w:aliases w:val="Heading 5 Char2,Heading 5 Char1 Char"/>
    <w:basedOn w:val="DefaultParagraphFont"/>
    <w:link w:val="Heading5"/>
    <w:semiHidden/>
    <w:rsid w:val="002261E1"/>
    <w:rPr>
      <w:rFonts w:cs="Times New Roman"/>
      <w:sz w:val="16"/>
    </w:rPr>
  </w:style>
  <w:style w:type="paragraph" w:styleId="CommentText">
    <w:name w:val="annotation text"/>
    <w:basedOn w:val="Normal"/>
    <w:semiHidden/>
    <w:rsid w:val="002261E1"/>
    <w:pPr>
      <w:spacing w:after="120" w:line="240" w:lineRule="exact"/>
    </w:pPr>
  </w:style>
  <w:style w:type="character" w:customStyle="1" w:styleId="BodyTextIndentChar1">
    <w:name w:val="Body Text Indent Char1"/>
    <w:basedOn w:val="DefaultParagraphFont"/>
    <w:link w:val="BodyTextIndent"/>
    <w:semiHidden/>
    <w:locked/>
    <w:rsid w:val="002261E1"/>
    <w:rPr>
      <w:rFonts w:ascii="Times New Roman" w:hAnsi="Times New Roman" w:cs="Times New Roman"/>
      <w:sz w:val="22"/>
      <w:lang w:val="en-GB"/>
    </w:rPr>
  </w:style>
  <w:style w:type="paragraph" w:customStyle="1" w:styleId="Cornernotation">
    <w:name w:val="Corner notation"/>
    <w:basedOn w:val="Normal"/>
    <w:rsid w:val="002261E1"/>
    <w:pPr>
      <w:ind w:left="170" w:right="3119" w:hanging="170"/>
      <w:jc w:val="left"/>
    </w:pPr>
  </w:style>
  <w:style w:type="character" w:styleId="EndnoteReference">
    <w:name w:val="endnote reference"/>
    <w:basedOn w:val="DefaultParagraphFont"/>
    <w:semiHidden/>
    <w:rsid w:val="002261E1"/>
    <w:rPr>
      <w:rFonts w:cs="Times New Roman"/>
      <w:vertAlign w:val="superscript"/>
    </w:rPr>
  </w:style>
  <w:style w:type="paragraph" w:styleId="EndnoteText">
    <w:name w:val="endnote text"/>
    <w:basedOn w:val="Normal"/>
    <w:semiHidden/>
    <w:rsid w:val="002261E1"/>
    <w:pPr>
      <w:widowControl w:val="0"/>
      <w:tabs>
        <w:tab w:val="left" w:pos="-720"/>
      </w:tabs>
      <w:suppressAutoHyphens/>
    </w:pPr>
    <w:rPr>
      <w:rFonts w:ascii="Courier New" w:hAnsi="Courier New"/>
    </w:rPr>
  </w:style>
  <w:style w:type="character" w:customStyle="1" w:styleId="CharChar6">
    <w:name w:val="Char Char6"/>
    <w:basedOn w:val="DefaultParagraphFont"/>
    <w:semiHidden/>
    <w:locked/>
    <w:rsid w:val="002261E1"/>
    <w:rPr>
      <w:rFonts w:ascii="Courier New" w:hAnsi="Courier New" w:cs="Times New Roman"/>
      <w:sz w:val="22"/>
      <w:lang w:val="en-GB"/>
    </w:rPr>
  </w:style>
  <w:style w:type="character" w:styleId="FollowedHyperlink">
    <w:name w:val="FollowedHyperlink"/>
    <w:aliases w:val="Heading 2 Char1,Heading 2 Char Char"/>
    <w:basedOn w:val="DefaultParagraphFont"/>
    <w:link w:val="Heading2"/>
    <w:rsid w:val="002261E1"/>
    <w:rPr>
      <w:rFonts w:cs="Times New Roman"/>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DefaultParagraphFont"/>
    <w:locked/>
    <w:rsid w:val="002261E1"/>
    <w:rPr>
      <w:rFonts w:cs="Times New Roman"/>
      <w:sz w:val="22"/>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w:basedOn w:val="Normal"/>
    <w:rsid w:val="002261E1"/>
    <w:pPr>
      <w:spacing w:after="160" w:line="240" w:lineRule="exact"/>
      <w:jc w:val="left"/>
    </w:pPr>
    <w:rPr>
      <w:szCs w:val="20"/>
      <w:vertAlign w:val="superscript"/>
      <w:lang w:val="es-UY"/>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rsid w:val="002261E1"/>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ocked/>
    <w:rsid w:val="002261E1"/>
    <w:rPr>
      <w:rFonts w:ascii="Times New Roman" w:hAnsi="Times New Roman" w:cs="Times New Roman"/>
      <w:sz w:val="18"/>
      <w:lang w:val="en-GB"/>
    </w:rPr>
  </w:style>
  <w:style w:type="paragraph" w:customStyle="1" w:styleId="HEADING">
    <w:name w:val="HEADING"/>
    <w:basedOn w:val="Normal"/>
    <w:rsid w:val="002261E1"/>
    <w:pPr>
      <w:keepNext/>
      <w:spacing w:before="240" w:after="120"/>
      <w:jc w:val="center"/>
    </w:pPr>
    <w:rPr>
      <w:b/>
      <w:bCs/>
      <w:caps/>
    </w:rPr>
  </w:style>
  <w:style w:type="paragraph" w:customStyle="1" w:styleId="HEADINGNOTFORTOC">
    <w:name w:val="HEADING (NOT FOR TOC)"/>
    <w:basedOn w:val="Heading1"/>
    <w:next w:val="Heading2"/>
    <w:rsid w:val="002261E1"/>
  </w:style>
  <w:style w:type="paragraph" w:customStyle="1" w:styleId="Heading1longmultiline">
    <w:name w:val="Heading 1 (long multiline)"/>
    <w:basedOn w:val="Heading1"/>
    <w:rsid w:val="002261E1"/>
    <w:pPr>
      <w:ind w:left="1843" w:hanging="1134"/>
      <w:jc w:val="left"/>
    </w:pPr>
  </w:style>
  <w:style w:type="paragraph" w:customStyle="1" w:styleId="Heading1multiline">
    <w:name w:val="Heading 1 (multiline)"/>
    <w:basedOn w:val="Heading1"/>
    <w:rsid w:val="002261E1"/>
    <w:pPr>
      <w:ind w:left="1843" w:right="996" w:hanging="567"/>
      <w:jc w:val="left"/>
    </w:pPr>
  </w:style>
  <w:style w:type="paragraph" w:customStyle="1" w:styleId="Heading2multiline">
    <w:name w:val="Heading 2 (multiline)"/>
    <w:basedOn w:val="Heading1"/>
    <w:next w:val="Normal"/>
    <w:rsid w:val="002261E1"/>
    <w:pPr>
      <w:spacing w:before="120"/>
      <w:ind w:left="1843" w:right="998" w:hanging="567"/>
      <w:jc w:val="left"/>
    </w:pPr>
    <w:rPr>
      <w:i/>
      <w:iCs/>
      <w:caps w:val="0"/>
    </w:rPr>
  </w:style>
  <w:style w:type="paragraph" w:customStyle="1" w:styleId="Heading2longmultiline">
    <w:name w:val="Heading 2 (long multiline)"/>
    <w:basedOn w:val="Heading2multiline"/>
    <w:rsid w:val="002261E1"/>
    <w:pPr>
      <w:ind w:left="2127" w:hanging="1276"/>
    </w:pPr>
  </w:style>
  <w:style w:type="paragraph" w:customStyle="1" w:styleId="heading2notforTOC">
    <w:name w:val="heading 2 not for TOC"/>
    <w:basedOn w:val="Heading3"/>
    <w:rsid w:val="002261E1"/>
  </w:style>
  <w:style w:type="paragraph" w:customStyle="1" w:styleId="Heading3multiline">
    <w:name w:val="Heading 3 (multiline)"/>
    <w:basedOn w:val="Heading3"/>
    <w:next w:val="Normal"/>
    <w:rsid w:val="002261E1"/>
    <w:pPr>
      <w:ind w:left="1418" w:hanging="425"/>
      <w:jc w:val="left"/>
    </w:pPr>
  </w:style>
  <w:style w:type="paragraph" w:customStyle="1" w:styleId="Heading4indent">
    <w:name w:val="Heading 4 indent"/>
    <w:basedOn w:val="Heading4"/>
    <w:rsid w:val="002261E1"/>
    <w:pPr>
      <w:ind w:left="720"/>
      <w:outlineLvl w:val="9"/>
    </w:pPr>
    <w:rPr>
      <w:rFonts w:ascii="Times New Roman" w:hAnsi="Times New Roman"/>
    </w:rPr>
  </w:style>
  <w:style w:type="character" w:styleId="PageNumber">
    <w:name w:val="page number"/>
    <w:basedOn w:val="DefaultParagraphFont"/>
    <w:rsid w:val="002261E1"/>
    <w:rPr>
      <w:rFonts w:ascii="Times New Roman" w:hAnsi="Times New Roman" w:cs="Times New Roman"/>
      <w:sz w:val="22"/>
    </w:rPr>
  </w:style>
  <w:style w:type="paragraph" w:customStyle="1" w:styleId="Para1">
    <w:name w:val="Para1"/>
    <w:basedOn w:val="Normal"/>
    <w:link w:val="CommentSubjectChar"/>
    <w:rsid w:val="002261E1"/>
    <w:pPr>
      <w:numPr>
        <w:numId w:val="4"/>
      </w:numPr>
      <w:tabs>
        <w:tab w:val="clear" w:pos="360"/>
      </w:tabs>
      <w:spacing w:before="120" w:after="120"/>
    </w:pPr>
    <w:rPr>
      <w:szCs w:val="18"/>
    </w:rPr>
  </w:style>
  <w:style w:type="character" w:customStyle="1" w:styleId="Para1Char">
    <w:name w:val="Para1 Char"/>
    <w:locked/>
    <w:rsid w:val="002261E1"/>
    <w:rPr>
      <w:rFonts w:ascii="Times New Roman" w:hAnsi="Times New Roman"/>
      <w:snapToGrid w:val="0"/>
      <w:sz w:val="18"/>
      <w:lang w:val="en-GB"/>
    </w:rPr>
  </w:style>
  <w:style w:type="paragraph" w:customStyle="1" w:styleId="Para2">
    <w:name w:val="Para2"/>
    <w:basedOn w:val="Para1"/>
    <w:rsid w:val="002261E1"/>
    <w:pPr>
      <w:numPr>
        <w:numId w:val="0"/>
      </w:numPr>
      <w:autoSpaceDE w:val="0"/>
      <w:autoSpaceDN w:val="0"/>
    </w:pPr>
  </w:style>
  <w:style w:type="paragraph" w:customStyle="1" w:styleId="Para3">
    <w:name w:val="Para3"/>
    <w:basedOn w:val="Normal"/>
    <w:rsid w:val="002261E1"/>
    <w:pPr>
      <w:numPr>
        <w:ilvl w:val="3"/>
        <w:numId w:val="5"/>
      </w:numPr>
      <w:tabs>
        <w:tab w:val="left" w:pos="1980"/>
      </w:tabs>
      <w:spacing w:before="80" w:after="80"/>
    </w:pPr>
    <w:rPr>
      <w:szCs w:val="20"/>
    </w:rPr>
  </w:style>
  <w:style w:type="paragraph" w:customStyle="1" w:styleId="para4">
    <w:name w:val="para4"/>
    <w:basedOn w:val="Normal"/>
    <w:rsid w:val="002261E1"/>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2261E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2261E1"/>
    <w:pPr>
      <w:spacing w:before="120" w:after="120"/>
      <w:ind w:left="720" w:right="720"/>
    </w:pPr>
    <w:rPr>
      <w:bCs/>
    </w:rPr>
  </w:style>
  <w:style w:type="paragraph" w:customStyle="1" w:styleId="recommendationheader">
    <w:name w:val="recommendation header"/>
    <w:basedOn w:val="Heading2"/>
    <w:rsid w:val="002261E1"/>
  </w:style>
  <w:style w:type="paragraph" w:customStyle="1" w:styleId="recommendationheaderlong">
    <w:name w:val="recommendation header long"/>
    <w:basedOn w:val="Heading2longmultiline"/>
    <w:rsid w:val="002261E1"/>
  </w:style>
  <w:style w:type="paragraph" w:customStyle="1" w:styleId="reference">
    <w:name w:val="reference"/>
    <w:basedOn w:val="Heading9"/>
    <w:rsid w:val="002261E1"/>
    <w:rPr>
      <w:i w:val="0"/>
      <w:sz w:val="18"/>
    </w:rPr>
  </w:style>
  <w:style w:type="character" w:customStyle="1" w:styleId="StyleFootnoteReferenceNounderline">
    <w:name w:val="Style Footnote Reference + No underline"/>
    <w:rsid w:val="002261E1"/>
    <w:rPr>
      <w:sz w:val="18"/>
      <w:u w:val="none"/>
      <w:vertAlign w:val="baseline"/>
    </w:rPr>
  </w:style>
  <w:style w:type="paragraph" w:customStyle="1" w:styleId="tabletitle">
    <w:name w:val="table title"/>
    <w:basedOn w:val="Heading2"/>
    <w:rsid w:val="002261E1"/>
    <w:pPr>
      <w:jc w:val="left"/>
      <w:outlineLvl w:val="9"/>
    </w:pPr>
    <w:rPr>
      <w:i/>
    </w:rPr>
  </w:style>
  <w:style w:type="paragraph" w:styleId="TOAHeading">
    <w:name w:val="toa heading"/>
    <w:basedOn w:val="Normal"/>
    <w:next w:val="Normal"/>
    <w:semiHidden/>
    <w:rsid w:val="002261E1"/>
    <w:pPr>
      <w:spacing w:before="120"/>
    </w:pPr>
    <w:rPr>
      <w:rFonts w:cs="Arial"/>
      <w:b/>
      <w:bCs/>
      <w:sz w:val="24"/>
    </w:rPr>
  </w:style>
  <w:style w:type="paragraph" w:styleId="TOC1">
    <w:name w:val="toc 1"/>
    <w:basedOn w:val="Normal"/>
    <w:next w:val="Normal"/>
    <w:autoRedefine/>
    <w:semiHidden/>
    <w:rsid w:val="002261E1"/>
    <w:pPr>
      <w:ind w:left="720" w:hanging="720"/>
    </w:pPr>
    <w:rPr>
      <w:caps/>
    </w:rPr>
  </w:style>
  <w:style w:type="paragraph" w:styleId="TOC2">
    <w:name w:val="toc 2"/>
    <w:basedOn w:val="Normal"/>
    <w:next w:val="Normal"/>
    <w:autoRedefine/>
    <w:semiHidden/>
    <w:rsid w:val="002261E1"/>
    <w:pPr>
      <w:tabs>
        <w:tab w:val="right" w:leader="dot" w:pos="9356"/>
      </w:tabs>
      <w:ind w:left="1440" w:hanging="720"/>
    </w:pPr>
    <w:rPr>
      <w:noProof/>
      <w:szCs w:val="22"/>
      <w:lang w:val="es-ES"/>
    </w:rPr>
  </w:style>
  <w:style w:type="paragraph" w:styleId="TOC3">
    <w:name w:val="toc 3"/>
    <w:basedOn w:val="Normal"/>
    <w:next w:val="Normal"/>
    <w:autoRedefine/>
    <w:semiHidden/>
    <w:rsid w:val="002261E1"/>
    <w:pPr>
      <w:ind w:left="2160" w:hanging="720"/>
    </w:pPr>
  </w:style>
  <w:style w:type="paragraph" w:styleId="TOC4">
    <w:name w:val="toc 4"/>
    <w:basedOn w:val="Normal"/>
    <w:next w:val="Normal"/>
    <w:autoRedefine/>
    <w:semiHidden/>
    <w:rsid w:val="002261E1"/>
    <w:pPr>
      <w:spacing w:before="120" w:after="120"/>
      <w:ind w:left="660"/>
      <w:jc w:val="left"/>
    </w:pPr>
  </w:style>
  <w:style w:type="paragraph" w:styleId="TOC5">
    <w:name w:val="toc 5"/>
    <w:basedOn w:val="Normal"/>
    <w:next w:val="Normal"/>
    <w:autoRedefine/>
    <w:semiHidden/>
    <w:rsid w:val="002261E1"/>
    <w:pPr>
      <w:spacing w:before="120" w:after="120"/>
      <w:ind w:left="880"/>
      <w:jc w:val="left"/>
    </w:pPr>
  </w:style>
  <w:style w:type="paragraph" w:styleId="TOC6">
    <w:name w:val="toc 6"/>
    <w:basedOn w:val="Normal"/>
    <w:next w:val="Normal"/>
    <w:autoRedefine/>
    <w:semiHidden/>
    <w:rsid w:val="002261E1"/>
    <w:pPr>
      <w:spacing w:before="120" w:after="120"/>
      <w:ind w:left="1100"/>
      <w:jc w:val="left"/>
    </w:pPr>
  </w:style>
  <w:style w:type="paragraph" w:styleId="TOC7">
    <w:name w:val="toc 7"/>
    <w:basedOn w:val="Normal"/>
    <w:next w:val="Normal"/>
    <w:autoRedefine/>
    <w:semiHidden/>
    <w:rsid w:val="002261E1"/>
    <w:pPr>
      <w:spacing w:before="120" w:after="120"/>
      <w:ind w:left="1320"/>
      <w:jc w:val="left"/>
    </w:pPr>
  </w:style>
  <w:style w:type="paragraph" w:styleId="TOC8">
    <w:name w:val="toc 8"/>
    <w:basedOn w:val="Normal"/>
    <w:next w:val="Normal"/>
    <w:autoRedefine/>
    <w:semiHidden/>
    <w:rsid w:val="002261E1"/>
    <w:pPr>
      <w:spacing w:before="120" w:after="120"/>
      <w:ind w:left="1540"/>
      <w:jc w:val="left"/>
    </w:pPr>
  </w:style>
  <w:style w:type="paragraph" w:styleId="TOC9">
    <w:name w:val="toc 9"/>
    <w:basedOn w:val="Normal"/>
    <w:next w:val="Normal"/>
    <w:autoRedefine/>
    <w:semiHidden/>
    <w:rsid w:val="002261E1"/>
    <w:pPr>
      <w:spacing w:before="120" w:after="120"/>
      <w:ind w:left="1760"/>
      <w:jc w:val="left"/>
    </w:pPr>
  </w:style>
  <w:style w:type="character" w:styleId="Hyperlink">
    <w:name w:val="Hyperlink"/>
    <w:basedOn w:val="DefaultParagraphFont"/>
    <w:rsid w:val="002261E1"/>
    <w:rPr>
      <w:rFonts w:cs="Times New Roman"/>
      <w:color w:val="0000FF"/>
      <w:sz w:val="18"/>
      <w:u w:val="single"/>
    </w:rPr>
  </w:style>
  <w:style w:type="paragraph" w:customStyle="1" w:styleId="CBD-Doc-Type">
    <w:name w:val="CBD-Doc-Type"/>
    <w:basedOn w:val="Normal"/>
    <w:rsid w:val="002261E1"/>
    <w:pPr>
      <w:keepLines/>
      <w:spacing w:before="240" w:after="120"/>
    </w:pPr>
    <w:rPr>
      <w:b/>
      <w:i/>
      <w:sz w:val="24"/>
    </w:rPr>
  </w:style>
  <w:style w:type="paragraph" w:customStyle="1" w:styleId="CBD-Doc">
    <w:name w:val="CBD-Doc"/>
    <w:basedOn w:val="Normal"/>
    <w:rsid w:val="002261E1"/>
    <w:pPr>
      <w:keepLines/>
      <w:numPr>
        <w:numId w:val="9"/>
      </w:numPr>
      <w:spacing w:after="120"/>
    </w:pPr>
  </w:style>
  <w:style w:type="paragraph" w:styleId="ListParagraph">
    <w:name w:val="List Paragraph"/>
    <w:basedOn w:val="Normal"/>
    <w:qFormat/>
    <w:rsid w:val="002261E1"/>
    <w:pPr>
      <w:ind w:left="720"/>
      <w:contextualSpacing/>
    </w:pPr>
  </w:style>
  <w:style w:type="paragraph" w:styleId="Caption">
    <w:name w:val="caption"/>
    <w:basedOn w:val="Normal"/>
    <w:next w:val="Normal"/>
    <w:qFormat/>
    <w:rsid w:val="002261E1"/>
    <w:pPr>
      <w:keepNext/>
      <w:keepLines/>
      <w:spacing w:after="200"/>
    </w:pPr>
    <w:rPr>
      <w:b/>
      <w:iCs/>
      <w:szCs w:val="18"/>
    </w:rPr>
  </w:style>
  <w:style w:type="paragraph" w:styleId="NoSpacing">
    <w:name w:val="No Spacing"/>
    <w:qFormat/>
    <w:rsid w:val="002261E1"/>
    <w:rPr>
      <w:snapToGrid w:val="0"/>
      <w:sz w:val="22"/>
      <w:szCs w:val="22"/>
      <w:lang w:val="en-US" w:eastAsia="es-ES"/>
    </w:rPr>
  </w:style>
  <w:style w:type="character" w:customStyle="1" w:styleId="NoSpacingChar">
    <w:name w:val="No Spacing Char"/>
    <w:basedOn w:val="DefaultParagraphFont"/>
    <w:locked/>
    <w:rsid w:val="002261E1"/>
    <w:rPr>
      <w:rFonts w:ascii="Times New Roman" w:eastAsia="Times New Roman" w:hAnsi="Times New Roman" w:cs="Times New Roman"/>
      <w:sz w:val="22"/>
      <w:szCs w:val="22"/>
      <w:lang w:val="en-US" w:bidi="ar-SA"/>
    </w:rPr>
  </w:style>
  <w:style w:type="paragraph" w:customStyle="1" w:styleId="Default">
    <w:name w:val="Default"/>
    <w:basedOn w:val="Normal"/>
    <w:rsid w:val="002261E1"/>
    <w:pPr>
      <w:autoSpaceDE w:val="0"/>
      <w:autoSpaceDN w:val="0"/>
      <w:jc w:val="left"/>
    </w:pPr>
    <w:rPr>
      <w:rFonts w:eastAsia="Times New Roman"/>
      <w:color w:val="000000"/>
      <w:sz w:val="24"/>
      <w:lang w:val="en-US"/>
    </w:rPr>
  </w:style>
  <w:style w:type="paragraph" w:customStyle="1" w:styleId="xl65">
    <w:name w:val="xl65"/>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rPr>
  </w:style>
  <w:style w:type="paragraph" w:customStyle="1" w:styleId="xl66">
    <w:name w:val="xl66"/>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rPr>
  </w:style>
  <w:style w:type="paragraph" w:customStyle="1" w:styleId="xl67">
    <w:name w:val="xl67"/>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rPr>
  </w:style>
  <w:style w:type="paragraph" w:customStyle="1" w:styleId="xl68">
    <w:name w:val="xl68"/>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69">
    <w:name w:val="xl69"/>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70">
    <w:name w:val="xl70"/>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71">
    <w:name w:val="xl71"/>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72">
    <w:name w:val="xl72"/>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73">
    <w:name w:val="xl73"/>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rPr>
  </w:style>
  <w:style w:type="paragraph" w:customStyle="1" w:styleId="xl74">
    <w:name w:val="xl74"/>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rPr>
  </w:style>
  <w:style w:type="paragraph" w:customStyle="1" w:styleId="xl75">
    <w:name w:val="xl75"/>
    <w:basedOn w:val="Normal"/>
    <w:rsid w:val="002261E1"/>
    <w:pPr>
      <w:spacing w:before="100" w:beforeAutospacing="1" w:after="100" w:afterAutospacing="1"/>
      <w:jc w:val="left"/>
      <w:textAlignment w:val="center"/>
    </w:pPr>
    <w:rPr>
      <w:sz w:val="24"/>
      <w:lang w:val="en-CA"/>
    </w:rPr>
  </w:style>
  <w:style w:type="paragraph" w:customStyle="1" w:styleId="xl76">
    <w:name w:val="xl76"/>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rPr>
  </w:style>
  <w:style w:type="paragraph" w:customStyle="1" w:styleId="xl77">
    <w:name w:val="xl77"/>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rPr>
  </w:style>
  <w:style w:type="paragraph" w:customStyle="1" w:styleId="xl78">
    <w:name w:val="xl78"/>
    <w:basedOn w:val="Normal"/>
    <w:rsid w:val="002261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rPr>
  </w:style>
  <w:style w:type="paragraph" w:customStyle="1" w:styleId="xl79">
    <w:name w:val="xl79"/>
    <w:basedOn w:val="Normal"/>
    <w:rsid w:val="002261E1"/>
    <w:pPr>
      <w:spacing w:before="100" w:beforeAutospacing="1" w:after="100" w:afterAutospacing="1"/>
      <w:jc w:val="left"/>
      <w:textAlignment w:val="center"/>
    </w:pPr>
    <w:rPr>
      <w:sz w:val="24"/>
      <w:lang w:val="en-CA"/>
    </w:rPr>
  </w:style>
  <w:style w:type="paragraph" w:styleId="Revision">
    <w:name w:val="Revision"/>
    <w:hidden/>
    <w:semiHidden/>
    <w:rsid w:val="002261E1"/>
    <w:rPr>
      <w:rFonts w:eastAsia="MS Mincho"/>
      <w:snapToGrid w:val="0"/>
      <w:sz w:val="22"/>
      <w:szCs w:val="24"/>
      <w:lang w:val="en-GB" w:eastAsia="es-ES"/>
    </w:rPr>
  </w:style>
  <w:style w:type="character" w:customStyle="1" w:styleId="UnresolvedMention">
    <w:name w:val="Unresolved Mention"/>
    <w:basedOn w:val="DefaultParagraphFont"/>
    <w:semiHidden/>
    <w:rsid w:val="002261E1"/>
    <w:rPr>
      <w:rFonts w:cs="Times New Roman"/>
      <w:color w:val="605E5C"/>
      <w:shd w:val="clear" w:color="auto" w:fill="E1DFDD"/>
    </w:rPr>
  </w:style>
  <w:style w:type="paragraph" w:styleId="CommentSubject">
    <w:name w:val="annotation subject"/>
    <w:basedOn w:val="CommentText"/>
    <w:next w:val="CommentText"/>
    <w:semiHidden/>
    <w:rsid w:val="002261E1"/>
    <w:pPr>
      <w:spacing w:after="0" w:line="240" w:lineRule="auto"/>
    </w:pPr>
    <w:rPr>
      <w:b/>
      <w:bCs/>
      <w:sz w:val="20"/>
      <w:szCs w:val="20"/>
    </w:rPr>
  </w:style>
  <w:style w:type="character" w:customStyle="1" w:styleId="CommentSubjectChar">
    <w:name w:val="Comment Subject Char"/>
    <w:basedOn w:val="BodyTextIndentChar1"/>
    <w:link w:val="Para1"/>
    <w:semiHidden/>
    <w:locked/>
    <w:rsid w:val="002261E1"/>
    <w:rPr>
      <w:b/>
      <w:bCs/>
      <w:sz w:val="20"/>
      <w:szCs w:val="20"/>
    </w:rPr>
  </w:style>
  <w:style w:type="character" w:customStyle="1" w:styleId="tw4winMark">
    <w:name w:val="tw4winMark"/>
    <w:rsid w:val="002261E1"/>
    <w:rPr>
      <w:rFonts w:ascii="Courier New" w:hAnsi="Courier New"/>
      <w:vanish/>
      <w:color w:val="800080"/>
      <w:sz w:val="24"/>
      <w:vertAlign w:val="subscript"/>
    </w:rPr>
  </w:style>
  <w:style w:type="character" w:customStyle="1" w:styleId="tw4winError">
    <w:name w:val="tw4winError"/>
    <w:rsid w:val="002261E1"/>
    <w:rPr>
      <w:rFonts w:ascii="Courier New" w:hAnsi="Courier New"/>
      <w:color w:val="00FF00"/>
      <w:sz w:val="40"/>
    </w:rPr>
  </w:style>
  <w:style w:type="character" w:customStyle="1" w:styleId="tw4winTerm">
    <w:name w:val="tw4winTerm"/>
    <w:rsid w:val="002261E1"/>
    <w:rPr>
      <w:color w:val="0000FF"/>
    </w:rPr>
  </w:style>
  <w:style w:type="character" w:customStyle="1" w:styleId="tw4winPopup">
    <w:name w:val="tw4winPopup"/>
    <w:rsid w:val="002261E1"/>
    <w:rPr>
      <w:rFonts w:ascii="Courier New" w:hAnsi="Courier New"/>
      <w:noProof/>
      <w:color w:val="008000"/>
    </w:rPr>
  </w:style>
  <w:style w:type="character" w:customStyle="1" w:styleId="tw4winJump">
    <w:name w:val="tw4winJump"/>
    <w:rsid w:val="002261E1"/>
    <w:rPr>
      <w:rFonts w:ascii="Courier New" w:hAnsi="Courier New"/>
      <w:noProof/>
      <w:color w:val="008080"/>
    </w:rPr>
  </w:style>
  <w:style w:type="character" w:customStyle="1" w:styleId="tw4winExternal">
    <w:name w:val="tw4winExternal"/>
    <w:rsid w:val="002261E1"/>
    <w:rPr>
      <w:rFonts w:ascii="Courier New" w:hAnsi="Courier New"/>
      <w:noProof/>
      <w:color w:val="808080"/>
    </w:rPr>
  </w:style>
  <w:style w:type="character" w:customStyle="1" w:styleId="tw4winInternal">
    <w:name w:val="tw4winInternal"/>
    <w:rsid w:val="002261E1"/>
    <w:rPr>
      <w:rFonts w:ascii="Courier New" w:hAnsi="Courier New"/>
      <w:noProof/>
      <w:color w:val="FF0000"/>
    </w:rPr>
  </w:style>
  <w:style w:type="character" w:customStyle="1" w:styleId="DONOTTRANSLATE">
    <w:name w:val="DO_NOT_TRANSLATE"/>
    <w:rsid w:val="002261E1"/>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2/np-mop-02-dec-13-es.pdf" TargetMode="External"/><Relationship Id="rId18" Type="http://schemas.openxmlformats.org/officeDocument/2006/relationships/hyperlink" Target="https://www.cbd.int/world/map.shtml?country=k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13/cop-13-dec-32-es.pdf" TargetMode="External"/><Relationship Id="rId17" Type="http://schemas.openxmlformats.org/officeDocument/2006/relationships/hyperlink" Target="https://www.cbd.int/world/map.shtml?country=kp"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ch.cbd.int/protocol/decisions/?decisionID=135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cbd.int/world/map.shtml?country=v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ecision/cop/default.shtml?id=70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6-budget-cp-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FFD15-B90B-4E18-972F-C3A7AC53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2348</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9/16.	Programme of work and budget (Cartagena Protocol)</vt:lpstr>
    </vt:vector>
  </TitlesOfParts>
  <Company>Hewlett-Packard</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	Programme of work and budget (Cartagena Protocol)</dc:title>
  <dc:subject>CBD/CP/MOP/DEC/9/16</dc:subject>
  <dc:creator>CP MOP 9</dc:creator>
  <cp:keywords>Cartagena Protocol on Biosafety, Convention on Biological Diversity</cp:keywords>
  <cp:lastModifiedBy>Laura Perez</cp:lastModifiedBy>
  <cp:revision>7</cp:revision>
  <cp:lastPrinted>2019-02-20T14:42:00Z</cp:lastPrinted>
  <dcterms:created xsi:type="dcterms:W3CDTF">2019-02-20T16:26:00Z</dcterms:created>
  <dcterms:modified xsi:type="dcterms:W3CDTF">2019-02-20T21:57:00Z</dcterms:modified>
</cp:coreProperties>
</file>