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1"/>
        <w:gridCol w:w="4089"/>
      </w:tblGrid>
      <w:tr w:rsidR="00C9161D" w:rsidRPr="00E5345A" w:rsidTr="00B97AF8">
        <w:trPr>
          <w:trHeight w:val="851"/>
        </w:trPr>
        <w:tc>
          <w:tcPr>
            <w:tcW w:w="977" w:type="dxa"/>
            <w:tcBorders>
              <w:bottom w:val="single" w:sz="12" w:space="0" w:color="auto"/>
            </w:tcBorders>
          </w:tcPr>
          <w:p w:rsidR="00C9161D" w:rsidRPr="00E5345A" w:rsidRDefault="00C9161D" w:rsidP="00321985">
            <w:pPr>
              <w:rPr>
                <w:lang w:val="es-UY"/>
              </w:rPr>
            </w:pPr>
            <w:r w:rsidRPr="00E5345A">
              <w:rPr>
                <w:noProof/>
                <w:lang w:val="en-U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FA663B" w:rsidRPr="00E5345A" w:rsidRDefault="00B97AF8" w:rsidP="00321985">
            <w:pPr>
              <w:rPr>
                <w:lang w:val="es-UY"/>
              </w:rPr>
            </w:pPr>
            <w:r w:rsidRPr="00E5345A">
              <w:rPr>
                <w:noProof/>
                <w:lang w:val="en-US"/>
              </w:rPr>
              <w:drawing>
                <wp:anchor distT="0" distB="0" distL="114300" distR="114300" simplePos="0" relativeHeight="251659264" behindDoc="1" locked="0" layoutInCell="1" allowOverlap="1">
                  <wp:simplePos x="0" y="0"/>
                  <wp:positionH relativeFrom="column">
                    <wp:posOffset>-50165</wp:posOffset>
                  </wp:positionH>
                  <wp:positionV relativeFrom="paragraph">
                    <wp:posOffset>10795</wp:posOffset>
                  </wp:positionV>
                  <wp:extent cx="673100" cy="393700"/>
                  <wp:effectExtent l="19050" t="0" r="0" b="0"/>
                  <wp:wrapTight wrapText="bothSides">
                    <wp:wrapPolygon edited="0">
                      <wp:start x="-611" y="0"/>
                      <wp:lineTo x="-611" y="20903"/>
                      <wp:lineTo x="21396" y="20903"/>
                      <wp:lineTo x="21396" y="18813"/>
                      <wp:lineTo x="18340" y="16723"/>
                      <wp:lineTo x="20785" y="16723"/>
                      <wp:lineTo x="21396" y="14632"/>
                      <wp:lineTo x="21396" y="0"/>
                      <wp:lineTo x="-611" y="0"/>
                    </wp:wrapPolygon>
                  </wp:wrapTight>
                  <wp:docPr id="1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673100" cy="393700"/>
                          </a:xfrm>
                          <a:prstGeom prst="rect">
                            <a:avLst/>
                          </a:prstGeom>
                          <a:noFill/>
                        </pic:spPr>
                      </pic:pic>
                    </a:graphicData>
                  </a:graphic>
                </wp:anchor>
              </w:drawing>
            </w:r>
          </w:p>
        </w:tc>
        <w:tc>
          <w:tcPr>
            <w:tcW w:w="4089" w:type="dxa"/>
            <w:tcBorders>
              <w:bottom w:val="single" w:sz="12" w:space="0" w:color="auto"/>
            </w:tcBorders>
          </w:tcPr>
          <w:p w:rsidR="00C9161D" w:rsidRPr="00E5345A" w:rsidRDefault="00C9161D" w:rsidP="00C9161D">
            <w:pPr>
              <w:jc w:val="right"/>
              <w:rPr>
                <w:rFonts w:ascii="Arial" w:hAnsi="Arial" w:cs="Arial"/>
                <w:b/>
                <w:sz w:val="32"/>
                <w:szCs w:val="32"/>
                <w:lang w:val="es-UY"/>
              </w:rPr>
            </w:pPr>
            <w:proofErr w:type="spellStart"/>
            <w:r w:rsidRPr="00E5345A">
              <w:rPr>
                <w:rFonts w:ascii="Arial" w:hAnsi="Arial" w:cs="Arial"/>
                <w:b/>
                <w:sz w:val="32"/>
                <w:szCs w:val="32"/>
                <w:lang w:val="es-UY"/>
              </w:rPr>
              <w:t>CBD</w:t>
            </w:r>
            <w:proofErr w:type="spellEnd"/>
          </w:p>
        </w:tc>
      </w:tr>
      <w:tr w:rsidR="00C9161D" w:rsidRPr="00CC51F1" w:rsidTr="00B97AF8">
        <w:tc>
          <w:tcPr>
            <w:tcW w:w="6118" w:type="dxa"/>
            <w:gridSpan w:val="2"/>
            <w:tcBorders>
              <w:top w:val="single" w:sz="12" w:space="0" w:color="auto"/>
              <w:bottom w:val="single" w:sz="36" w:space="0" w:color="auto"/>
            </w:tcBorders>
            <w:vAlign w:val="center"/>
          </w:tcPr>
          <w:p w:rsidR="00C9161D" w:rsidRPr="00E5345A" w:rsidRDefault="00B97AF8" w:rsidP="00C9161D">
            <w:pPr>
              <w:rPr>
                <w:lang w:val="es-UY"/>
              </w:rPr>
            </w:pPr>
            <w:r w:rsidRPr="00E5345A">
              <w:rPr>
                <w:noProof/>
                <w:lang w:val="en-US"/>
              </w:rPr>
              <w:drawing>
                <wp:inline distT="0" distB="0" distL="0" distR="0">
                  <wp:extent cx="2908300" cy="1047750"/>
                  <wp:effectExtent l="19050" t="0" r="635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2908300" cy="1047750"/>
                          </a:xfrm>
                          <a:prstGeom prst="rect">
                            <a:avLst/>
                          </a:prstGeom>
                          <a:noFill/>
                          <a:ln w="9525">
                            <a:noFill/>
                            <a:miter lim="800000"/>
                            <a:headEnd/>
                            <a:tailEnd/>
                          </a:ln>
                        </pic:spPr>
                      </pic:pic>
                    </a:graphicData>
                  </a:graphic>
                </wp:inline>
              </w:drawing>
            </w:r>
          </w:p>
        </w:tc>
        <w:tc>
          <w:tcPr>
            <w:tcW w:w="4089" w:type="dxa"/>
            <w:tcBorders>
              <w:top w:val="single" w:sz="12" w:space="0" w:color="auto"/>
              <w:bottom w:val="single" w:sz="36" w:space="0" w:color="auto"/>
            </w:tcBorders>
          </w:tcPr>
          <w:p w:rsidR="00C9161D" w:rsidRPr="00CC51F1" w:rsidRDefault="00C9161D" w:rsidP="00176CEE">
            <w:pPr>
              <w:ind w:left="1215"/>
              <w:rPr>
                <w:szCs w:val="22"/>
                <w:lang w:val="en-US"/>
              </w:rPr>
            </w:pPr>
            <w:r w:rsidRPr="00CC51F1">
              <w:rPr>
                <w:szCs w:val="22"/>
                <w:lang w:val="en-US"/>
              </w:rPr>
              <w:t>Distr.</w:t>
            </w:r>
          </w:p>
          <w:p w:rsidR="00C9161D" w:rsidRPr="00CC51F1" w:rsidRDefault="00857371" w:rsidP="00176CEE">
            <w:pPr>
              <w:ind w:left="1215"/>
              <w:rPr>
                <w:szCs w:val="22"/>
                <w:lang w:val="en-US"/>
              </w:rPr>
            </w:pPr>
            <w:r w:rsidRPr="00CC51F1">
              <w:rPr>
                <w:caps/>
                <w:szCs w:val="22"/>
                <w:lang w:val="en-US"/>
              </w:rPr>
              <w:t>GENERAL</w:t>
            </w:r>
          </w:p>
          <w:p w:rsidR="00C9161D" w:rsidRPr="00CC51F1" w:rsidRDefault="00C9161D" w:rsidP="00176CEE">
            <w:pPr>
              <w:ind w:left="1215"/>
              <w:rPr>
                <w:szCs w:val="22"/>
                <w:lang w:val="en-US"/>
              </w:rPr>
            </w:pPr>
          </w:p>
          <w:p w:rsidR="00C9161D" w:rsidRPr="00CC51F1" w:rsidRDefault="00941110" w:rsidP="00176CEE">
            <w:pPr>
              <w:ind w:left="1215"/>
              <w:rPr>
                <w:szCs w:val="22"/>
                <w:lang w:val="en-US"/>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0169D" w:rsidRPr="00CC51F1">
                  <w:rPr>
                    <w:lang w:val="en-US"/>
                  </w:rPr>
                  <w:t>CBD/</w:t>
                </w:r>
                <w:r w:rsidR="00937130" w:rsidRPr="00CC51F1">
                  <w:rPr>
                    <w:lang w:val="en-US"/>
                  </w:rPr>
                  <w:t>C</w:t>
                </w:r>
                <w:r w:rsidR="005E0ED3" w:rsidRPr="00CC51F1">
                  <w:rPr>
                    <w:lang w:val="en-US"/>
                  </w:rPr>
                  <w:t>P/MOP/</w:t>
                </w:r>
                <w:r w:rsidR="004211E7" w:rsidRPr="00CC51F1">
                  <w:rPr>
                    <w:lang w:val="en-US"/>
                  </w:rPr>
                  <w:t>DEC/</w:t>
                </w:r>
                <w:r w:rsidR="005E0ED3" w:rsidRPr="00CC51F1">
                  <w:rPr>
                    <w:lang w:val="en-US"/>
                  </w:rPr>
                  <w:t>10</w:t>
                </w:r>
                <w:r w:rsidR="00937130" w:rsidRPr="00CC51F1">
                  <w:rPr>
                    <w:lang w:val="en-US"/>
                  </w:rPr>
                  <w:t>/</w:t>
                </w:r>
                <w:r w:rsidR="004211E7" w:rsidRPr="00CC51F1">
                  <w:rPr>
                    <w:lang w:val="en-US"/>
                  </w:rPr>
                  <w:t>2</w:t>
                </w:r>
              </w:sdtContent>
            </w:sdt>
          </w:p>
          <w:p w:rsidR="00C9161D" w:rsidRPr="00E5345A" w:rsidRDefault="00280429" w:rsidP="00176CEE">
            <w:pPr>
              <w:ind w:left="1215"/>
              <w:rPr>
                <w:szCs w:val="22"/>
                <w:lang w:val="es-UY"/>
              </w:rPr>
            </w:pPr>
            <w:r w:rsidRPr="00E5345A">
              <w:rPr>
                <w:szCs w:val="22"/>
                <w:lang w:val="es-UY"/>
              </w:rPr>
              <w:t>1</w:t>
            </w:r>
            <w:r w:rsidR="0077674C" w:rsidRPr="00E5345A">
              <w:rPr>
                <w:szCs w:val="22"/>
                <w:lang w:val="es-UY"/>
              </w:rPr>
              <w:t xml:space="preserve">9 </w:t>
            </w:r>
            <w:r w:rsidR="00B97AF8" w:rsidRPr="00E5345A">
              <w:rPr>
                <w:szCs w:val="22"/>
                <w:lang w:val="es-UY"/>
              </w:rPr>
              <w:t>d</w:t>
            </w:r>
            <w:r w:rsidR="0077674C" w:rsidRPr="00E5345A">
              <w:rPr>
                <w:szCs w:val="22"/>
                <w:lang w:val="es-UY"/>
              </w:rPr>
              <w:t>e</w:t>
            </w:r>
            <w:r w:rsidR="00B97AF8" w:rsidRPr="00E5345A">
              <w:rPr>
                <w:szCs w:val="22"/>
                <w:lang w:val="es-UY"/>
              </w:rPr>
              <w:t xml:space="preserve"> di</w:t>
            </w:r>
            <w:r w:rsidR="0077674C" w:rsidRPr="00E5345A">
              <w:rPr>
                <w:szCs w:val="22"/>
                <w:lang w:val="es-UY"/>
              </w:rPr>
              <w:t>c</w:t>
            </w:r>
            <w:r w:rsidR="00B97AF8" w:rsidRPr="00E5345A">
              <w:rPr>
                <w:szCs w:val="22"/>
                <w:lang w:val="es-UY"/>
              </w:rPr>
              <w:t>i</w:t>
            </w:r>
            <w:r w:rsidR="0077674C" w:rsidRPr="00E5345A">
              <w:rPr>
                <w:szCs w:val="22"/>
                <w:lang w:val="es-UY"/>
              </w:rPr>
              <w:t>embr</w:t>
            </w:r>
            <w:r w:rsidR="00B97AF8" w:rsidRPr="00E5345A">
              <w:rPr>
                <w:szCs w:val="22"/>
                <w:lang w:val="es-UY"/>
              </w:rPr>
              <w:t>e</w:t>
            </w:r>
            <w:r w:rsidR="00F6586C" w:rsidRPr="00E5345A">
              <w:rPr>
                <w:szCs w:val="22"/>
                <w:lang w:val="es-UY"/>
              </w:rPr>
              <w:t xml:space="preserve"> </w:t>
            </w:r>
            <w:r w:rsidR="00B97AF8" w:rsidRPr="00E5345A">
              <w:rPr>
                <w:szCs w:val="22"/>
                <w:lang w:val="es-UY"/>
              </w:rPr>
              <w:t xml:space="preserve">de </w:t>
            </w:r>
            <w:r w:rsidR="00F6586C" w:rsidRPr="00E5345A">
              <w:rPr>
                <w:szCs w:val="22"/>
                <w:lang w:val="es-UY"/>
              </w:rPr>
              <w:t>20</w:t>
            </w:r>
            <w:r w:rsidR="00FC25F8" w:rsidRPr="00E5345A">
              <w:rPr>
                <w:szCs w:val="22"/>
                <w:lang w:val="es-UY"/>
              </w:rPr>
              <w:t>2</w:t>
            </w:r>
            <w:r w:rsidR="00B26ACD" w:rsidRPr="00E5345A">
              <w:rPr>
                <w:szCs w:val="22"/>
                <w:lang w:val="es-UY"/>
              </w:rPr>
              <w:t>2</w:t>
            </w:r>
          </w:p>
          <w:p w:rsidR="00C9161D" w:rsidRPr="00E5345A" w:rsidRDefault="00C9161D" w:rsidP="00176CEE">
            <w:pPr>
              <w:ind w:left="1215"/>
              <w:rPr>
                <w:szCs w:val="22"/>
                <w:lang w:val="es-UY"/>
              </w:rPr>
            </w:pPr>
          </w:p>
          <w:p w:rsidR="00B97AF8" w:rsidRPr="00E5345A" w:rsidRDefault="00B97AF8" w:rsidP="00176CEE">
            <w:pPr>
              <w:ind w:left="1215"/>
              <w:rPr>
                <w:szCs w:val="22"/>
                <w:lang w:val="es-UY"/>
              </w:rPr>
            </w:pPr>
            <w:r w:rsidRPr="00E5345A">
              <w:rPr>
                <w:szCs w:val="22"/>
                <w:lang w:val="es-UY"/>
              </w:rPr>
              <w:t>ESPAÑOL</w:t>
            </w:r>
          </w:p>
          <w:p w:rsidR="00C9161D" w:rsidRPr="00E5345A" w:rsidRDefault="006B2290" w:rsidP="00176CEE">
            <w:pPr>
              <w:ind w:left="1215"/>
              <w:rPr>
                <w:szCs w:val="22"/>
                <w:lang w:val="es-UY"/>
              </w:rPr>
            </w:pPr>
            <w:r w:rsidRPr="00E5345A">
              <w:rPr>
                <w:szCs w:val="22"/>
                <w:lang w:val="es-UY"/>
              </w:rPr>
              <w:t xml:space="preserve">ORIGINAL: </w:t>
            </w:r>
            <w:r w:rsidR="00B97AF8" w:rsidRPr="00E5345A">
              <w:rPr>
                <w:szCs w:val="22"/>
                <w:lang w:val="es-UY"/>
              </w:rPr>
              <w:t>I</w:t>
            </w:r>
            <w:r w:rsidR="00C9161D" w:rsidRPr="00E5345A">
              <w:rPr>
                <w:szCs w:val="22"/>
                <w:lang w:val="es-UY"/>
              </w:rPr>
              <w:t>NGL</w:t>
            </w:r>
            <w:r w:rsidR="00B97AF8" w:rsidRPr="00E5345A">
              <w:rPr>
                <w:szCs w:val="22"/>
                <w:lang w:val="es-UY"/>
              </w:rPr>
              <w:t>É</w:t>
            </w:r>
            <w:r w:rsidR="00C9161D" w:rsidRPr="00E5345A">
              <w:rPr>
                <w:szCs w:val="22"/>
                <w:lang w:val="es-UY"/>
              </w:rPr>
              <w:t>S</w:t>
            </w:r>
          </w:p>
          <w:p w:rsidR="00C9161D" w:rsidRPr="00E5345A" w:rsidRDefault="00C9161D">
            <w:pPr>
              <w:rPr>
                <w:lang w:val="es-UY"/>
              </w:rPr>
            </w:pPr>
          </w:p>
        </w:tc>
      </w:tr>
    </w:tbl>
    <w:p w:rsidR="00B97AF8" w:rsidRPr="00E5345A" w:rsidRDefault="00B97AF8" w:rsidP="00B97AF8">
      <w:pPr>
        <w:pStyle w:val="Cornernotation"/>
        <w:kinsoku w:val="0"/>
        <w:overflowPunct w:val="0"/>
        <w:autoSpaceDE w:val="0"/>
        <w:autoSpaceDN w:val="0"/>
        <w:ind w:left="227" w:right="4302" w:hanging="227"/>
        <w:rPr>
          <w:rFonts w:asciiTheme="majorBidi" w:hAnsiTheme="majorBidi" w:cstheme="majorBidi"/>
          <w:snapToGrid w:val="0"/>
          <w:kern w:val="22"/>
          <w:lang w:val="es-UY"/>
        </w:rPr>
      </w:pPr>
      <w:r w:rsidRPr="00E5345A">
        <w:rPr>
          <w:snapToGrid w:val="0"/>
          <w:lang w:val="es-UY"/>
        </w:rPr>
        <w:t>CONFERENCIA DE LAS PARTES EN EL CONVENIO SOBRE LA DIVERSIDAD BIOLÓGICA QUE ACTÚA COMO REUNIÓN DE LAS PARTES EN EL PROTOCOLO DE CARTAGENA SOBRE SEGURIDAD DE LA BIOTECNOLOGÍA</w:t>
      </w:r>
    </w:p>
    <w:p w:rsidR="00B97AF8" w:rsidRPr="00E5345A" w:rsidRDefault="00B97AF8" w:rsidP="00B97AF8">
      <w:pPr>
        <w:pStyle w:val="Cornernotation"/>
        <w:kinsoku w:val="0"/>
        <w:overflowPunct w:val="0"/>
        <w:autoSpaceDE w:val="0"/>
        <w:autoSpaceDN w:val="0"/>
        <w:ind w:left="0" w:right="4512" w:firstLine="0"/>
        <w:jc w:val="both"/>
        <w:rPr>
          <w:rFonts w:asciiTheme="majorBidi" w:hAnsiTheme="majorBidi" w:cstheme="majorBidi"/>
          <w:snapToGrid w:val="0"/>
          <w:kern w:val="22"/>
          <w:lang w:val="es-UY"/>
        </w:rPr>
      </w:pPr>
      <w:r w:rsidRPr="00E5345A">
        <w:rPr>
          <w:rFonts w:asciiTheme="majorBidi" w:hAnsiTheme="majorBidi" w:cstheme="majorBidi"/>
          <w:snapToGrid w:val="0"/>
          <w:kern w:val="22"/>
          <w:lang w:val="es-UY"/>
        </w:rPr>
        <w:t xml:space="preserve">Décima reunión </w:t>
      </w:r>
      <w:r w:rsidR="00197771" w:rsidRPr="00CC51F1">
        <w:rPr>
          <w:snapToGrid w:val="0"/>
          <w:kern w:val="22"/>
          <w:lang w:val="es-MX"/>
        </w:rPr>
        <w:t>–</w:t>
      </w:r>
      <w:r w:rsidRPr="00E5345A">
        <w:rPr>
          <w:rFonts w:asciiTheme="majorBidi" w:hAnsiTheme="majorBidi" w:cstheme="majorBidi"/>
          <w:snapToGrid w:val="0"/>
          <w:kern w:val="22"/>
          <w:lang w:val="es-UY"/>
        </w:rPr>
        <w:t xml:space="preserve"> Parte II</w:t>
      </w:r>
    </w:p>
    <w:p w:rsidR="003B7BB2" w:rsidRPr="00E5345A" w:rsidRDefault="00B97AF8" w:rsidP="00B97AF8">
      <w:pPr>
        <w:pStyle w:val="Cornernotation"/>
        <w:kinsoku w:val="0"/>
        <w:overflowPunct w:val="0"/>
        <w:autoSpaceDE w:val="0"/>
        <w:autoSpaceDN w:val="0"/>
        <w:ind w:left="227" w:right="4512" w:hanging="227"/>
        <w:rPr>
          <w:snapToGrid w:val="0"/>
          <w:kern w:val="22"/>
          <w:szCs w:val="22"/>
          <w:lang w:val="es-UY" w:eastAsia="nb-NO"/>
        </w:rPr>
      </w:pPr>
      <w:r w:rsidRPr="00E5345A">
        <w:rPr>
          <w:rFonts w:asciiTheme="majorBidi" w:hAnsiTheme="majorBidi" w:cstheme="majorBidi"/>
          <w:snapToGrid w:val="0"/>
          <w:kern w:val="22"/>
          <w:lang w:val="es-UY" w:eastAsia="nb-NO"/>
        </w:rPr>
        <w:t>Montreal (Canadá), 7 a 19 de diciembre de 2022</w:t>
      </w:r>
    </w:p>
    <w:p w:rsidR="00C9161D" w:rsidRPr="00E5345A" w:rsidRDefault="00B97AF8" w:rsidP="00C9161D">
      <w:pPr>
        <w:rPr>
          <w:snapToGrid w:val="0"/>
          <w:kern w:val="22"/>
          <w:szCs w:val="22"/>
          <w:lang w:val="es-UY"/>
        </w:rPr>
      </w:pPr>
      <w:r w:rsidRPr="00E5345A">
        <w:rPr>
          <w:snapToGrid w:val="0"/>
          <w:kern w:val="22"/>
          <w:szCs w:val="22"/>
          <w:lang w:val="es-UY"/>
        </w:rPr>
        <w:t>T</w:t>
      </w:r>
      <w:r w:rsidR="00134846" w:rsidRPr="00E5345A">
        <w:rPr>
          <w:snapToGrid w:val="0"/>
          <w:kern w:val="22"/>
          <w:szCs w:val="22"/>
          <w:lang w:val="es-UY"/>
        </w:rPr>
        <w:t>em</w:t>
      </w:r>
      <w:r w:rsidRPr="00E5345A">
        <w:rPr>
          <w:snapToGrid w:val="0"/>
          <w:kern w:val="22"/>
          <w:szCs w:val="22"/>
          <w:lang w:val="es-UY"/>
        </w:rPr>
        <w:t>a</w:t>
      </w:r>
      <w:r w:rsidR="00134846" w:rsidRPr="00E5345A">
        <w:rPr>
          <w:snapToGrid w:val="0"/>
          <w:kern w:val="22"/>
          <w:szCs w:val="22"/>
          <w:lang w:val="es-UY"/>
        </w:rPr>
        <w:t xml:space="preserve"> </w:t>
      </w:r>
      <w:r w:rsidR="0077674C" w:rsidRPr="00E5345A">
        <w:rPr>
          <w:snapToGrid w:val="0"/>
          <w:kern w:val="22"/>
          <w:szCs w:val="22"/>
          <w:lang w:val="es-UY"/>
        </w:rPr>
        <w:t>5</w:t>
      </w:r>
      <w:r w:rsidR="00134846" w:rsidRPr="00E5345A">
        <w:rPr>
          <w:snapToGrid w:val="0"/>
          <w:kern w:val="22"/>
          <w:szCs w:val="22"/>
          <w:lang w:val="es-UY"/>
        </w:rPr>
        <w:t xml:space="preserve"> </w:t>
      </w:r>
      <w:r w:rsidRPr="00E5345A">
        <w:rPr>
          <w:snapToGrid w:val="0"/>
          <w:kern w:val="22"/>
          <w:szCs w:val="22"/>
          <w:lang w:val="es-UY"/>
        </w:rPr>
        <w:t>del programa</w:t>
      </w:r>
    </w:p>
    <w:p w:rsidR="00E66CC8" w:rsidRPr="00E5345A" w:rsidRDefault="00E66CC8" w:rsidP="00C9161D">
      <w:pPr>
        <w:rPr>
          <w:snapToGrid w:val="0"/>
          <w:kern w:val="22"/>
          <w:szCs w:val="22"/>
          <w:lang w:val="es-UY"/>
        </w:rPr>
      </w:pPr>
    </w:p>
    <w:p w:rsidR="00E66CC8" w:rsidRPr="00E5345A" w:rsidRDefault="00E66CC8" w:rsidP="00390F71">
      <w:pPr>
        <w:spacing w:after="240"/>
        <w:jc w:val="center"/>
        <w:rPr>
          <w:lang w:val="es-UY"/>
        </w:rPr>
      </w:pPr>
      <w:r w:rsidRPr="00E5345A">
        <w:rPr>
          <w:rFonts w:ascii="Times New Roman Bold" w:hAnsi="Times New Roman Bold"/>
          <w:b/>
          <w:caps/>
          <w:lang w:val="es-UY"/>
        </w:rPr>
        <w:t>Decisi</w:t>
      </w:r>
      <w:r w:rsidR="0036311D" w:rsidRPr="00E5345A">
        <w:rPr>
          <w:rFonts w:ascii="Times New Roman Bold" w:hAnsi="Times New Roman Bold"/>
          <w:b/>
          <w:caps/>
          <w:lang w:val="es-UY"/>
        </w:rPr>
        <w:t>Ó</w:t>
      </w:r>
      <w:r w:rsidRPr="00E5345A">
        <w:rPr>
          <w:rFonts w:ascii="Times New Roman Bold" w:hAnsi="Times New Roman Bold"/>
          <w:b/>
          <w:caps/>
          <w:lang w:val="es-UY"/>
        </w:rPr>
        <w:t>n adopt</w:t>
      </w:r>
      <w:r w:rsidR="0036311D" w:rsidRPr="00E5345A">
        <w:rPr>
          <w:rFonts w:ascii="Times New Roman Bold" w:hAnsi="Times New Roman Bold"/>
          <w:b/>
          <w:caps/>
          <w:lang w:val="es-UY"/>
        </w:rPr>
        <w:t>A</w:t>
      </w:r>
      <w:r w:rsidRPr="00E5345A">
        <w:rPr>
          <w:rFonts w:ascii="Times New Roman Bold" w:hAnsi="Times New Roman Bold"/>
          <w:b/>
          <w:caps/>
          <w:lang w:val="es-UY"/>
        </w:rPr>
        <w:t>d</w:t>
      </w:r>
      <w:r w:rsidR="0036311D" w:rsidRPr="00E5345A">
        <w:rPr>
          <w:rFonts w:ascii="Times New Roman Bold" w:hAnsi="Times New Roman Bold"/>
          <w:b/>
          <w:caps/>
          <w:lang w:val="es-UY"/>
        </w:rPr>
        <w:t>A</w:t>
      </w:r>
      <w:r w:rsidRPr="00E5345A">
        <w:rPr>
          <w:rFonts w:ascii="Times New Roman Bold" w:hAnsi="Times New Roman Bold"/>
          <w:b/>
          <w:caps/>
          <w:lang w:val="es-UY"/>
        </w:rPr>
        <w:t xml:space="preserve"> </w:t>
      </w:r>
      <w:r w:rsidR="0036311D" w:rsidRPr="00E5345A">
        <w:rPr>
          <w:rFonts w:ascii="Times New Roman Bold" w:hAnsi="Times New Roman Bold"/>
          <w:b/>
          <w:caps/>
          <w:lang w:val="es-UY"/>
        </w:rPr>
        <w:t xml:space="preserve">POR LAS PARTES EN EL PROTOCOLO DE </w:t>
      </w:r>
      <w:r w:rsidRPr="00E5345A">
        <w:rPr>
          <w:rFonts w:ascii="Times New Roman Bold" w:hAnsi="Times New Roman Bold"/>
          <w:b/>
          <w:caps/>
          <w:lang w:val="es-UY"/>
        </w:rPr>
        <w:t xml:space="preserve">Cartagena </w:t>
      </w:r>
      <w:r w:rsidR="0036311D" w:rsidRPr="00E5345A">
        <w:rPr>
          <w:rFonts w:ascii="Times New Roman Bold" w:hAnsi="Times New Roman Bold"/>
          <w:b/>
          <w:caps/>
          <w:lang w:val="es-UY"/>
        </w:rPr>
        <w:t>SOBRE SEGURIDAD DE LA BIOTECNOLOGÍA</w:t>
      </w:r>
    </w:p>
    <w:p w:rsidR="00C9161D" w:rsidRPr="00E5345A" w:rsidRDefault="00941110" w:rsidP="00172AF6">
      <w:pPr>
        <w:spacing w:before="120" w:after="240"/>
        <w:jc w:val="center"/>
        <w:rPr>
          <w:b/>
          <w:caps/>
          <w:lang w:val="es-UY"/>
        </w:rPr>
      </w:pPr>
      <w:sdt>
        <w:sdtPr>
          <w:rPr>
            <w:rStyle w:val="Heading2Char"/>
            <w:lang w:val="es-UY"/>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77674C" w:rsidRPr="00E5345A">
            <w:rPr>
              <w:rStyle w:val="Heading2Char"/>
              <w:lang w:val="es-UY"/>
            </w:rPr>
            <w:t>C</w:t>
          </w:r>
          <w:r w:rsidR="00390F71" w:rsidRPr="00E5345A">
            <w:rPr>
              <w:rStyle w:val="Heading2Char"/>
              <w:lang w:val="es-UY"/>
            </w:rPr>
            <w:t xml:space="preserve">P-10/2. </w:t>
          </w:r>
          <w:r w:rsidR="00CB0AC7">
            <w:rPr>
              <w:rStyle w:val="Heading2Char"/>
              <w:lang w:val="es-UY"/>
            </w:rPr>
            <w:t xml:space="preserve">  </w:t>
          </w:r>
          <w:r w:rsidR="00390F71" w:rsidRPr="00E5345A">
            <w:rPr>
              <w:rStyle w:val="Heading2Char"/>
              <w:lang w:val="es-UY"/>
            </w:rPr>
            <w:t>C</w:t>
          </w:r>
          <w:r w:rsidR="00B97AF8" w:rsidRPr="00E5345A">
            <w:rPr>
              <w:rStyle w:val="Heading2Char"/>
              <w:lang w:val="es-UY"/>
            </w:rPr>
            <w:t>u</w:t>
          </w:r>
          <w:r w:rsidR="0001408F" w:rsidRPr="00E5345A">
            <w:rPr>
              <w:rStyle w:val="Heading2Char"/>
              <w:lang w:val="es-UY"/>
            </w:rPr>
            <w:t>mpli</w:t>
          </w:r>
          <w:r w:rsidR="00B97AF8" w:rsidRPr="00E5345A">
            <w:rPr>
              <w:rStyle w:val="Heading2Char"/>
              <w:lang w:val="es-UY"/>
            </w:rPr>
            <w:t>mie</w:t>
          </w:r>
          <w:r w:rsidR="0001408F" w:rsidRPr="00E5345A">
            <w:rPr>
              <w:rStyle w:val="Heading2Char"/>
              <w:lang w:val="es-UY"/>
            </w:rPr>
            <w:t>n</w:t>
          </w:r>
          <w:r w:rsidR="00B97AF8" w:rsidRPr="00E5345A">
            <w:rPr>
              <w:rStyle w:val="Heading2Char"/>
              <w:lang w:val="es-UY"/>
            </w:rPr>
            <w:t>to</w:t>
          </w:r>
        </w:sdtContent>
      </w:sdt>
      <w:r w:rsidR="00105372" w:rsidRPr="00E5345A">
        <w:rPr>
          <w:b/>
          <w:caps/>
          <w:lang w:val="es-UY"/>
        </w:rPr>
        <w:t xml:space="preserve"> </w:t>
      </w:r>
    </w:p>
    <w:p w:rsidR="00B97AF8" w:rsidRPr="00E5345A" w:rsidRDefault="00B97AF8" w:rsidP="00B97AF8">
      <w:pPr>
        <w:ind w:firstLine="720"/>
        <w:rPr>
          <w:kern w:val="22"/>
          <w:lang w:val="es-UY"/>
        </w:rPr>
      </w:pPr>
      <w:r w:rsidRPr="00E5345A">
        <w:rPr>
          <w:i/>
          <w:iCs/>
          <w:kern w:val="22"/>
          <w:lang w:val="es-UY"/>
        </w:rPr>
        <w:t>La Conferencia de las Partes que actúa como reunión</w:t>
      </w:r>
      <w:bookmarkStart w:id="0" w:name="_GoBack"/>
      <w:bookmarkEnd w:id="0"/>
      <w:r w:rsidRPr="00E5345A">
        <w:rPr>
          <w:i/>
          <w:iCs/>
          <w:kern w:val="22"/>
          <w:lang w:val="es-UY"/>
        </w:rPr>
        <w:t xml:space="preserve"> de las Partes en el Protocolo de Cartagena sobre Seguridad de la Biotecnología</w:t>
      </w:r>
      <w:r w:rsidR="00CB0AC7">
        <w:rPr>
          <w:i/>
          <w:iCs/>
          <w:kern w:val="22"/>
          <w:lang w:val="es-UY"/>
        </w:rPr>
        <w:t>,</w:t>
      </w:r>
    </w:p>
    <w:p w:rsidR="00B97AF8" w:rsidRPr="00E5345A" w:rsidRDefault="00B97AF8" w:rsidP="00B97AF8">
      <w:pPr>
        <w:pStyle w:val="Para1"/>
        <w:numPr>
          <w:ilvl w:val="0"/>
          <w:numId w:val="19"/>
        </w:numPr>
        <w:ind w:firstLine="567"/>
        <w:rPr>
          <w:kern w:val="22"/>
          <w:lang w:val="es-UY"/>
        </w:rPr>
      </w:pPr>
      <w:r w:rsidRPr="00E5345A">
        <w:rPr>
          <w:i/>
          <w:iCs/>
          <w:kern w:val="22"/>
          <w:lang w:val="es-UY"/>
        </w:rPr>
        <w:t xml:space="preserve">Recuerda </w:t>
      </w:r>
      <w:r w:rsidRPr="00E5345A">
        <w:rPr>
          <w:lang w:val="es-UY"/>
        </w:rPr>
        <w:t>a las Partes el párrafo 4 del artículo II de los procedimientos y mecanismos de cumplimiento</w:t>
      </w:r>
      <w:r w:rsidR="00CB0AC7">
        <w:rPr>
          <w:lang w:val="es-UY"/>
        </w:rPr>
        <w:t>,</w:t>
      </w:r>
      <w:r w:rsidRPr="00E5345A">
        <w:rPr>
          <w:lang w:val="es-UY"/>
        </w:rPr>
        <w:t xml:space="preserve"> y las insta a </w:t>
      </w:r>
      <w:r w:rsidR="00CC51F1">
        <w:rPr>
          <w:lang w:val="es-UY"/>
        </w:rPr>
        <w:t>asegurarse</w:t>
      </w:r>
      <w:r w:rsidRPr="00E5345A">
        <w:rPr>
          <w:lang w:val="es-UY"/>
        </w:rPr>
        <w:t xml:space="preserve"> de que la elección de los miembros </w:t>
      </w:r>
      <w:r w:rsidR="00CC51F1">
        <w:rPr>
          <w:lang w:val="es-UY"/>
        </w:rPr>
        <w:t xml:space="preserve">del Comité de Cumplimiento en el marco del Protocolo de Cartagena sobre Seguridad de la Biotecnología </w:t>
      </w:r>
      <w:r w:rsidRPr="00E5345A">
        <w:rPr>
          <w:lang w:val="es-UY"/>
        </w:rPr>
        <w:t>se haga en el entendido de que ejercerán un mandato completo de cuatro años</w:t>
      </w:r>
      <w:r w:rsidRPr="00E5345A">
        <w:rPr>
          <w:kern w:val="22"/>
          <w:lang w:val="es-UY"/>
        </w:rPr>
        <w:t>;</w:t>
      </w:r>
    </w:p>
    <w:p w:rsidR="00B97AF8" w:rsidRPr="00E5345A" w:rsidRDefault="00B97AF8" w:rsidP="00B97AF8">
      <w:pPr>
        <w:pStyle w:val="Para1"/>
        <w:numPr>
          <w:ilvl w:val="0"/>
          <w:numId w:val="19"/>
        </w:numPr>
        <w:ind w:firstLine="567"/>
        <w:rPr>
          <w:kern w:val="22"/>
          <w:lang w:val="es-UY"/>
        </w:rPr>
      </w:pPr>
      <w:r w:rsidRPr="00E5345A">
        <w:rPr>
          <w:i/>
          <w:iCs/>
          <w:kern w:val="22"/>
          <w:lang w:val="es-UY"/>
        </w:rPr>
        <w:t xml:space="preserve">Recuerda también </w:t>
      </w:r>
      <w:r w:rsidRPr="00E5345A">
        <w:rPr>
          <w:lang w:val="es-UY"/>
        </w:rPr>
        <w:t>a las Partes su obligación de designar un punto focal nacional para el Protocolo de Cartagena y una o más autoridades nacionales competentes</w:t>
      </w:r>
      <w:r w:rsidR="00CB0AC7">
        <w:rPr>
          <w:lang w:val="es-UY"/>
        </w:rPr>
        <w:t>,</w:t>
      </w:r>
      <w:r w:rsidRPr="00E5345A">
        <w:rPr>
          <w:lang w:val="es-UY"/>
        </w:rPr>
        <w:t xml:space="preserve"> y de notificar a la Secretaría, según proceda, conforme al artículo 19 del Protocolo</w:t>
      </w:r>
      <w:r w:rsidRPr="00E5345A">
        <w:rPr>
          <w:kern w:val="22"/>
          <w:lang w:val="es-UY"/>
        </w:rPr>
        <w:t>;</w:t>
      </w:r>
    </w:p>
    <w:p w:rsidR="00B97AF8" w:rsidRPr="00E5345A" w:rsidRDefault="00B97AF8" w:rsidP="00B97AF8">
      <w:pPr>
        <w:pStyle w:val="Para1"/>
        <w:numPr>
          <w:ilvl w:val="0"/>
          <w:numId w:val="19"/>
        </w:numPr>
        <w:ind w:firstLine="567"/>
        <w:rPr>
          <w:kern w:val="22"/>
          <w:lang w:val="es-UY"/>
        </w:rPr>
      </w:pPr>
      <w:r w:rsidRPr="00E5345A">
        <w:rPr>
          <w:i/>
          <w:iCs/>
          <w:kern w:val="22"/>
          <w:lang w:val="es-UY"/>
        </w:rPr>
        <w:t xml:space="preserve">Recuerda además </w:t>
      </w:r>
      <w:r w:rsidRPr="00E5345A">
        <w:rPr>
          <w:lang w:val="es-UY"/>
        </w:rPr>
        <w:t>a las Partes su obligación de designar un punto focal nacional para el Centro de Intercambio de Información sobre Seguridad de la Biotecnología, de acuerdo con la decisión BS-I/3 y la decisión II/7 de la Conferencia de las Partes</w:t>
      </w:r>
      <w:r w:rsidRPr="00E5345A">
        <w:rPr>
          <w:kern w:val="22"/>
          <w:lang w:val="es-UY"/>
        </w:rPr>
        <w:t>;</w:t>
      </w:r>
    </w:p>
    <w:p w:rsidR="00B97AF8" w:rsidRPr="00E5345A" w:rsidRDefault="00B97AF8" w:rsidP="00B97AF8">
      <w:pPr>
        <w:pStyle w:val="Para1"/>
        <w:numPr>
          <w:ilvl w:val="0"/>
          <w:numId w:val="19"/>
        </w:numPr>
        <w:ind w:firstLine="567"/>
        <w:rPr>
          <w:kern w:val="22"/>
          <w:lang w:val="es-UY"/>
        </w:rPr>
      </w:pPr>
      <w:r w:rsidRPr="00E5345A">
        <w:rPr>
          <w:i/>
          <w:iCs/>
          <w:kern w:val="22"/>
          <w:lang w:val="es-UY"/>
        </w:rPr>
        <w:t xml:space="preserve">Recuerda </w:t>
      </w:r>
      <w:r w:rsidRPr="00E5345A">
        <w:rPr>
          <w:lang w:val="es-UY"/>
        </w:rPr>
        <w:t>a las Partes su obligación de publicar en el Centro de Intercambio de Información sobre Seguridad de la Biotecnología los datos pertinentes que indiquen su punto de contacto a efectos de recibir las notificaciones previstas en el artículo 17 del Protocolo</w:t>
      </w:r>
      <w:r w:rsidR="00CB0AC7">
        <w:rPr>
          <w:lang w:val="es-UY"/>
        </w:rPr>
        <w:t>,</w:t>
      </w:r>
      <w:r w:rsidRPr="00E5345A">
        <w:rPr>
          <w:lang w:val="es-UY"/>
        </w:rPr>
        <w:t xml:space="preserve"> y las insta a que lo hagan lo antes posible</w:t>
      </w:r>
      <w:r w:rsidRPr="00E5345A">
        <w:rPr>
          <w:kern w:val="22"/>
          <w:lang w:val="es-UY"/>
        </w:rPr>
        <w:t>;</w:t>
      </w:r>
    </w:p>
    <w:p w:rsidR="00B97AF8" w:rsidRPr="00E5345A" w:rsidRDefault="00B97AF8" w:rsidP="00B97AF8">
      <w:pPr>
        <w:pStyle w:val="Para1"/>
        <w:numPr>
          <w:ilvl w:val="0"/>
          <w:numId w:val="19"/>
        </w:numPr>
        <w:ind w:firstLine="567"/>
        <w:rPr>
          <w:kern w:val="22"/>
          <w:lang w:val="es-UY"/>
        </w:rPr>
      </w:pPr>
      <w:r w:rsidRPr="00E5345A">
        <w:rPr>
          <w:i/>
          <w:iCs/>
          <w:kern w:val="22"/>
          <w:lang w:val="es-UY"/>
        </w:rPr>
        <w:t xml:space="preserve">Insta </w:t>
      </w:r>
      <w:r w:rsidRPr="00E5345A">
        <w:rPr>
          <w:lang w:val="es-UY"/>
        </w:rPr>
        <w:t xml:space="preserve">a las Partes e </w:t>
      </w:r>
      <w:r w:rsidRPr="00E5345A">
        <w:rPr>
          <w:i/>
          <w:iCs/>
          <w:lang w:val="es-UY"/>
        </w:rPr>
        <w:t>invita</w:t>
      </w:r>
      <w:r w:rsidRPr="00E5345A">
        <w:rPr>
          <w:lang w:val="es-UY"/>
        </w:rPr>
        <w:t xml:space="preserve"> a otros Gobiernos a proporcionar fondos voluntarios para apoyar a las cuatro Parte</w:t>
      </w:r>
      <w:r w:rsidRPr="00E5345A">
        <w:rPr>
          <w:kern w:val="22"/>
          <w:lang w:val="es-UY"/>
        </w:rPr>
        <w:t>s</w:t>
      </w:r>
      <w:r w:rsidRPr="00E5345A">
        <w:rPr>
          <w:kern w:val="22"/>
          <w:vertAlign w:val="superscript"/>
          <w:lang w:val="es-UY"/>
        </w:rPr>
        <w:footnoteReference w:id="1"/>
      </w:r>
      <w:r w:rsidRPr="00E5345A">
        <w:rPr>
          <w:kern w:val="22"/>
          <w:lang w:val="es-UY"/>
        </w:rPr>
        <w:t xml:space="preserve"> que </w:t>
      </w:r>
      <w:r w:rsidRPr="00E5345A">
        <w:rPr>
          <w:lang w:val="es-UY"/>
        </w:rPr>
        <w:t>han elaborado planes de acción para el cumplimiento, así como cualquier otra Parte que elabore y ponga en marcha planes de acción para el cumplimiento a solicitud del Comité</w:t>
      </w:r>
      <w:r w:rsidRPr="00E5345A">
        <w:rPr>
          <w:kern w:val="22"/>
          <w:lang w:val="es-UY"/>
        </w:rPr>
        <w:t>;</w:t>
      </w:r>
    </w:p>
    <w:p w:rsidR="00B97AF8" w:rsidRPr="00E5345A" w:rsidRDefault="00B97AF8" w:rsidP="00B97AF8">
      <w:pPr>
        <w:pStyle w:val="Para1"/>
        <w:numPr>
          <w:ilvl w:val="0"/>
          <w:numId w:val="19"/>
        </w:numPr>
        <w:ind w:firstLine="567"/>
        <w:rPr>
          <w:lang w:val="es-UY"/>
        </w:rPr>
      </w:pPr>
      <w:r w:rsidRPr="00E5345A">
        <w:rPr>
          <w:i/>
          <w:iCs/>
          <w:kern w:val="22"/>
          <w:lang w:val="es-UY"/>
        </w:rPr>
        <w:t>Pide</w:t>
      </w:r>
      <w:r w:rsidRPr="00E5345A">
        <w:rPr>
          <w:lang w:val="es-UY"/>
        </w:rPr>
        <w:t xml:space="preserve"> a la Secretaria Ejecutiva que: </w:t>
      </w:r>
    </w:p>
    <w:p w:rsidR="00B97AF8" w:rsidRPr="00E5345A" w:rsidRDefault="00B97AF8" w:rsidP="00B97AF8">
      <w:pPr>
        <w:kinsoku w:val="0"/>
        <w:overflowPunct w:val="0"/>
        <w:autoSpaceDE w:val="0"/>
        <w:autoSpaceDN w:val="0"/>
        <w:spacing w:before="120" w:after="120"/>
        <w:ind w:firstLine="562"/>
        <w:rPr>
          <w:lang w:val="es-UY"/>
        </w:rPr>
      </w:pPr>
      <w:r w:rsidRPr="00E5345A">
        <w:rPr>
          <w:lang w:val="es-UY"/>
        </w:rPr>
        <w:t xml:space="preserve"> a) </w:t>
      </w:r>
      <w:r w:rsidRPr="00E5345A">
        <w:rPr>
          <w:lang w:val="es-UY"/>
        </w:rPr>
        <w:tab/>
      </w:r>
      <w:r w:rsidRPr="00E5345A">
        <w:rPr>
          <w:snapToGrid w:val="0"/>
          <w:lang w:val="es-UY"/>
        </w:rPr>
        <w:t>Elabore una encuesta en línea sobre las limitaciones y los retos nacionales en el cumplimiento de: i) la obligación de tomar las medidas jurídicas, administrativas y de otro tipo necesarias para aplicar el Protocolo y ii) la obligación de presentar un informe nacional en tiempo y forma</w:t>
      </w:r>
      <w:r w:rsidRPr="00E5345A">
        <w:rPr>
          <w:lang w:val="es-UY"/>
        </w:rPr>
        <w:t>;</w:t>
      </w:r>
    </w:p>
    <w:p w:rsidR="00672967" w:rsidRPr="00E5345A" w:rsidRDefault="00B97AF8" w:rsidP="00672967">
      <w:pPr>
        <w:kinsoku w:val="0"/>
        <w:overflowPunct w:val="0"/>
        <w:autoSpaceDE w:val="0"/>
        <w:autoSpaceDN w:val="0"/>
        <w:spacing w:before="120" w:after="120"/>
        <w:ind w:firstLine="562"/>
        <w:rPr>
          <w:lang w:val="es-UY"/>
        </w:rPr>
      </w:pPr>
      <w:r w:rsidRPr="00E5345A">
        <w:rPr>
          <w:lang w:val="es-UY"/>
        </w:rPr>
        <w:lastRenderedPageBreak/>
        <w:t xml:space="preserve"> b) </w:t>
      </w:r>
      <w:r w:rsidRPr="00E5345A">
        <w:rPr>
          <w:lang w:val="es-UY"/>
        </w:rPr>
        <w:tab/>
      </w:r>
      <w:r w:rsidRPr="00E5345A">
        <w:rPr>
          <w:snapToGrid w:val="0"/>
          <w:lang w:val="es-UY"/>
        </w:rPr>
        <w:t>Invite a todas las Partes a completar la encuesta</w:t>
      </w:r>
      <w:r w:rsidRPr="00E5345A">
        <w:rPr>
          <w:lang w:val="es-UY"/>
        </w:rPr>
        <w:t>;</w:t>
      </w:r>
    </w:p>
    <w:p w:rsidR="0077674C" w:rsidRPr="00E5345A" w:rsidRDefault="00672967" w:rsidP="00672967">
      <w:pPr>
        <w:kinsoku w:val="0"/>
        <w:overflowPunct w:val="0"/>
        <w:autoSpaceDE w:val="0"/>
        <w:autoSpaceDN w:val="0"/>
        <w:spacing w:before="120" w:after="120"/>
        <w:ind w:firstLine="562"/>
        <w:rPr>
          <w:sz w:val="24"/>
          <w:lang w:val="es-UY"/>
        </w:rPr>
      </w:pPr>
      <w:r w:rsidRPr="00E5345A">
        <w:rPr>
          <w:lang w:val="es-UY"/>
        </w:rPr>
        <w:t xml:space="preserve"> </w:t>
      </w:r>
      <w:r w:rsidR="00B97AF8" w:rsidRPr="00E5345A">
        <w:rPr>
          <w:lang w:val="es-UY"/>
        </w:rPr>
        <w:t xml:space="preserve">c) </w:t>
      </w:r>
      <w:r w:rsidR="00B97AF8" w:rsidRPr="00E5345A">
        <w:rPr>
          <w:lang w:val="es-UY"/>
        </w:rPr>
        <w:tab/>
      </w:r>
      <w:r w:rsidR="00B97AF8" w:rsidRPr="00E5345A">
        <w:rPr>
          <w:snapToGrid w:val="0"/>
          <w:lang w:val="es-UY"/>
        </w:rPr>
        <w:t>Recopile los resultados y los presente al Comité para que los examine en su 18ª reunión</w:t>
      </w:r>
      <w:r w:rsidR="00B97AF8" w:rsidRPr="00E5345A">
        <w:rPr>
          <w:lang w:val="es-UY"/>
        </w:rPr>
        <w:t>.</w:t>
      </w:r>
    </w:p>
    <w:p w:rsidR="00B3369F" w:rsidRPr="00E5345A" w:rsidRDefault="0077674C" w:rsidP="0077674C">
      <w:pPr>
        <w:jc w:val="center"/>
        <w:rPr>
          <w:lang w:val="es-UY"/>
        </w:rPr>
      </w:pPr>
      <w:r w:rsidRPr="00E5345A">
        <w:rPr>
          <w:lang w:val="es-UY"/>
        </w:rPr>
        <w:t>__________</w:t>
      </w:r>
    </w:p>
    <w:sectPr w:rsidR="00B3369F" w:rsidRPr="00E5345A" w:rsidSect="006C5F57">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110" w:rsidRDefault="00941110" w:rsidP="00CF1848">
      <w:r>
        <w:separator/>
      </w:r>
    </w:p>
  </w:endnote>
  <w:endnote w:type="continuationSeparator" w:id="0">
    <w:p w:rsidR="00941110" w:rsidRDefault="0094111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110" w:rsidRDefault="00941110" w:rsidP="00CF1848">
      <w:r>
        <w:separator/>
      </w:r>
    </w:p>
  </w:footnote>
  <w:footnote w:type="continuationSeparator" w:id="0">
    <w:p w:rsidR="00941110" w:rsidRDefault="00941110" w:rsidP="00CF1848">
      <w:r>
        <w:continuationSeparator/>
      </w:r>
    </w:p>
  </w:footnote>
  <w:footnote w:id="1">
    <w:p w:rsidR="00B97AF8" w:rsidRPr="00857371" w:rsidRDefault="00B97AF8" w:rsidP="00B97AF8">
      <w:pPr>
        <w:pStyle w:val="FootnoteText"/>
        <w:suppressLineNumbers/>
        <w:suppressAutoHyphens/>
        <w:ind w:firstLine="0"/>
        <w:jc w:val="left"/>
        <w:rPr>
          <w:rFonts w:eastAsia="MS Mincho"/>
          <w:szCs w:val="18"/>
          <w:lang w:val="es-MX"/>
        </w:rPr>
      </w:pPr>
      <w:r>
        <w:rPr>
          <w:rStyle w:val="FootnoteReference"/>
          <w:kern w:val="18"/>
        </w:rPr>
        <w:footnoteRef/>
      </w:r>
      <w:r>
        <w:rPr>
          <w:kern w:val="18"/>
          <w:lang w:val="es-ES"/>
        </w:rPr>
        <w:t xml:space="preserve"> Barbados, </w:t>
      </w:r>
      <w:r>
        <w:rPr>
          <w:lang w:val="es-ES"/>
        </w:rPr>
        <w:t>Kirguistán, Marruecos y Omán</w:t>
      </w:r>
      <w:r>
        <w:rPr>
          <w:kern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pt-B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857371" w:rsidRDefault="004211E7" w:rsidP="00534681">
        <w:pPr>
          <w:pStyle w:val="Header"/>
          <w:rPr>
            <w:lang w:val="pt-BR"/>
          </w:rPr>
        </w:pPr>
        <w:r>
          <w:rPr>
            <w:lang w:val="pt-BR"/>
          </w:rPr>
          <w:t>CBD/CP/MOP/DEC/10/2</w:t>
        </w:r>
      </w:p>
    </w:sdtContent>
  </w:sdt>
  <w:p w:rsidR="00534681" w:rsidRPr="00857371" w:rsidRDefault="00534681" w:rsidP="00534681">
    <w:pPr>
      <w:pStyle w:val="Header"/>
      <w:rPr>
        <w:lang w:val="pt-BR"/>
      </w:rPr>
    </w:pPr>
    <w:r w:rsidRPr="00857371">
      <w:rPr>
        <w:lang w:val="pt-BR"/>
      </w:rPr>
      <w:t>P</w:t>
    </w:r>
    <w:r w:rsidR="00B97AF8" w:rsidRPr="00857371">
      <w:rPr>
        <w:lang w:val="pt-BR"/>
      </w:rPr>
      <w:t>á</w:t>
    </w:r>
    <w:r w:rsidRPr="00857371">
      <w:rPr>
        <w:lang w:val="pt-BR"/>
      </w:rPr>
      <w:t>g</w:t>
    </w:r>
    <w:r w:rsidR="00B97AF8" w:rsidRPr="00857371">
      <w:rPr>
        <w:lang w:val="pt-BR"/>
      </w:rPr>
      <w:t>ina</w:t>
    </w:r>
    <w:r w:rsidRPr="00857371">
      <w:rPr>
        <w:lang w:val="pt-BR"/>
      </w:rPr>
      <w:t xml:space="preserve"> </w:t>
    </w:r>
    <w:r w:rsidR="003373E9" w:rsidRPr="00B97AF8">
      <w:rPr>
        <w:lang w:val="es-ES"/>
      </w:rPr>
      <w:fldChar w:fldCharType="begin"/>
    </w:r>
    <w:r w:rsidRPr="00857371">
      <w:rPr>
        <w:lang w:val="pt-BR"/>
      </w:rPr>
      <w:instrText xml:space="preserve"> PAGE   \* MERGEFORMAT </w:instrText>
    </w:r>
    <w:r w:rsidR="003373E9" w:rsidRPr="00B97AF8">
      <w:rPr>
        <w:lang w:val="es-ES"/>
      </w:rPr>
      <w:fldChar w:fldCharType="separate"/>
    </w:r>
    <w:r w:rsidR="00CB0AC7">
      <w:rPr>
        <w:noProof/>
        <w:lang w:val="pt-BR"/>
      </w:rPr>
      <w:t>2</w:t>
    </w:r>
    <w:r w:rsidR="003373E9" w:rsidRPr="00B97AF8">
      <w:rPr>
        <w:lang w:val="es-ES"/>
      </w:rPr>
      <w:fldChar w:fldCharType="end"/>
    </w:r>
  </w:p>
  <w:p w:rsidR="00534681" w:rsidRPr="00857371" w:rsidRDefault="00534681">
    <w:pPr>
      <w:pStyle w:val="Header"/>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134846" w:rsidRDefault="004211E7" w:rsidP="009505C9">
        <w:pPr>
          <w:pStyle w:val="Header"/>
          <w:jc w:val="right"/>
          <w:rPr>
            <w:lang w:val="fr-FR"/>
          </w:rPr>
        </w:pPr>
        <w:r>
          <w:rPr>
            <w:lang w:val="fr-FR"/>
          </w:rPr>
          <w:t>CBD/CP/MOP/DEC/10/2</w:t>
        </w:r>
      </w:p>
    </w:sdtContent>
  </w:sdt>
  <w:p w:rsidR="009505C9" w:rsidRPr="00134846" w:rsidRDefault="009505C9" w:rsidP="009505C9">
    <w:pPr>
      <w:pStyle w:val="Header"/>
      <w:jc w:val="right"/>
      <w:rPr>
        <w:lang w:val="fr-FR"/>
      </w:rPr>
    </w:pPr>
    <w:r w:rsidRPr="00134846">
      <w:rPr>
        <w:lang w:val="fr-FR"/>
      </w:rPr>
      <w:t xml:space="preserve">Page </w:t>
    </w:r>
    <w:r w:rsidR="003373E9">
      <w:fldChar w:fldCharType="begin"/>
    </w:r>
    <w:r w:rsidRPr="00134846">
      <w:rPr>
        <w:lang w:val="fr-FR"/>
      </w:rPr>
      <w:instrText xml:space="preserve"> PAGE   \* MERGEFORMAT </w:instrText>
    </w:r>
    <w:r w:rsidR="003373E9">
      <w:fldChar w:fldCharType="separate"/>
    </w:r>
    <w:r w:rsidR="00F6586C" w:rsidRPr="00134846">
      <w:rPr>
        <w:noProof/>
        <w:lang w:val="fr-FR"/>
      </w:rPr>
      <w:t>3</w:t>
    </w:r>
    <w:r w:rsidR="003373E9">
      <w:rPr>
        <w:noProof/>
      </w:rPr>
      <w:fldChar w:fldCharType="end"/>
    </w:r>
  </w:p>
  <w:p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 w:numId="1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1408F"/>
    <w:rsid w:val="00020A25"/>
    <w:rsid w:val="0007171B"/>
    <w:rsid w:val="000C64C2"/>
    <w:rsid w:val="000E673A"/>
    <w:rsid w:val="000F74F5"/>
    <w:rsid w:val="00105372"/>
    <w:rsid w:val="001312AD"/>
    <w:rsid w:val="00131E7A"/>
    <w:rsid w:val="00134846"/>
    <w:rsid w:val="00172AF6"/>
    <w:rsid w:val="00176CEE"/>
    <w:rsid w:val="00186DD8"/>
    <w:rsid w:val="00197771"/>
    <w:rsid w:val="001B13FE"/>
    <w:rsid w:val="00201591"/>
    <w:rsid w:val="00280429"/>
    <w:rsid w:val="0030169D"/>
    <w:rsid w:val="003060EB"/>
    <w:rsid w:val="003153EB"/>
    <w:rsid w:val="00321985"/>
    <w:rsid w:val="003373E9"/>
    <w:rsid w:val="00351205"/>
    <w:rsid w:val="0036311D"/>
    <w:rsid w:val="00372F74"/>
    <w:rsid w:val="00390F71"/>
    <w:rsid w:val="003B7BB2"/>
    <w:rsid w:val="003F7224"/>
    <w:rsid w:val="004211E7"/>
    <w:rsid w:val="00427D21"/>
    <w:rsid w:val="00440610"/>
    <w:rsid w:val="004644C2"/>
    <w:rsid w:val="00467F9C"/>
    <w:rsid w:val="00534681"/>
    <w:rsid w:val="00563442"/>
    <w:rsid w:val="00565B42"/>
    <w:rsid w:val="005B4ADC"/>
    <w:rsid w:val="005C4CE6"/>
    <w:rsid w:val="005E0ED3"/>
    <w:rsid w:val="006122BA"/>
    <w:rsid w:val="0063588C"/>
    <w:rsid w:val="00672967"/>
    <w:rsid w:val="006B0B17"/>
    <w:rsid w:val="006B2290"/>
    <w:rsid w:val="006C5F57"/>
    <w:rsid w:val="00717D88"/>
    <w:rsid w:val="007552CE"/>
    <w:rsid w:val="0077674C"/>
    <w:rsid w:val="00786056"/>
    <w:rsid w:val="007942D3"/>
    <w:rsid w:val="007B2099"/>
    <w:rsid w:val="007B6C09"/>
    <w:rsid w:val="007B7741"/>
    <w:rsid w:val="007E09DA"/>
    <w:rsid w:val="008178B6"/>
    <w:rsid w:val="00857371"/>
    <w:rsid w:val="00865B74"/>
    <w:rsid w:val="008974F0"/>
    <w:rsid w:val="008B012A"/>
    <w:rsid w:val="00906E17"/>
    <w:rsid w:val="00930BA1"/>
    <w:rsid w:val="0093169E"/>
    <w:rsid w:val="00937130"/>
    <w:rsid w:val="00941110"/>
    <w:rsid w:val="009505C9"/>
    <w:rsid w:val="00950752"/>
    <w:rsid w:val="00966424"/>
    <w:rsid w:val="009C2DE6"/>
    <w:rsid w:val="00A1252A"/>
    <w:rsid w:val="00A30119"/>
    <w:rsid w:val="00A37143"/>
    <w:rsid w:val="00AA6F92"/>
    <w:rsid w:val="00AB6934"/>
    <w:rsid w:val="00AB6985"/>
    <w:rsid w:val="00AD7FFC"/>
    <w:rsid w:val="00AF42DE"/>
    <w:rsid w:val="00B26ACD"/>
    <w:rsid w:val="00B3369F"/>
    <w:rsid w:val="00B94E6C"/>
    <w:rsid w:val="00B97AF8"/>
    <w:rsid w:val="00BB4606"/>
    <w:rsid w:val="00BF11F9"/>
    <w:rsid w:val="00C23D2F"/>
    <w:rsid w:val="00C443BD"/>
    <w:rsid w:val="00C451C5"/>
    <w:rsid w:val="00C57B15"/>
    <w:rsid w:val="00C9161D"/>
    <w:rsid w:val="00CA0C1D"/>
    <w:rsid w:val="00CB0AC7"/>
    <w:rsid w:val="00CB681E"/>
    <w:rsid w:val="00CC51F1"/>
    <w:rsid w:val="00CF1848"/>
    <w:rsid w:val="00D12044"/>
    <w:rsid w:val="00D30264"/>
    <w:rsid w:val="00D33EFC"/>
    <w:rsid w:val="00D40DBC"/>
    <w:rsid w:val="00D67904"/>
    <w:rsid w:val="00D7543F"/>
    <w:rsid w:val="00D76A18"/>
    <w:rsid w:val="00D80849"/>
    <w:rsid w:val="00D82E8F"/>
    <w:rsid w:val="00DD118C"/>
    <w:rsid w:val="00E35B47"/>
    <w:rsid w:val="00E5345A"/>
    <w:rsid w:val="00E619FA"/>
    <w:rsid w:val="00E66235"/>
    <w:rsid w:val="00E66CC8"/>
    <w:rsid w:val="00E83C24"/>
    <w:rsid w:val="00E9318D"/>
    <w:rsid w:val="00EC1F46"/>
    <w:rsid w:val="00F53193"/>
    <w:rsid w:val="00F5357E"/>
    <w:rsid w:val="00F6586C"/>
    <w:rsid w:val="00F80A96"/>
    <w:rsid w:val="00F94774"/>
    <w:rsid w:val="00FA0E9A"/>
    <w:rsid w:val="00FA663B"/>
    <w:rsid w:val="00FC25F8"/>
    <w:rsid w:val="00FC53DB"/>
    <w:rsid w:val="00FD16FF"/>
    <w:rsid w:val="00FE21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BFDEB8"/>
  <w15:docId w15:val="{F166AA99-EE14-46BD-8688-52F89075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rsid w:val="00427D21"/>
    <w:rPr>
      <w:sz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
    <w:semiHidden/>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basedOn w:val="DefaultParagraphFont"/>
    <w:semiHidden/>
    <w:locked/>
    <w:rsid w:val="00B97AF8"/>
    <w:rPr>
      <w:rFonts w:ascii="MS Mincho" w:eastAsia="MS Mincho" w:hAnsi="MS Mincho"/>
      <w:sz w:val="18"/>
      <w:szCs w:val="18"/>
      <w:lang w:val="en-GB"/>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B97AF8"/>
    <w:pPr>
      <w:spacing w:before="120" w:after="160" w:line="240" w:lineRule="exac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477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810A55"/>
    <w:rsid w:val="0016789F"/>
    <w:rsid w:val="00437858"/>
    <w:rsid w:val="0046422C"/>
    <w:rsid w:val="004760CF"/>
    <w:rsid w:val="004C5AE3"/>
    <w:rsid w:val="004E092F"/>
    <w:rsid w:val="00500A2B"/>
    <w:rsid w:val="0058288D"/>
    <w:rsid w:val="005B7277"/>
    <w:rsid w:val="00665C6B"/>
    <w:rsid w:val="006801B3"/>
    <w:rsid w:val="007C44A8"/>
    <w:rsid w:val="00810A55"/>
    <w:rsid w:val="008C6619"/>
    <w:rsid w:val="008D420E"/>
    <w:rsid w:val="0098642F"/>
    <w:rsid w:val="00A17D2E"/>
    <w:rsid w:val="00B27D2C"/>
    <w:rsid w:val="00C8104B"/>
    <w:rsid w:val="00D31D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D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EC7F48-48CC-4622-B3A9-4D5F479A5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E4E5AA-DD30-4798-AA84-C3496351F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Cumplimiento</vt:lpstr>
    </vt:vector>
  </TitlesOfParts>
  <Company>SCBD</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CP-10/2.   Cumplimiento</dc:title>
  <dc:subject>CBD/CP/MOP/DEC/10/2</dc:subject>
  <dc:creator>SCBD</dc:creator>
  <cp:keywords>Conference of the Parties serving as the meeting of the parties to the Cartagena Protocol on Biosafety, tenth meeting</cp:keywords>
  <cp:lastModifiedBy>Rosario </cp:lastModifiedBy>
  <cp:revision>17</cp:revision>
  <cp:lastPrinted>2020-01-21T16:56:00Z</cp:lastPrinted>
  <dcterms:created xsi:type="dcterms:W3CDTF">2023-02-16T12:14:00Z</dcterms:created>
  <dcterms:modified xsi:type="dcterms:W3CDTF">2023-02-24T21:36:00Z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