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549"/>
      </w:tblGrid>
      <w:tr w:rsidR="00C9161D" w14:paraId="07F6750D" w14:textId="77777777" w:rsidTr="00916101">
        <w:trPr>
          <w:trHeight w:val="851"/>
        </w:trPr>
        <w:tc>
          <w:tcPr>
            <w:tcW w:w="976" w:type="dxa"/>
            <w:tcBorders>
              <w:bottom w:val="single" w:sz="12" w:space="0" w:color="auto"/>
            </w:tcBorders>
          </w:tcPr>
          <w:p w14:paraId="1DEFF495" w14:textId="77777777" w:rsidR="00C9161D" w:rsidRPr="00321985" w:rsidRDefault="00C9161D" w:rsidP="00321985">
            <w:r>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CFCE811" w:rsidR="00FA663B" w:rsidRPr="00321985" w:rsidRDefault="00C338CE" w:rsidP="00321985">
            <w:r w:rsidRPr="00C338CE">
              <w:rPr>
                <w:noProof/>
                <w:snapToGrid w:val="0"/>
                <w:lang w:val="fr-FR" w:eastAsia="fr-FR"/>
              </w:rPr>
              <w:drawing>
                <wp:inline distT="0" distB="0" distL="0" distR="0" wp14:anchorId="6D5FC04B" wp14:editId="0D610193">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549" w:type="dxa"/>
            <w:tcBorders>
              <w:bottom w:val="single" w:sz="12" w:space="0" w:color="auto"/>
            </w:tcBorders>
          </w:tcPr>
          <w:p w14:paraId="600A589D" w14:textId="77777777" w:rsidR="00C9161D" w:rsidRPr="00C9161D" w:rsidRDefault="00C9161D" w:rsidP="00916101">
            <w:pPr>
              <w:ind w:right="35"/>
              <w:jc w:val="right"/>
              <w:rPr>
                <w:rFonts w:ascii="Arial" w:hAnsi="Arial" w:cs="Arial"/>
                <w:b/>
                <w:sz w:val="32"/>
                <w:szCs w:val="32"/>
              </w:rPr>
            </w:pPr>
            <w:r w:rsidRPr="00C9161D">
              <w:rPr>
                <w:rFonts w:ascii="Arial" w:hAnsi="Arial" w:cs="Arial"/>
                <w:b/>
                <w:sz w:val="32"/>
                <w:szCs w:val="32"/>
              </w:rPr>
              <w:t>CBD</w:t>
            </w:r>
          </w:p>
        </w:tc>
      </w:tr>
      <w:tr w:rsidR="00C9161D" w:rsidRPr="00C054E8" w14:paraId="6F751905" w14:textId="77777777" w:rsidTr="00916101">
        <w:tc>
          <w:tcPr>
            <w:tcW w:w="6117" w:type="dxa"/>
            <w:gridSpan w:val="2"/>
            <w:tcBorders>
              <w:top w:val="single" w:sz="12" w:space="0" w:color="auto"/>
              <w:bottom w:val="single" w:sz="36" w:space="0" w:color="auto"/>
            </w:tcBorders>
            <w:vAlign w:val="center"/>
          </w:tcPr>
          <w:p w14:paraId="14F52A6C" w14:textId="442361F3" w:rsidR="00C9161D" w:rsidRDefault="00C338CE" w:rsidP="00C9161D">
            <w:r w:rsidRPr="009A03B2">
              <w:rPr>
                <w:noProof/>
                <w:lang w:val="fr-FR" w:eastAsia="fr-FR"/>
              </w:rPr>
              <w:drawing>
                <wp:inline distT="0" distB="0" distL="0" distR="0" wp14:anchorId="1C717475" wp14:editId="478D636D">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549" w:type="dxa"/>
            <w:tcBorders>
              <w:top w:val="single" w:sz="12" w:space="0" w:color="auto"/>
              <w:bottom w:val="single" w:sz="36" w:space="0" w:color="auto"/>
            </w:tcBorders>
          </w:tcPr>
          <w:p w14:paraId="1C693BA4" w14:textId="77777777" w:rsidR="00C9161D" w:rsidRPr="00DE74F9" w:rsidRDefault="00C9161D" w:rsidP="00176CEE">
            <w:pPr>
              <w:ind w:left="1215"/>
              <w:rPr>
                <w:szCs w:val="22"/>
                <w:lang w:val="fr-FR"/>
              </w:rPr>
            </w:pPr>
            <w:r w:rsidRPr="00DE74F9">
              <w:rPr>
                <w:szCs w:val="22"/>
                <w:lang w:val="fr-FR"/>
              </w:rPr>
              <w:t>Distr.</w:t>
            </w:r>
          </w:p>
          <w:p w14:paraId="0C21C438" w14:textId="5FF15952" w:rsidR="00C9161D" w:rsidRPr="00DE74F9" w:rsidRDefault="00C338CE" w:rsidP="00176CEE">
            <w:pPr>
              <w:ind w:left="1215"/>
              <w:rPr>
                <w:szCs w:val="22"/>
                <w:lang w:val="fr-FR"/>
              </w:rPr>
            </w:pPr>
            <w:r w:rsidRPr="00DE74F9">
              <w:rPr>
                <w:caps/>
                <w:szCs w:val="22"/>
                <w:lang w:val="fr-FR"/>
              </w:rPr>
              <w:t>GÉnÉ</w:t>
            </w:r>
            <w:r w:rsidR="003D58E7" w:rsidRPr="00DE74F9">
              <w:rPr>
                <w:caps/>
                <w:szCs w:val="22"/>
                <w:lang w:val="fr-FR"/>
              </w:rPr>
              <w:t>ral</w:t>
            </w:r>
            <w:r w:rsidRPr="00DE74F9">
              <w:rPr>
                <w:caps/>
                <w:szCs w:val="22"/>
                <w:lang w:val="fr-FR"/>
              </w:rPr>
              <w:t>e</w:t>
            </w:r>
          </w:p>
          <w:p w14:paraId="06715052" w14:textId="77777777" w:rsidR="00C9161D" w:rsidRPr="00DE74F9" w:rsidRDefault="00C9161D" w:rsidP="00176CEE">
            <w:pPr>
              <w:ind w:left="1215"/>
              <w:rPr>
                <w:szCs w:val="22"/>
                <w:lang w:val="fr-FR"/>
              </w:rPr>
            </w:pPr>
          </w:p>
          <w:p w14:paraId="44230134" w14:textId="28D1B6F8" w:rsidR="00C9161D" w:rsidRPr="00DE74F9" w:rsidRDefault="00E8551B" w:rsidP="00176CEE">
            <w:pPr>
              <w:ind w:left="1215"/>
              <w:rPr>
                <w:szCs w:val="22"/>
                <w:lang w:val="fr-FR"/>
              </w:rPr>
            </w:pPr>
            <w:r>
              <w:rPr>
                <w:lang w:val="fr-FR"/>
              </w:rPr>
              <w:t>CBD/CP/MOP/DEC/10/3</w:t>
            </w:r>
            <w:r w:rsidR="00C054E8">
              <w:rPr>
                <w:lang w:val="fr-FR"/>
              </w:rPr>
              <w:t>*</w:t>
            </w:r>
          </w:p>
          <w:p w14:paraId="0DF1F033" w14:textId="18780BC6" w:rsidR="00C9161D" w:rsidRPr="00C054E8" w:rsidRDefault="006C6350" w:rsidP="00176CEE">
            <w:pPr>
              <w:ind w:left="1215"/>
              <w:rPr>
                <w:szCs w:val="22"/>
                <w:lang w:val="fr-FR"/>
              </w:rPr>
            </w:pPr>
            <w:r w:rsidRPr="00C054E8">
              <w:rPr>
                <w:szCs w:val="22"/>
                <w:lang w:val="fr-FR"/>
              </w:rPr>
              <w:t>1</w:t>
            </w:r>
            <w:r w:rsidR="003D58E7" w:rsidRPr="00C054E8">
              <w:rPr>
                <w:szCs w:val="22"/>
                <w:lang w:val="fr-FR"/>
              </w:rPr>
              <w:t>9</w:t>
            </w:r>
            <w:r w:rsidRPr="00C054E8">
              <w:rPr>
                <w:szCs w:val="22"/>
                <w:lang w:val="fr-FR"/>
              </w:rPr>
              <w:t xml:space="preserve"> </w:t>
            </w:r>
            <w:r w:rsidR="00C338CE" w:rsidRPr="00C054E8">
              <w:rPr>
                <w:szCs w:val="22"/>
                <w:lang w:val="fr-FR"/>
              </w:rPr>
              <w:t>décemb</w:t>
            </w:r>
            <w:r w:rsidR="0077674C" w:rsidRPr="00C054E8">
              <w:rPr>
                <w:szCs w:val="22"/>
                <w:lang w:val="fr-FR"/>
              </w:rPr>
              <w:t>r</w:t>
            </w:r>
            <w:r w:rsidR="00C338CE" w:rsidRPr="00C054E8">
              <w:rPr>
                <w:szCs w:val="22"/>
                <w:lang w:val="fr-FR"/>
              </w:rPr>
              <w:t>e</w:t>
            </w:r>
            <w:r w:rsidR="00F6586C" w:rsidRPr="00C054E8">
              <w:rPr>
                <w:szCs w:val="22"/>
                <w:lang w:val="fr-FR"/>
              </w:rPr>
              <w:t xml:space="preserve"> 20</w:t>
            </w:r>
            <w:r w:rsidR="00FC25F8" w:rsidRPr="00C054E8">
              <w:rPr>
                <w:szCs w:val="22"/>
                <w:lang w:val="fr-FR"/>
              </w:rPr>
              <w:t>2</w:t>
            </w:r>
            <w:r w:rsidR="00B26ACD" w:rsidRPr="00C054E8">
              <w:rPr>
                <w:szCs w:val="22"/>
                <w:lang w:val="fr-FR"/>
              </w:rPr>
              <w:t>2</w:t>
            </w:r>
          </w:p>
          <w:p w14:paraId="159892DF" w14:textId="77777777" w:rsidR="00C9161D" w:rsidRPr="00C054E8" w:rsidRDefault="00C9161D" w:rsidP="00176CEE">
            <w:pPr>
              <w:ind w:left="1215"/>
              <w:rPr>
                <w:szCs w:val="22"/>
                <w:lang w:val="fr-FR"/>
              </w:rPr>
            </w:pPr>
          </w:p>
          <w:p w14:paraId="50687AA7" w14:textId="0B93FE08" w:rsidR="00C338CE" w:rsidRPr="00C054E8" w:rsidRDefault="00C338CE" w:rsidP="00176CEE">
            <w:pPr>
              <w:ind w:left="1215"/>
              <w:rPr>
                <w:szCs w:val="22"/>
                <w:lang w:val="fr-FR"/>
              </w:rPr>
            </w:pPr>
            <w:r w:rsidRPr="00C054E8">
              <w:rPr>
                <w:szCs w:val="22"/>
                <w:lang w:val="fr-FR"/>
              </w:rPr>
              <w:t>FRANÇAIS</w:t>
            </w:r>
          </w:p>
          <w:p w14:paraId="19472D49" w14:textId="0DB7ABF3" w:rsidR="00C9161D" w:rsidRPr="00C054E8" w:rsidRDefault="006B2290" w:rsidP="00176CEE">
            <w:pPr>
              <w:ind w:left="1215"/>
              <w:rPr>
                <w:szCs w:val="22"/>
                <w:lang w:val="fr-FR"/>
              </w:rPr>
            </w:pPr>
            <w:r w:rsidRPr="00C054E8">
              <w:rPr>
                <w:szCs w:val="22"/>
                <w:lang w:val="fr-FR"/>
              </w:rPr>
              <w:t>ORIGINAL</w:t>
            </w:r>
            <w:r w:rsidR="00C338CE" w:rsidRPr="00C054E8">
              <w:rPr>
                <w:szCs w:val="22"/>
                <w:lang w:val="fr-FR"/>
              </w:rPr>
              <w:t xml:space="preserve"> </w:t>
            </w:r>
            <w:r w:rsidRPr="00C054E8">
              <w:rPr>
                <w:szCs w:val="22"/>
                <w:lang w:val="fr-FR"/>
              </w:rPr>
              <w:t xml:space="preserve">: </w:t>
            </w:r>
            <w:r w:rsidR="00C338CE" w:rsidRPr="00C054E8">
              <w:rPr>
                <w:szCs w:val="22"/>
                <w:lang w:val="fr-FR"/>
              </w:rPr>
              <w:t>A</w:t>
            </w:r>
            <w:r w:rsidR="00C9161D" w:rsidRPr="00C054E8">
              <w:rPr>
                <w:szCs w:val="22"/>
                <w:lang w:val="fr-FR"/>
              </w:rPr>
              <w:t>NGL</w:t>
            </w:r>
            <w:r w:rsidR="00C338CE" w:rsidRPr="00C054E8">
              <w:rPr>
                <w:szCs w:val="22"/>
                <w:lang w:val="fr-FR"/>
              </w:rPr>
              <w:t>AIS</w:t>
            </w:r>
          </w:p>
          <w:p w14:paraId="5AA10CCE" w14:textId="77777777" w:rsidR="00C9161D" w:rsidRPr="00C054E8" w:rsidRDefault="00C9161D">
            <w:pPr>
              <w:rPr>
                <w:lang w:val="fr-FR"/>
              </w:rPr>
            </w:pPr>
          </w:p>
        </w:tc>
      </w:tr>
    </w:tbl>
    <w:p w14:paraId="4A1BE073" w14:textId="77777777" w:rsidR="00C338CE" w:rsidRDefault="00C338CE" w:rsidP="00C338CE">
      <w:pPr>
        <w:pStyle w:val="Cornernotation"/>
        <w:ind w:right="4115"/>
        <w:rPr>
          <w:lang w:val="fr-CA"/>
        </w:rPr>
      </w:pPr>
      <w:r w:rsidRPr="0022090B">
        <w:rPr>
          <w:rFonts w:asciiTheme="majorBidi" w:hAnsiTheme="majorBidi" w:cstheme="majorBidi"/>
          <w:snapToGrid w:val="0"/>
          <w:kern w:val="22"/>
          <w:lang w:val="fr-CA"/>
        </w:rPr>
        <w:t>CONFÉRENCE DES PARTIES À LA CONVENTION SUR LA DIVERSITÉ BIOLOGIQUE SIÉGEANT EN TANT QUE RÉUNION DES PARTIES AU PROTOCOLE DE CARTAGENA SUR LA PRÉVENTION DES RISQUES BIOTECHNOLOGIQUES</w:t>
      </w:r>
      <w:r w:rsidRPr="0022090B">
        <w:rPr>
          <w:lang w:val="fr-CA"/>
        </w:rPr>
        <w:t xml:space="preserve"> </w:t>
      </w:r>
    </w:p>
    <w:p w14:paraId="2A7E655C" w14:textId="36B0C3EE" w:rsidR="00C338CE" w:rsidRPr="0022090B" w:rsidRDefault="00C338CE" w:rsidP="00C338CE">
      <w:pPr>
        <w:pStyle w:val="Cornernotation"/>
        <w:ind w:right="4115"/>
        <w:rPr>
          <w:lang w:val="fr-CA"/>
        </w:rPr>
      </w:pPr>
      <w:r w:rsidRPr="0022090B">
        <w:rPr>
          <w:lang w:val="fr-CA"/>
        </w:rPr>
        <w:t>Dixième réunion</w:t>
      </w:r>
      <w:r>
        <w:rPr>
          <w:lang w:val="fr-CA"/>
        </w:rPr>
        <w:t xml:space="preserve"> – Deuxième partie</w:t>
      </w:r>
    </w:p>
    <w:p w14:paraId="4E033C22" w14:textId="35899F17" w:rsidR="00C338CE" w:rsidRPr="00ED0AA7" w:rsidRDefault="00C338CE" w:rsidP="00C338CE">
      <w:pPr>
        <w:pStyle w:val="Cornernotation"/>
        <w:kinsoku w:val="0"/>
        <w:overflowPunct w:val="0"/>
        <w:autoSpaceDE w:val="0"/>
        <w:autoSpaceDN w:val="0"/>
        <w:ind w:left="227" w:right="4075" w:hanging="227"/>
        <w:rPr>
          <w:snapToGrid w:val="0"/>
          <w:kern w:val="22"/>
          <w:szCs w:val="22"/>
          <w:lang w:val="fr-CA" w:eastAsia="nb-NO"/>
        </w:rPr>
      </w:pPr>
      <w:r>
        <w:rPr>
          <w:snapToGrid w:val="0"/>
          <w:kern w:val="22"/>
          <w:szCs w:val="22"/>
          <w:lang w:val="fr-CA" w:eastAsia="nb-NO"/>
        </w:rPr>
        <w:t>Montréal, Canada</w:t>
      </w:r>
      <w:r w:rsidRPr="00ED0AA7">
        <w:rPr>
          <w:snapToGrid w:val="0"/>
          <w:kern w:val="22"/>
          <w:szCs w:val="22"/>
          <w:lang w:val="fr-CA" w:eastAsia="nb-NO"/>
        </w:rPr>
        <w:t>, 7-19</w:t>
      </w:r>
      <w:r>
        <w:rPr>
          <w:snapToGrid w:val="0"/>
          <w:kern w:val="22"/>
          <w:szCs w:val="22"/>
          <w:lang w:val="fr-CA" w:eastAsia="nb-NO"/>
        </w:rPr>
        <w:t> décembre</w:t>
      </w:r>
      <w:r w:rsidRPr="00ED0AA7">
        <w:rPr>
          <w:snapToGrid w:val="0"/>
          <w:kern w:val="22"/>
          <w:szCs w:val="22"/>
          <w:lang w:val="fr-CA" w:eastAsia="nb-NO"/>
        </w:rPr>
        <w:t xml:space="preserve"> 2022</w:t>
      </w:r>
    </w:p>
    <w:p w14:paraId="6D26C9A7" w14:textId="77777777" w:rsidR="00C338CE" w:rsidRPr="00C55552" w:rsidRDefault="00C338CE" w:rsidP="00C338CE">
      <w:pPr>
        <w:pStyle w:val="Cornernotation"/>
        <w:spacing w:after="240"/>
        <w:ind w:right="4784"/>
        <w:rPr>
          <w:lang w:val="fr-CA"/>
        </w:rPr>
      </w:pPr>
      <w:r w:rsidRPr="002A23E9">
        <w:rPr>
          <w:lang w:val="fr-CA"/>
        </w:rPr>
        <w:t>Point </w:t>
      </w:r>
      <w:r>
        <w:rPr>
          <w:lang w:val="fr-CA"/>
        </w:rPr>
        <w:t>7A</w:t>
      </w:r>
      <w:r w:rsidRPr="002A23E9">
        <w:rPr>
          <w:lang w:val="fr-CA"/>
        </w:rPr>
        <w:t xml:space="preserve"> de l’ordre du jour</w:t>
      </w:r>
    </w:p>
    <w:p w14:paraId="2A993EBD" w14:textId="5408926E" w:rsidR="00893E37" w:rsidRPr="00D0177D" w:rsidRDefault="00893E37" w:rsidP="00893E37">
      <w:pPr>
        <w:spacing w:before="240" w:after="240"/>
        <w:ind w:right="-288"/>
        <w:jc w:val="center"/>
        <w:rPr>
          <w:rFonts w:ascii="Times New Roman Bold" w:hAnsi="Times New Roman Bold"/>
          <w:b/>
          <w:caps/>
          <w:lang w:val="fr-FR"/>
        </w:rPr>
      </w:pPr>
      <w:r w:rsidRPr="00C976D0">
        <w:rPr>
          <w:rFonts w:ascii="Times New Roman Bold" w:hAnsi="Times New Roman Bold"/>
          <w:b/>
          <w:caps/>
          <w:lang w:val="fr-FR"/>
        </w:rPr>
        <w:t>DÉcision adoptÉ</w:t>
      </w:r>
      <w:r>
        <w:rPr>
          <w:rFonts w:ascii="Times New Roman Bold" w:hAnsi="Times New Roman Bold"/>
          <w:b/>
          <w:caps/>
          <w:lang w:val="fr-FR"/>
        </w:rPr>
        <w:t>e PAR LES Parties AU PROTOCOLE DE Cartagena SUR LA PRÉVENTION des risques biotechnologiques</w:t>
      </w:r>
    </w:p>
    <w:p w14:paraId="57F6B7A1" w14:textId="54F96D96" w:rsidR="00C9161D" w:rsidRPr="0072606D" w:rsidRDefault="00C054E8" w:rsidP="00E00FF6">
      <w:pPr>
        <w:spacing w:before="240" w:after="240"/>
        <w:jc w:val="center"/>
        <w:outlineLvl w:val="1"/>
        <w:rPr>
          <w:b/>
          <w:caps/>
          <w:lang w:val="fr-FR"/>
        </w:rPr>
      </w:pPr>
      <w:sdt>
        <w:sdtPr>
          <w:rPr>
            <w:rFonts w:asciiTheme="majorBidi" w:hAnsiTheme="majorBidi" w:cstheme="majorBidi"/>
            <w:b/>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72606D" w:rsidRPr="0072606D">
            <w:rPr>
              <w:rFonts w:asciiTheme="majorBidi" w:hAnsiTheme="majorBidi" w:cstheme="majorBidi"/>
              <w:b/>
              <w:lang w:val="fr-CA"/>
            </w:rPr>
            <w:t>CP-10/3</w:t>
          </w:r>
          <w:r w:rsidR="0072606D">
            <w:rPr>
              <w:rFonts w:asciiTheme="majorBidi" w:hAnsiTheme="majorBidi" w:cstheme="majorBidi"/>
              <w:b/>
              <w:lang w:val="fr-CA"/>
            </w:rPr>
            <w:t xml:space="preserve">. </w:t>
          </w:r>
          <w:r w:rsidR="0072606D">
            <w:rPr>
              <w:rFonts w:asciiTheme="majorBidi" w:hAnsiTheme="majorBidi" w:cstheme="majorBidi"/>
              <w:b/>
              <w:lang w:val="fr-CA"/>
            </w:rPr>
            <w:tab/>
          </w:r>
          <w:r w:rsidR="0072606D" w:rsidRPr="0072606D">
            <w:rPr>
              <w:rFonts w:asciiTheme="majorBidi" w:hAnsiTheme="majorBidi" w:cstheme="majorBidi"/>
              <w:b/>
              <w:lang w:val="fr-CA"/>
            </w:rPr>
            <w:t>Plan de mise en œuvre du Protocole de Cartagena sur la préventio</w:t>
          </w:r>
          <w:r w:rsidR="0072606D">
            <w:rPr>
              <w:rFonts w:asciiTheme="majorBidi" w:hAnsiTheme="majorBidi" w:cstheme="majorBidi"/>
              <w:b/>
              <w:lang w:val="fr-CA"/>
            </w:rPr>
            <w:t>n des risques biotechnologiques</w:t>
          </w:r>
        </w:sdtContent>
      </w:sdt>
      <w:r w:rsidR="00105372" w:rsidRPr="0072606D">
        <w:rPr>
          <w:b/>
          <w:caps/>
          <w:lang w:val="fr-FR"/>
        </w:rPr>
        <w:t xml:space="preserve"> </w:t>
      </w:r>
    </w:p>
    <w:p w14:paraId="028618BC" w14:textId="77777777" w:rsidR="0072606D" w:rsidRPr="00F6220B" w:rsidRDefault="0072606D" w:rsidP="0072606D">
      <w:pPr>
        <w:spacing w:before="120" w:after="120"/>
        <w:ind w:firstLine="720"/>
        <w:rPr>
          <w:rFonts w:asciiTheme="majorBidi" w:hAnsiTheme="majorBidi" w:cstheme="majorBidi"/>
          <w:lang w:val="fr-CA"/>
        </w:rPr>
      </w:pPr>
      <w:r w:rsidRPr="00F6220B">
        <w:rPr>
          <w:rFonts w:asciiTheme="majorBidi" w:hAnsiTheme="majorBidi" w:cstheme="majorBidi"/>
          <w:i/>
          <w:iCs/>
          <w:lang w:val="fr-CA"/>
        </w:rPr>
        <w:t xml:space="preserve">La </w:t>
      </w:r>
      <w:r>
        <w:rPr>
          <w:rFonts w:asciiTheme="majorBidi" w:hAnsiTheme="majorBidi" w:cstheme="majorBidi"/>
          <w:i/>
          <w:iCs/>
          <w:lang w:val="fr-CA"/>
        </w:rPr>
        <w:t>Conférence des Parties siégeant en tant que réunion des Parties au Protocole de Cartagena sur la prévention des risques biotechnologiques</w:t>
      </w:r>
      <w:r w:rsidRPr="00F6220B">
        <w:rPr>
          <w:rFonts w:asciiTheme="majorBidi" w:hAnsiTheme="majorBidi" w:cstheme="majorBidi"/>
          <w:lang w:val="fr-CA"/>
        </w:rPr>
        <w:t>,</w:t>
      </w:r>
    </w:p>
    <w:p w14:paraId="6D6F9838" w14:textId="0C382A2C" w:rsidR="0072606D" w:rsidRPr="006F1AF2" w:rsidRDefault="0072606D" w:rsidP="0072606D">
      <w:pPr>
        <w:spacing w:before="120" w:after="120"/>
        <w:ind w:firstLine="720"/>
        <w:rPr>
          <w:rFonts w:asciiTheme="majorBidi" w:hAnsiTheme="majorBidi" w:cstheme="majorBidi"/>
          <w:lang w:val="fr-CA"/>
        </w:rPr>
      </w:pPr>
      <w:r>
        <w:rPr>
          <w:rFonts w:asciiTheme="majorBidi" w:hAnsiTheme="majorBidi" w:cstheme="majorBidi"/>
          <w:i/>
          <w:iCs/>
          <w:lang w:val="fr-CA"/>
        </w:rPr>
        <w:t xml:space="preserve">Reconnaissant </w:t>
      </w:r>
      <w:r>
        <w:rPr>
          <w:rFonts w:asciiTheme="majorBidi" w:hAnsiTheme="majorBidi" w:cstheme="majorBidi"/>
          <w:iCs/>
          <w:lang w:val="fr-CA"/>
        </w:rPr>
        <w:t>l’uti</w:t>
      </w:r>
      <w:r w:rsidR="00893E37">
        <w:rPr>
          <w:rFonts w:asciiTheme="majorBidi" w:hAnsiTheme="majorBidi" w:cstheme="majorBidi"/>
          <w:iCs/>
          <w:lang w:val="fr-CA"/>
        </w:rPr>
        <w:t>lité du Plan stratégique du</w:t>
      </w:r>
      <w:r>
        <w:rPr>
          <w:rFonts w:asciiTheme="majorBidi" w:hAnsiTheme="majorBidi" w:cstheme="majorBidi"/>
          <w:iCs/>
          <w:lang w:val="fr-CA"/>
        </w:rPr>
        <w:t xml:space="preserve"> Protocole de Cartagena sur la prévention des risques biotechnologiques pour la période 2011-2020</w:t>
      </w:r>
      <w:r w:rsidRPr="00F93BF1">
        <w:rPr>
          <w:rStyle w:val="FootnoteReference"/>
          <w:rFonts w:asciiTheme="majorBidi" w:hAnsiTheme="majorBidi" w:cstheme="majorBidi"/>
          <w:lang w:val="fr-CA"/>
        </w:rPr>
        <w:footnoteReference w:id="2"/>
      </w:r>
      <w:r>
        <w:rPr>
          <w:rFonts w:asciiTheme="majorBidi" w:hAnsiTheme="majorBidi" w:cstheme="majorBidi"/>
          <w:iCs/>
          <w:lang w:val="fr-CA"/>
        </w:rPr>
        <w:t xml:space="preserve"> pour appuyer la mise en œuvre nationale, </w:t>
      </w:r>
    </w:p>
    <w:p w14:paraId="6D2F97D3" w14:textId="484D9F3B" w:rsidR="0072606D" w:rsidRPr="00F10E52" w:rsidRDefault="0072606D" w:rsidP="0072606D">
      <w:pPr>
        <w:pStyle w:val="ListParagraph"/>
        <w:autoSpaceDE w:val="0"/>
        <w:autoSpaceDN w:val="0"/>
        <w:adjustRightInd w:val="0"/>
        <w:spacing w:before="120" w:after="120"/>
        <w:ind w:left="0" w:firstLine="720"/>
        <w:contextualSpacing w:val="0"/>
        <w:rPr>
          <w:kern w:val="22"/>
          <w:lang w:val="fr-FR"/>
        </w:rPr>
      </w:pPr>
      <w:r>
        <w:rPr>
          <w:i/>
          <w:iCs/>
          <w:kern w:val="22"/>
          <w:lang w:val="fr-FR"/>
        </w:rPr>
        <w:t>Rappelant</w:t>
      </w:r>
      <w:r>
        <w:rPr>
          <w:kern w:val="22"/>
          <w:lang w:val="fr-FR"/>
        </w:rPr>
        <w:t xml:space="preserve"> la décision CP-9/7, dans laquelle elle a décidé d’élaborer un plan d</w:t>
      </w:r>
      <w:r w:rsidR="00EC49A1">
        <w:rPr>
          <w:kern w:val="22"/>
          <w:lang w:val="fr-FR"/>
        </w:rPr>
        <w:t>e mise en œuvre pour le</w:t>
      </w:r>
      <w:r>
        <w:rPr>
          <w:kern w:val="22"/>
          <w:lang w:val="fr-FR"/>
        </w:rPr>
        <w:t xml:space="preserve"> Protocole de Cartagena</w:t>
      </w:r>
      <w:r w:rsidR="00893E37">
        <w:rPr>
          <w:kern w:val="22"/>
          <w:lang w:val="fr-FR"/>
        </w:rPr>
        <w:t xml:space="preserve"> sur la préventio</w:t>
      </w:r>
      <w:r w:rsidR="00AE05B5">
        <w:rPr>
          <w:kern w:val="22"/>
          <w:lang w:val="fr-FR"/>
        </w:rPr>
        <w:t>n des risques biotechnologiques</w:t>
      </w:r>
      <w:r>
        <w:rPr>
          <w:kern w:val="22"/>
          <w:lang w:val="fr-FR"/>
        </w:rPr>
        <w:t xml:space="preserve"> basé sur le cadre mondial de la bi</w:t>
      </w:r>
      <w:r w:rsidR="002977FD">
        <w:rPr>
          <w:kern w:val="22"/>
          <w:lang w:val="fr-FR"/>
        </w:rPr>
        <w:t xml:space="preserve">odiversité pour l’après-2020 et </w:t>
      </w:r>
      <w:r>
        <w:rPr>
          <w:kern w:val="22"/>
          <w:lang w:val="fr-FR"/>
        </w:rPr>
        <w:t>complémentaire de celui-ci,</w:t>
      </w:r>
    </w:p>
    <w:p w14:paraId="55E077C1" w14:textId="6737F244" w:rsidR="0072606D" w:rsidRPr="00F10E52" w:rsidRDefault="0072606D" w:rsidP="0072606D">
      <w:pPr>
        <w:pStyle w:val="ListParagraph"/>
        <w:tabs>
          <w:tab w:val="left" w:pos="709"/>
        </w:tabs>
        <w:autoSpaceDE w:val="0"/>
        <w:autoSpaceDN w:val="0"/>
        <w:adjustRightInd w:val="0"/>
        <w:spacing w:before="120" w:after="120"/>
        <w:ind w:left="0" w:firstLine="720"/>
        <w:contextualSpacing w:val="0"/>
        <w:rPr>
          <w:kern w:val="22"/>
          <w:lang w:val="fr-FR"/>
        </w:rPr>
      </w:pPr>
      <w:r>
        <w:rPr>
          <w:i/>
          <w:iCs/>
          <w:kern w:val="22"/>
          <w:lang w:val="fr-FR"/>
        </w:rPr>
        <w:t>Rappelant également</w:t>
      </w:r>
      <w:r>
        <w:rPr>
          <w:kern w:val="22"/>
          <w:lang w:val="fr-FR"/>
        </w:rPr>
        <w:t xml:space="preserve"> la décision CP-9/3, dans laquelle elle a reconnu la nécessité d’élaborer un plan d’action spécifique pour le renforcement des capacités en vue de l’application du Protocole de Cartagena et de son Protocole a</w:t>
      </w:r>
      <w:r w:rsidR="00EC49A1">
        <w:rPr>
          <w:kern w:val="22"/>
          <w:lang w:val="fr-FR"/>
        </w:rPr>
        <w:t>dditionnel, compatible avec le P</w:t>
      </w:r>
      <w:r>
        <w:rPr>
          <w:kern w:val="22"/>
          <w:lang w:val="fr-FR"/>
        </w:rPr>
        <w:t>lan de mise en œuvre</w:t>
      </w:r>
      <w:r w:rsidR="00AE05B5">
        <w:rPr>
          <w:kern w:val="22"/>
          <w:lang w:val="fr-FR"/>
        </w:rPr>
        <w:t xml:space="preserve"> du Protocole de Cartag</w:t>
      </w:r>
      <w:r w:rsidR="002977FD">
        <w:rPr>
          <w:kern w:val="22"/>
          <w:lang w:val="fr-FR"/>
        </w:rPr>
        <w:t>ena sur la prévention des risque</w:t>
      </w:r>
      <w:r w:rsidR="00AE05B5">
        <w:rPr>
          <w:kern w:val="22"/>
          <w:lang w:val="fr-FR"/>
        </w:rPr>
        <w:t>s biotechnologiques</w:t>
      </w:r>
      <w:r>
        <w:rPr>
          <w:kern w:val="22"/>
          <w:lang w:val="fr-FR"/>
        </w:rPr>
        <w:t xml:space="preserve"> et complémentaire du cadre stratégique à long terme pour</w:t>
      </w:r>
      <w:r w:rsidR="00AE05B5">
        <w:rPr>
          <w:kern w:val="22"/>
          <w:lang w:val="fr-FR"/>
        </w:rPr>
        <w:t xml:space="preserve"> le renfo</w:t>
      </w:r>
      <w:r w:rsidR="00EC49A1">
        <w:rPr>
          <w:kern w:val="22"/>
          <w:lang w:val="fr-FR"/>
        </w:rPr>
        <w:t>rcement des capacités après</w:t>
      </w:r>
      <w:r w:rsidR="00AE05B5">
        <w:rPr>
          <w:kern w:val="22"/>
          <w:lang w:val="fr-FR"/>
        </w:rPr>
        <w:t xml:space="preserve"> </w:t>
      </w:r>
      <w:r>
        <w:rPr>
          <w:kern w:val="22"/>
          <w:lang w:val="fr-FR"/>
        </w:rPr>
        <w:t>2020,</w:t>
      </w:r>
    </w:p>
    <w:p w14:paraId="1F5F1BEE" w14:textId="043966FE" w:rsidR="0072606D" w:rsidRPr="00B338BC" w:rsidRDefault="0072606D" w:rsidP="0072606D">
      <w:pPr>
        <w:spacing w:before="120" w:after="120"/>
        <w:ind w:firstLine="720"/>
        <w:rPr>
          <w:rFonts w:asciiTheme="majorBidi" w:hAnsiTheme="majorBidi" w:cstheme="majorBidi"/>
          <w:lang w:val="fr-CA"/>
        </w:rPr>
      </w:pPr>
      <w:r>
        <w:rPr>
          <w:i/>
          <w:iCs/>
          <w:kern w:val="22"/>
          <w:lang w:val="fr-FR"/>
        </w:rPr>
        <w:t>Accueillant favorablement</w:t>
      </w:r>
      <w:r>
        <w:rPr>
          <w:kern w:val="22"/>
          <w:lang w:val="fr-FR"/>
        </w:rPr>
        <w:t xml:space="preserve"> la contribution du Groupe de liaison sur le Protocole de Cartagena </w:t>
      </w:r>
      <w:r w:rsidR="00AE05B5">
        <w:rPr>
          <w:kern w:val="22"/>
          <w:lang w:val="fr-FR"/>
        </w:rPr>
        <w:t xml:space="preserve">sur la prévention des risques biotechnologiques </w:t>
      </w:r>
      <w:r>
        <w:rPr>
          <w:kern w:val="22"/>
          <w:lang w:val="fr-FR"/>
        </w:rPr>
        <w:t>à l’él</w:t>
      </w:r>
      <w:r w:rsidR="00EC49A1">
        <w:rPr>
          <w:kern w:val="22"/>
          <w:lang w:val="fr-FR"/>
        </w:rPr>
        <w:t>aboration du p</w:t>
      </w:r>
      <w:r>
        <w:rPr>
          <w:kern w:val="22"/>
          <w:lang w:val="fr-FR"/>
        </w:rPr>
        <w:t>lan de mise en œuvre, et l’examen par l’Organe subsidiaire chargé de l’application</w:t>
      </w:r>
      <w:r>
        <w:rPr>
          <w:rFonts w:asciiTheme="majorBidi" w:hAnsiTheme="majorBidi" w:cstheme="majorBidi"/>
          <w:lang w:val="fr-CA"/>
        </w:rPr>
        <w:t xml:space="preserve"> à sa troisième réunion,</w:t>
      </w:r>
    </w:p>
    <w:p w14:paraId="1EBF33C2" w14:textId="682E2F39" w:rsidR="0072606D" w:rsidRPr="00B338BC" w:rsidRDefault="0072606D" w:rsidP="0072606D">
      <w:pPr>
        <w:spacing w:before="120" w:after="120"/>
        <w:ind w:firstLine="720"/>
        <w:rPr>
          <w:rFonts w:asciiTheme="majorBidi" w:hAnsiTheme="majorBidi" w:cstheme="majorBidi"/>
          <w:lang w:val="fr-CA"/>
        </w:rPr>
      </w:pPr>
      <w:r>
        <w:rPr>
          <w:rFonts w:asciiTheme="majorBidi" w:hAnsiTheme="majorBidi" w:cstheme="majorBidi"/>
          <w:i/>
          <w:lang w:val="fr-CA"/>
        </w:rPr>
        <w:t xml:space="preserve">Reconnaissant </w:t>
      </w:r>
      <w:r>
        <w:rPr>
          <w:rFonts w:asciiTheme="majorBidi" w:hAnsiTheme="majorBidi" w:cstheme="majorBidi"/>
          <w:lang w:val="fr-CA"/>
        </w:rPr>
        <w:t xml:space="preserve">l’intérêt présenté </w:t>
      </w:r>
      <w:r w:rsidR="00AE05B5">
        <w:rPr>
          <w:rFonts w:asciiTheme="majorBidi" w:hAnsiTheme="majorBidi" w:cstheme="majorBidi"/>
          <w:lang w:val="fr-CA"/>
        </w:rPr>
        <w:t xml:space="preserve">par </w:t>
      </w:r>
      <w:r>
        <w:rPr>
          <w:rFonts w:asciiTheme="majorBidi" w:hAnsiTheme="majorBidi" w:cstheme="majorBidi"/>
          <w:lang w:val="fr-CA"/>
        </w:rPr>
        <w:t>le Protocole</w:t>
      </w:r>
      <w:r w:rsidR="00AE05B5">
        <w:rPr>
          <w:rFonts w:asciiTheme="majorBidi" w:hAnsiTheme="majorBidi" w:cstheme="majorBidi"/>
          <w:lang w:val="fr-CA"/>
        </w:rPr>
        <w:t xml:space="preserve"> de Cartagena </w:t>
      </w:r>
      <w:r w:rsidR="00AE05B5">
        <w:rPr>
          <w:kern w:val="22"/>
          <w:lang w:val="fr-FR"/>
        </w:rPr>
        <w:t>sur la prévention des risques biotechnologiques</w:t>
      </w:r>
      <w:r w:rsidR="00AE05B5">
        <w:rPr>
          <w:rFonts w:asciiTheme="majorBidi" w:hAnsiTheme="majorBidi" w:cstheme="majorBidi"/>
          <w:lang w:val="fr-CA"/>
        </w:rPr>
        <w:t>, le P</w:t>
      </w:r>
      <w:r>
        <w:rPr>
          <w:rFonts w:asciiTheme="majorBidi" w:hAnsiTheme="majorBidi" w:cstheme="majorBidi"/>
          <w:lang w:val="fr-CA"/>
        </w:rPr>
        <w:t xml:space="preserve">lan de mise en œuvre </w:t>
      </w:r>
      <w:r w:rsidR="00AE05B5">
        <w:rPr>
          <w:rFonts w:asciiTheme="majorBidi" w:hAnsiTheme="majorBidi" w:cstheme="majorBidi"/>
          <w:lang w:val="fr-CA"/>
        </w:rPr>
        <w:t xml:space="preserve">du Protocole de Cartagena </w:t>
      </w:r>
      <w:r w:rsidR="00AE05B5">
        <w:rPr>
          <w:kern w:val="22"/>
          <w:lang w:val="fr-FR"/>
        </w:rPr>
        <w:t>sur la prévention des risques biotechnologiques</w:t>
      </w:r>
      <w:r w:rsidR="00AE05B5">
        <w:rPr>
          <w:rFonts w:asciiTheme="majorBidi" w:hAnsiTheme="majorBidi" w:cstheme="majorBidi"/>
          <w:lang w:val="fr-CA"/>
        </w:rPr>
        <w:t xml:space="preserve"> et le P</w:t>
      </w:r>
      <w:r>
        <w:rPr>
          <w:rFonts w:asciiTheme="majorBidi" w:hAnsiTheme="majorBidi" w:cstheme="majorBidi"/>
          <w:lang w:val="fr-CA"/>
        </w:rPr>
        <w:t>lan d’action pour le renforcement des capacités</w:t>
      </w:r>
      <w:r w:rsidR="00AE05B5">
        <w:rPr>
          <w:rFonts w:asciiTheme="majorBidi" w:hAnsiTheme="majorBidi" w:cstheme="majorBidi"/>
          <w:lang w:val="fr-CA"/>
        </w:rPr>
        <w:t xml:space="preserve"> du Protocole de Cartagena </w:t>
      </w:r>
      <w:r w:rsidR="00AE05B5">
        <w:rPr>
          <w:kern w:val="22"/>
          <w:lang w:val="fr-FR"/>
        </w:rPr>
        <w:t xml:space="preserve">sur la </w:t>
      </w:r>
      <w:r w:rsidR="00AE05B5">
        <w:rPr>
          <w:kern w:val="22"/>
          <w:lang w:val="fr-FR"/>
        </w:rPr>
        <w:lastRenderedPageBreak/>
        <w:t>prévention des risques biotechnologiques</w:t>
      </w:r>
      <w:r w:rsidR="00D62635">
        <w:rPr>
          <w:rStyle w:val="FootnoteReference"/>
          <w:kern w:val="22"/>
          <w:lang w:val="fr-FR"/>
        </w:rPr>
        <w:footnoteReference w:id="3"/>
      </w:r>
      <w:r>
        <w:rPr>
          <w:rFonts w:asciiTheme="majorBidi" w:hAnsiTheme="majorBidi" w:cstheme="majorBidi"/>
          <w:lang w:val="fr-CA"/>
        </w:rPr>
        <w:t xml:space="preserve">, en tant que plans </w:t>
      </w:r>
      <w:r w:rsidR="00AE05B5">
        <w:rPr>
          <w:rFonts w:asciiTheme="majorBidi" w:hAnsiTheme="majorBidi" w:cstheme="majorBidi"/>
          <w:lang w:val="fr-CA"/>
        </w:rPr>
        <w:t>interconnectés mais distincts</w:t>
      </w:r>
      <w:r>
        <w:rPr>
          <w:rFonts w:asciiTheme="majorBidi" w:hAnsiTheme="majorBidi" w:cstheme="majorBidi"/>
          <w:lang w:val="fr-CA"/>
        </w:rPr>
        <w:t>, pour atteindre les objectifs de la Convention sur la diversité biologique</w:t>
      </w:r>
      <w:r w:rsidRPr="00B338BC">
        <w:rPr>
          <w:rFonts w:asciiTheme="majorBidi" w:hAnsiTheme="majorBidi" w:cstheme="majorBidi"/>
          <w:lang w:val="fr-CA"/>
        </w:rPr>
        <w:t>,</w:t>
      </w:r>
    </w:p>
    <w:p w14:paraId="28315918" w14:textId="4F02DA68" w:rsidR="0072606D" w:rsidRDefault="0072606D" w:rsidP="0072606D">
      <w:pPr>
        <w:spacing w:before="120" w:after="120"/>
        <w:ind w:firstLine="720"/>
        <w:rPr>
          <w:rFonts w:asciiTheme="majorBidi" w:hAnsiTheme="majorBidi" w:cstheme="majorBidi"/>
          <w:spacing w:val="-2"/>
          <w:lang w:val="fr-CA"/>
        </w:rPr>
      </w:pPr>
      <w:r>
        <w:rPr>
          <w:rFonts w:asciiTheme="majorBidi" w:hAnsiTheme="majorBidi" w:cstheme="majorBidi"/>
          <w:i/>
          <w:spacing w:val="-2"/>
          <w:lang w:val="fr-CA"/>
        </w:rPr>
        <w:t xml:space="preserve">Reconnaissant </w:t>
      </w:r>
      <w:r>
        <w:rPr>
          <w:rFonts w:asciiTheme="majorBidi" w:hAnsiTheme="majorBidi" w:cstheme="majorBidi"/>
          <w:spacing w:val="-2"/>
          <w:lang w:val="fr-CA"/>
        </w:rPr>
        <w:t>la nécessité d’établir régulièrement des priorités pour planifier et programmer les travaux à en</w:t>
      </w:r>
      <w:r w:rsidR="00EC49A1">
        <w:rPr>
          <w:rFonts w:asciiTheme="majorBidi" w:hAnsiTheme="majorBidi" w:cstheme="majorBidi"/>
          <w:spacing w:val="-2"/>
          <w:lang w:val="fr-CA"/>
        </w:rPr>
        <w:t>treprendre pendant la période couverte par le</w:t>
      </w:r>
      <w:r>
        <w:rPr>
          <w:rFonts w:asciiTheme="majorBidi" w:hAnsiTheme="majorBidi" w:cstheme="majorBidi"/>
          <w:spacing w:val="-2"/>
          <w:lang w:val="fr-CA"/>
        </w:rPr>
        <w:t xml:space="preserve"> plan de mise en œuvre</w:t>
      </w:r>
      <w:r w:rsidRPr="00B338BC">
        <w:rPr>
          <w:rFonts w:asciiTheme="majorBidi" w:hAnsiTheme="majorBidi" w:cstheme="majorBidi"/>
          <w:spacing w:val="-2"/>
          <w:lang w:val="fr-CA"/>
        </w:rPr>
        <w:t>,</w:t>
      </w:r>
    </w:p>
    <w:p w14:paraId="0833A95E" w14:textId="1F47F787" w:rsidR="0072606D" w:rsidRPr="00156473" w:rsidRDefault="00AE05B5" w:rsidP="0072606D">
      <w:pPr>
        <w:spacing w:before="120" w:after="120"/>
        <w:ind w:firstLine="720"/>
        <w:rPr>
          <w:rFonts w:asciiTheme="majorBidi" w:hAnsiTheme="majorBidi" w:cstheme="majorBidi"/>
          <w:spacing w:val="-2"/>
          <w:lang w:val="fr-CA"/>
        </w:rPr>
      </w:pPr>
      <w:r>
        <w:rPr>
          <w:rFonts w:asciiTheme="majorBidi" w:hAnsiTheme="majorBidi" w:cstheme="majorBidi"/>
          <w:i/>
          <w:iCs/>
          <w:spacing w:val="-2"/>
          <w:lang w:val="fr-CA"/>
        </w:rPr>
        <w:t>Prenant note</w:t>
      </w:r>
      <w:r>
        <w:rPr>
          <w:rFonts w:asciiTheme="majorBidi" w:hAnsiTheme="majorBidi" w:cstheme="majorBidi"/>
          <w:spacing w:val="-2"/>
          <w:lang w:val="fr-CA"/>
        </w:rPr>
        <w:t xml:space="preserve"> de l</w:t>
      </w:r>
      <w:r w:rsidR="0072606D">
        <w:rPr>
          <w:rFonts w:asciiTheme="majorBidi" w:hAnsiTheme="majorBidi" w:cstheme="majorBidi"/>
          <w:spacing w:val="-2"/>
          <w:lang w:val="fr-CA"/>
        </w:rPr>
        <w:t>a décision CP-10</w:t>
      </w:r>
      <w:r>
        <w:rPr>
          <w:rFonts w:asciiTheme="majorBidi" w:hAnsiTheme="majorBidi" w:cstheme="majorBidi"/>
          <w:spacing w:val="-2"/>
          <w:lang w:val="fr-CA"/>
        </w:rPr>
        <w:t>/6 sur les questions relatives au mécanisme de financement</w:t>
      </w:r>
      <w:r w:rsidR="0072606D">
        <w:rPr>
          <w:rFonts w:asciiTheme="majorBidi" w:hAnsiTheme="majorBidi" w:cstheme="majorBidi"/>
          <w:spacing w:val="-2"/>
          <w:lang w:val="fr-CA"/>
        </w:rPr>
        <w:t xml:space="preserve"> et aux ressources</w:t>
      </w:r>
      <w:r>
        <w:rPr>
          <w:rFonts w:asciiTheme="majorBidi" w:hAnsiTheme="majorBidi" w:cstheme="majorBidi"/>
          <w:spacing w:val="-2"/>
          <w:lang w:val="fr-CA"/>
        </w:rPr>
        <w:t xml:space="preserve"> financières</w:t>
      </w:r>
      <w:r w:rsidR="0072606D">
        <w:rPr>
          <w:rFonts w:asciiTheme="majorBidi" w:hAnsiTheme="majorBidi" w:cstheme="majorBidi"/>
          <w:spacing w:val="-2"/>
          <w:lang w:val="fr-CA"/>
        </w:rPr>
        <w:t>,</w:t>
      </w:r>
    </w:p>
    <w:p w14:paraId="40F51EBD" w14:textId="2D7AAE95" w:rsidR="0072606D" w:rsidRPr="00B338BC" w:rsidRDefault="0072606D" w:rsidP="0072606D">
      <w:pPr>
        <w:spacing w:before="120" w:after="120"/>
        <w:ind w:firstLine="720"/>
        <w:rPr>
          <w:rFonts w:asciiTheme="majorBidi" w:hAnsiTheme="majorBidi" w:cstheme="majorBidi"/>
          <w:lang w:val="fr-CA"/>
        </w:rPr>
      </w:pPr>
      <w:r>
        <w:rPr>
          <w:rFonts w:asciiTheme="majorBidi" w:hAnsiTheme="majorBidi" w:cstheme="majorBidi"/>
          <w:lang w:val="fr-CA"/>
        </w:rPr>
        <w:t>1.</w:t>
      </w:r>
      <w:r>
        <w:rPr>
          <w:rFonts w:asciiTheme="majorBidi" w:hAnsiTheme="majorBidi" w:cstheme="majorBidi"/>
          <w:lang w:val="fr-CA"/>
        </w:rPr>
        <w:tab/>
      </w:r>
      <w:r>
        <w:rPr>
          <w:rFonts w:asciiTheme="majorBidi" w:hAnsiTheme="majorBidi" w:cstheme="majorBidi"/>
          <w:i/>
          <w:iCs/>
          <w:lang w:val="fr-CA"/>
        </w:rPr>
        <w:t xml:space="preserve">Adopte </w:t>
      </w:r>
      <w:r w:rsidR="00AE05B5">
        <w:rPr>
          <w:rFonts w:asciiTheme="majorBidi" w:hAnsiTheme="majorBidi" w:cstheme="majorBidi"/>
          <w:iCs/>
          <w:lang w:val="fr-CA"/>
        </w:rPr>
        <w:t>le P</w:t>
      </w:r>
      <w:r>
        <w:rPr>
          <w:rFonts w:asciiTheme="majorBidi" w:hAnsiTheme="majorBidi" w:cstheme="majorBidi"/>
          <w:iCs/>
          <w:lang w:val="fr-CA"/>
        </w:rPr>
        <w:t>lan de mise en œuvre</w:t>
      </w:r>
      <w:r w:rsidR="00AE05B5">
        <w:rPr>
          <w:rFonts w:asciiTheme="majorBidi" w:hAnsiTheme="majorBidi" w:cstheme="majorBidi"/>
          <w:iCs/>
          <w:lang w:val="fr-CA"/>
        </w:rPr>
        <w:t xml:space="preserve"> du </w:t>
      </w:r>
      <w:r w:rsidR="00AE05B5">
        <w:rPr>
          <w:rFonts w:asciiTheme="majorBidi" w:hAnsiTheme="majorBidi" w:cstheme="majorBidi"/>
          <w:lang w:val="fr-CA"/>
        </w:rPr>
        <w:t xml:space="preserve">Protocole de Cartagena </w:t>
      </w:r>
      <w:r w:rsidR="00AE05B5">
        <w:rPr>
          <w:kern w:val="22"/>
          <w:lang w:val="fr-FR"/>
        </w:rPr>
        <w:t>sur la prévention des risques biotechnologiques</w:t>
      </w:r>
      <w:r>
        <w:rPr>
          <w:rFonts w:asciiTheme="majorBidi" w:hAnsiTheme="majorBidi" w:cstheme="majorBidi"/>
          <w:iCs/>
          <w:lang w:val="fr-CA"/>
        </w:rPr>
        <w:t>, tel qu’il figure en annexe</w:t>
      </w:r>
      <w:r w:rsidR="00AE05B5">
        <w:rPr>
          <w:rFonts w:asciiTheme="majorBidi" w:hAnsiTheme="majorBidi" w:cstheme="majorBidi"/>
          <w:iCs/>
          <w:lang w:val="fr-CA"/>
        </w:rPr>
        <w:t xml:space="preserve"> à la présente décision</w:t>
      </w:r>
      <w:r>
        <w:rPr>
          <w:rFonts w:asciiTheme="majorBidi" w:hAnsiTheme="majorBidi" w:cstheme="majorBidi"/>
          <w:iCs/>
          <w:lang w:val="fr-CA"/>
        </w:rPr>
        <w:t>;</w:t>
      </w:r>
    </w:p>
    <w:p w14:paraId="16A91D37" w14:textId="3DC3C62A" w:rsidR="0072606D" w:rsidRPr="00B338BC" w:rsidRDefault="0072606D" w:rsidP="0072606D">
      <w:pPr>
        <w:spacing w:before="120" w:after="120"/>
        <w:ind w:firstLine="720"/>
        <w:rPr>
          <w:rFonts w:asciiTheme="majorBidi" w:hAnsiTheme="majorBidi" w:cstheme="majorBidi"/>
          <w:lang w:val="fr-CA"/>
        </w:rPr>
      </w:pPr>
      <w:r>
        <w:rPr>
          <w:rFonts w:asciiTheme="majorBidi" w:hAnsiTheme="majorBidi" w:cstheme="majorBidi"/>
          <w:lang w:val="fr-CA"/>
        </w:rPr>
        <w:t>2</w:t>
      </w:r>
      <w:r w:rsidRPr="00B338BC">
        <w:rPr>
          <w:rFonts w:asciiTheme="majorBidi" w:hAnsiTheme="majorBidi" w:cstheme="majorBidi"/>
          <w:lang w:val="fr-CA"/>
        </w:rPr>
        <w:t>.</w:t>
      </w:r>
      <w:r w:rsidRPr="00B338BC">
        <w:rPr>
          <w:rFonts w:asciiTheme="majorBidi" w:hAnsiTheme="majorBidi" w:cstheme="majorBidi"/>
          <w:lang w:val="fr-CA"/>
        </w:rPr>
        <w:tab/>
      </w:r>
      <w:r>
        <w:rPr>
          <w:rFonts w:asciiTheme="majorBidi" w:hAnsiTheme="majorBidi" w:cstheme="majorBidi"/>
          <w:i/>
          <w:lang w:val="fr-CA"/>
        </w:rPr>
        <w:t>Accueille avec satisfaction</w:t>
      </w:r>
      <w:r w:rsidR="00AE05B5">
        <w:rPr>
          <w:rFonts w:asciiTheme="majorBidi" w:hAnsiTheme="majorBidi" w:cstheme="majorBidi"/>
          <w:lang w:val="fr-CA"/>
        </w:rPr>
        <w:t xml:space="preserve"> le C</w:t>
      </w:r>
      <w:r>
        <w:rPr>
          <w:rFonts w:asciiTheme="majorBidi" w:hAnsiTheme="majorBidi" w:cstheme="majorBidi"/>
          <w:lang w:val="fr-CA"/>
        </w:rPr>
        <w:t>adre mondial de l</w:t>
      </w:r>
      <w:r w:rsidR="00AE05B5">
        <w:rPr>
          <w:rFonts w:asciiTheme="majorBidi" w:hAnsiTheme="majorBidi" w:cstheme="majorBidi"/>
          <w:lang w:val="fr-CA"/>
        </w:rPr>
        <w:t>a biodiversité de Kunming-Montréal adopté dans la décision 15/4</w:t>
      </w:r>
      <w:r>
        <w:rPr>
          <w:rFonts w:asciiTheme="majorBidi" w:hAnsiTheme="majorBidi" w:cstheme="majorBidi"/>
          <w:lang w:val="fr-CA"/>
        </w:rPr>
        <w:t>;</w:t>
      </w:r>
    </w:p>
    <w:p w14:paraId="70D297AD" w14:textId="33E14C05" w:rsidR="0072606D" w:rsidRPr="00B338BC" w:rsidRDefault="0072606D" w:rsidP="0072606D">
      <w:pPr>
        <w:spacing w:before="120" w:after="120"/>
        <w:ind w:firstLine="720"/>
        <w:rPr>
          <w:rFonts w:asciiTheme="majorBidi" w:hAnsiTheme="majorBidi" w:cstheme="majorBidi"/>
          <w:lang w:val="fr-CA"/>
        </w:rPr>
      </w:pPr>
      <w:r>
        <w:rPr>
          <w:rFonts w:asciiTheme="majorBidi" w:hAnsiTheme="majorBidi" w:cstheme="majorBidi"/>
          <w:lang w:val="fr-CA"/>
        </w:rPr>
        <w:t>3</w:t>
      </w:r>
      <w:r w:rsidRPr="00B338BC">
        <w:rPr>
          <w:rFonts w:asciiTheme="majorBidi" w:hAnsiTheme="majorBidi" w:cstheme="majorBidi"/>
          <w:lang w:val="fr-CA"/>
        </w:rPr>
        <w:t>.</w:t>
      </w:r>
      <w:r w:rsidRPr="00B338BC">
        <w:rPr>
          <w:rFonts w:asciiTheme="majorBidi" w:hAnsiTheme="majorBidi" w:cstheme="majorBidi"/>
          <w:lang w:val="fr-CA"/>
        </w:rPr>
        <w:tab/>
      </w:r>
      <w:r>
        <w:rPr>
          <w:rFonts w:asciiTheme="majorBidi" w:hAnsiTheme="majorBidi" w:cstheme="majorBidi"/>
          <w:i/>
          <w:lang w:val="fr-CA"/>
        </w:rPr>
        <w:t xml:space="preserve">Reconnaît </w:t>
      </w:r>
      <w:r w:rsidR="00EC49A1">
        <w:rPr>
          <w:rFonts w:asciiTheme="majorBidi" w:hAnsiTheme="majorBidi" w:cstheme="majorBidi"/>
          <w:lang w:val="fr-CA"/>
        </w:rPr>
        <w:t>le caractère complémentaire</w:t>
      </w:r>
      <w:r w:rsidR="00AE05B5">
        <w:rPr>
          <w:rFonts w:asciiTheme="majorBidi" w:hAnsiTheme="majorBidi" w:cstheme="majorBidi"/>
          <w:lang w:val="fr-CA"/>
        </w:rPr>
        <w:t xml:space="preserve"> du P</w:t>
      </w:r>
      <w:r w:rsidRPr="0001155E">
        <w:rPr>
          <w:rFonts w:asciiTheme="majorBidi" w:hAnsiTheme="majorBidi" w:cstheme="majorBidi"/>
          <w:lang w:val="fr-CA"/>
        </w:rPr>
        <w:t xml:space="preserve">lan de mise en </w:t>
      </w:r>
      <w:r>
        <w:rPr>
          <w:rFonts w:asciiTheme="majorBidi" w:hAnsiTheme="majorBidi" w:cstheme="majorBidi"/>
          <w:lang w:val="fr-CA"/>
        </w:rPr>
        <w:t>œ</w:t>
      </w:r>
      <w:r w:rsidR="00AE05B5">
        <w:rPr>
          <w:rFonts w:asciiTheme="majorBidi" w:hAnsiTheme="majorBidi" w:cstheme="majorBidi"/>
          <w:lang w:val="fr-CA"/>
        </w:rPr>
        <w:t>uvre</w:t>
      </w:r>
      <w:r w:rsidR="00AE05B5" w:rsidRPr="00AE05B5">
        <w:rPr>
          <w:rFonts w:asciiTheme="majorBidi" w:hAnsiTheme="majorBidi" w:cstheme="majorBidi"/>
          <w:lang w:val="fr-CA"/>
        </w:rPr>
        <w:t xml:space="preserve"> </w:t>
      </w:r>
      <w:r w:rsidR="00AE05B5">
        <w:rPr>
          <w:rFonts w:asciiTheme="majorBidi" w:hAnsiTheme="majorBidi" w:cstheme="majorBidi"/>
          <w:lang w:val="fr-CA"/>
        </w:rPr>
        <w:t xml:space="preserve">du Protocole de Cartagena </w:t>
      </w:r>
      <w:r w:rsidR="00AE05B5">
        <w:rPr>
          <w:kern w:val="22"/>
          <w:lang w:val="fr-FR"/>
        </w:rPr>
        <w:t>sur la prévention des risques biotechnologiques</w:t>
      </w:r>
      <w:r w:rsidR="00EC49A1">
        <w:rPr>
          <w:rFonts w:asciiTheme="majorBidi" w:hAnsiTheme="majorBidi" w:cstheme="majorBidi"/>
          <w:lang w:val="fr-CA"/>
        </w:rPr>
        <w:t xml:space="preserve"> pour le</w:t>
      </w:r>
      <w:r w:rsidR="00AE05B5">
        <w:rPr>
          <w:rFonts w:asciiTheme="majorBidi" w:hAnsiTheme="majorBidi" w:cstheme="majorBidi"/>
          <w:lang w:val="fr-CA"/>
        </w:rPr>
        <w:t xml:space="preserve"> C</w:t>
      </w:r>
      <w:r>
        <w:rPr>
          <w:rFonts w:asciiTheme="majorBidi" w:hAnsiTheme="majorBidi" w:cstheme="majorBidi"/>
          <w:lang w:val="fr-CA"/>
        </w:rPr>
        <w:t>adre mondial de l</w:t>
      </w:r>
      <w:r w:rsidR="00AE05B5">
        <w:rPr>
          <w:rFonts w:asciiTheme="majorBidi" w:hAnsiTheme="majorBidi" w:cstheme="majorBidi"/>
          <w:lang w:val="fr-CA"/>
        </w:rPr>
        <w:t>a biodiversité de Kunming-Montréal, et que le P</w:t>
      </w:r>
      <w:r>
        <w:rPr>
          <w:rFonts w:asciiTheme="majorBidi" w:hAnsiTheme="majorBidi" w:cstheme="majorBidi"/>
          <w:lang w:val="fr-CA"/>
        </w:rPr>
        <w:t>lan de mise en œuvre peut contribuer à la réalisation de</w:t>
      </w:r>
      <w:r w:rsidR="00AE05B5">
        <w:rPr>
          <w:rFonts w:asciiTheme="majorBidi" w:hAnsiTheme="majorBidi" w:cstheme="majorBidi"/>
          <w:lang w:val="fr-CA"/>
        </w:rPr>
        <w:t>s objectifs</w:t>
      </w:r>
      <w:r>
        <w:rPr>
          <w:rFonts w:asciiTheme="majorBidi" w:hAnsiTheme="majorBidi" w:cstheme="majorBidi"/>
          <w:lang w:val="fr-CA"/>
        </w:rPr>
        <w:t xml:space="preserve"> et des </w:t>
      </w:r>
      <w:r w:rsidR="00AE05B5">
        <w:rPr>
          <w:rFonts w:asciiTheme="majorBidi" w:hAnsiTheme="majorBidi" w:cstheme="majorBidi"/>
          <w:lang w:val="fr-CA"/>
        </w:rPr>
        <w:t>cible</w:t>
      </w:r>
      <w:r>
        <w:rPr>
          <w:rFonts w:asciiTheme="majorBidi" w:hAnsiTheme="majorBidi" w:cstheme="majorBidi"/>
          <w:lang w:val="fr-CA"/>
        </w:rPr>
        <w:t>s relatifs à la prévention des r</w:t>
      </w:r>
      <w:r w:rsidR="00EC49A1">
        <w:rPr>
          <w:rFonts w:asciiTheme="majorBidi" w:hAnsiTheme="majorBidi" w:cstheme="majorBidi"/>
          <w:lang w:val="fr-CA"/>
        </w:rPr>
        <w:t>isques biotechnologiques contenus</w:t>
      </w:r>
      <w:r w:rsidR="00AE05B5">
        <w:rPr>
          <w:rFonts w:asciiTheme="majorBidi" w:hAnsiTheme="majorBidi" w:cstheme="majorBidi"/>
          <w:lang w:val="fr-CA"/>
        </w:rPr>
        <w:t xml:space="preserve"> dans le C</w:t>
      </w:r>
      <w:r>
        <w:rPr>
          <w:rFonts w:asciiTheme="majorBidi" w:hAnsiTheme="majorBidi" w:cstheme="majorBidi"/>
          <w:lang w:val="fr-CA"/>
        </w:rPr>
        <w:t>adre mondial de la biodive</w:t>
      </w:r>
      <w:r w:rsidR="00AE05B5">
        <w:rPr>
          <w:rFonts w:asciiTheme="majorBidi" w:hAnsiTheme="majorBidi" w:cstheme="majorBidi"/>
          <w:lang w:val="fr-CA"/>
        </w:rPr>
        <w:t>rsité de Kunming-Montréal, en particulier</w:t>
      </w:r>
      <w:r>
        <w:rPr>
          <w:rFonts w:asciiTheme="majorBidi" w:hAnsiTheme="majorBidi" w:cstheme="majorBidi"/>
          <w:lang w:val="fr-CA"/>
        </w:rPr>
        <w:t xml:space="preserve"> pour les Parties à la Convention qui sont également Parties au Protocole de Cartagena;</w:t>
      </w:r>
    </w:p>
    <w:p w14:paraId="5A11B9BD" w14:textId="6D3937DA" w:rsidR="0072606D" w:rsidRDefault="0072606D" w:rsidP="0072606D">
      <w:pPr>
        <w:spacing w:before="120" w:after="120"/>
        <w:ind w:firstLine="720"/>
        <w:rPr>
          <w:rFonts w:asciiTheme="majorBidi" w:hAnsiTheme="majorBidi" w:cstheme="majorBidi"/>
          <w:lang w:val="fr-CA"/>
        </w:rPr>
      </w:pPr>
      <w:r>
        <w:rPr>
          <w:rFonts w:asciiTheme="majorBidi" w:hAnsiTheme="majorBidi" w:cstheme="majorBidi"/>
          <w:lang w:val="fr-CA"/>
        </w:rPr>
        <w:t>4</w:t>
      </w:r>
      <w:r w:rsidRPr="00B338BC">
        <w:rPr>
          <w:rFonts w:asciiTheme="majorBidi" w:hAnsiTheme="majorBidi" w:cstheme="majorBidi"/>
          <w:lang w:val="fr-CA"/>
        </w:rPr>
        <w:t>.</w:t>
      </w:r>
      <w:r w:rsidRPr="00B338BC">
        <w:rPr>
          <w:rFonts w:asciiTheme="majorBidi" w:hAnsiTheme="majorBidi" w:cstheme="majorBidi"/>
          <w:lang w:val="fr-CA"/>
        </w:rPr>
        <w:tab/>
      </w:r>
      <w:r>
        <w:rPr>
          <w:i/>
          <w:iCs/>
          <w:kern w:val="22"/>
          <w:lang w:val="fr-FR"/>
        </w:rPr>
        <w:t xml:space="preserve">Exhorte </w:t>
      </w:r>
      <w:r>
        <w:rPr>
          <w:kern w:val="22"/>
          <w:lang w:val="fr-FR"/>
        </w:rPr>
        <w:t xml:space="preserve">les Parties et </w:t>
      </w:r>
      <w:r w:rsidRPr="001C70F1">
        <w:rPr>
          <w:iCs/>
          <w:kern w:val="22"/>
          <w:lang w:val="fr-FR"/>
        </w:rPr>
        <w:t>invite</w:t>
      </w:r>
      <w:r>
        <w:rPr>
          <w:i/>
          <w:iCs/>
          <w:kern w:val="22"/>
          <w:lang w:val="fr-FR"/>
        </w:rPr>
        <w:t xml:space="preserve"> </w:t>
      </w:r>
      <w:r>
        <w:rPr>
          <w:kern w:val="22"/>
          <w:lang w:val="fr-FR"/>
        </w:rPr>
        <w:t>les autres gouvernements à examiner et à harmoniser, selon qu’il convient, leurs plans d’action et programmes nationaux relatifs à la mise en œuvre du Protocole, y compris leurs stratégies et plans d’action nationau</w:t>
      </w:r>
      <w:r w:rsidR="00AE05B5">
        <w:rPr>
          <w:kern w:val="22"/>
          <w:lang w:val="fr-FR"/>
        </w:rPr>
        <w:t>x pour la biodiversité, avec le Plan de mise en œuvre</w:t>
      </w:r>
      <w:r>
        <w:rPr>
          <w:rFonts w:asciiTheme="majorBidi" w:hAnsiTheme="majorBidi" w:cstheme="majorBidi"/>
          <w:lang w:val="fr-CA"/>
        </w:rPr>
        <w:t>;</w:t>
      </w:r>
    </w:p>
    <w:p w14:paraId="750F6518" w14:textId="68E7A69F" w:rsidR="0072606D" w:rsidRPr="0001374C" w:rsidRDefault="0072606D" w:rsidP="0072606D">
      <w:pPr>
        <w:spacing w:before="120" w:after="120"/>
        <w:ind w:firstLine="720"/>
        <w:rPr>
          <w:rFonts w:asciiTheme="majorBidi" w:hAnsiTheme="majorBidi" w:cstheme="majorBidi"/>
          <w:szCs w:val="22"/>
          <w:lang w:val="fr-CA"/>
        </w:rPr>
      </w:pPr>
      <w:r>
        <w:rPr>
          <w:rFonts w:asciiTheme="majorBidi" w:hAnsiTheme="majorBidi" w:cstheme="majorBidi"/>
          <w:szCs w:val="22"/>
          <w:lang w:val="fr-CA"/>
        </w:rPr>
        <w:t>5</w:t>
      </w:r>
      <w:r w:rsidRPr="00B338BC">
        <w:rPr>
          <w:rFonts w:asciiTheme="majorBidi" w:hAnsiTheme="majorBidi" w:cstheme="majorBidi"/>
          <w:szCs w:val="22"/>
          <w:lang w:val="fr-CA"/>
        </w:rPr>
        <w:t>.</w:t>
      </w:r>
      <w:r w:rsidRPr="00B338BC">
        <w:rPr>
          <w:rFonts w:asciiTheme="majorBidi" w:hAnsiTheme="majorBidi" w:cstheme="majorBidi"/>
          <w:szCs w:val="22"/>
          <w:lang w:val="fr-CA"/>
        </w:rPr>
        <w:tab/>
      </w:r>
      <w:r>
        <w:rPr>
          <w:i/>
          <w:iCs/>
          <w:kern w:val="22"/>
          <w:lang w:val="fr-FR"/>
        </w:rPr>
        <w:t xml:space="preserve">Décide </w:t>
      </w:r>
      <w:r>
        <w:rPr>
          <w:kern w:val="22"/>
          <w:lang w:val="fr-FR"/>
        </w:rPr>
        <w:t>que le</w:t>
      </w:r>
      <w:r w:rsidR="00642750">
        <w:rPr>
          <w:kern w:val="22"/>
          <w:lang w:val="fr-FR"/>
        </w:rPr>
        <w:t>s données de référence du</w:t>
      </w:r>
      <w:r w:rsidR="00AE05B5">
        <w:rPr>
          <w:kern w:val="22"/>
          <w:lang w:val="fr-FR"/>
        </w:rPr>
        <w:t xml:space="preserve"> P</w:t>
      </w:r>
      <w:r>
        <w:rPr>
          <w:kern w:val="22"/>
          <w:lang w:val="fr-FR"/>
        </w:rPr>
        <w:t>lan</w:t>
      </w:r>
      <w:r w:rsidR="00AE05B5">
        <w:rPr>
          <w:kern w:val="22"/>
          <w:lang w:val="fr-FR"/>
        </w:rPr>
        <w:t xml:space="preserve"> de mise en œuvre comprendront l</w:t>
      </w:r>
      <w:r>
        <w:rPr>
          <w:kern w:val="22"/>
          <w:lang w:val="fr-FR"/>
        </w:rPr>
        <w:t>es informations recueillies au cours du quatrième cycle d’établissement des rapports</w:t>
      </w:r>
      <w:r w:rsidRPr="00F93BF1">
        <w:rPr>
          <w:rStyle w:val="FootnoteReference"/>
          <w:rFonts w:asciiTheme="majorBidi" w:hAnsiTheme="majorBidi" w:cstheme="majorBidi"/>
          <w:szCs w:val="22"/>
          <w:lang w:val="fr-CA"/>
        </w:rPr>
        <w:footnoteReference w:id="4"/>
      </w:r>
      <w:r>
        <w:rPr>
          <w:kern w:val="22"/>
          <w:lang w:val="fr-CA"/>
        </w:rPr>
        <w:t>;</w:t>
      </w:r>
    </w:p>
    <w:p w14:paraId="6AA636F6" w14:textId="006167E2" w:rsidR="0072606D" w:rsidRPr="00B338BC" w:rsidRDefault="0072606D" w:rsidP="0072606D">
      <w:pPr>
        <w:spacing w:before="120" w:after="120"/>
        <w:ind w:firstLine="720"/>
        <w:rPr>
          <w:rFonts w:asciiTheme="majorBidi" w:hAnsiTheme="majorBidi" w:cstheme="majorBidi"/>
          <w:szCs w:val="22"/>
          <w:lang w:val="fr-CA"/>
        </w:rPr>
      </w:pPr>
      <w:r>
        <w:rPr>
          <w:rFonts w:asciiTheme="majorBidi" w:hAnsiTheme="majorBidi" w:cstheme="majorBidi"/>
          <w:szCs w:val="22"/>
          <w:lang w:val="fr-CA"/>
        </w:rPr>
        <w:t>6</w:t>
      </w:r>
      <w:r w:rsidRPr="00B338BC">
        <w:rPr>
          <w:rFonts w:asciiTheme="majorBidi" w:hAnsiTheme="majorBidi" w:cstheme="majorBidi"/>
          <w:szCs w:val="22"/>
          <w:lang w:val="fr-CA"/>
        </w:rPr>
        <w:t>.</w:t>
      </w:r>
      <w:r w:rsidRPr="00B338BC">
        <w:rPr>
          <w:rFonts w:asciiTheme="majorBidi" w:hAnsiTheme="majorBidi" w:cstheme="majorBidi"/>
          <w:i/>
          <w:szCs w:val="22"/>
          <w:lang w:val="fr-CA"/>
        </w:rPr>
        <w:tab/>
      </w:r>
      <w:r>
        <w:rPr>
          <w:rFonts w:asciiTheme="majorBidi" w:hAnsiTheme="majorBidi" w:cstheme="majorBidi"/>
          <w:i/>
          <w:szCs w:val="22"/>
          <w:lang w:val="fr-CA"/>
        </w:rPr>
        <w:t xml:space="preserve">Décide également </w:t>
      </w:r>
      <w:r>
        <w:rPr>
          <w:rFonts w:asciiTheme="majorBidi" w:hAnsiTheme="majorBidi" w:cstheme="majorBidi"/>
          <w:szCs w:val="22"/>
          <w:lang w:val="fr-CA"/>
        </w:rPr>
        <w:t>d’entreprendre u</w:t>
      </w:r>
      <w:r w:rsidR="00642750">
        <w:rPr>
          <w:rFonts w:asciiTheme="majorBidi" w:hAnsiTheme="majorBidi" w:cstheme="majorBidi"/>
          <w:szCs w:val="22"/>
          <w:lang w:val="fr-CA"/>
        </w:rPr>
        <w:t>ne évaluation à mi-parcours du P</w:t>
      </w:r>
      <w:r>
        <w:rPr>
          <w:rFonts w:asciiTheme="majorBidi" w:hAnsiTheme="majorBidi" w:cstheme="majorBidi"/>
          <w:szCs w:val="22"/>
          <w:lang w:val="fr-CA"/>
        </w:rPr>
        <w:t xml:space="preserve">lan </w:t>
      </w:r>
      <w:r w:rsidR="00EC49A1">
        <w:rPr>
          <w:rFonts w:asciiTheme="majorBidi" w:hAnsiTheme="majorBidi" w:cstheme="majorBidi"/>
          <w:szCs w:val="22"/>
          <w:lang w:val="fr-CA"/>
        </w:rPr>
        <w:t>de mise en œuvre en même temps que</w:t>
      </w:r>
      <w:r>
        <w:rPr>
          <w:rFonts w:asciiTheme="majorBidi" w:hAnsiTheme="majorBidi" w:cstheme="majorBidi"/>
          <w:szCs w:val="22"/>
          <w:lang w:val="fr-CA"/>
        </w:rPr>
        <w:t xml:space="preserve"> le cinquième exercice d’évaluation et examen </w:t>
      </w:r>
      <w:r w:rsidR="00642750">
        <w:rPr>
          <w:rFonts w:asciiTheme="majorBidi" w:hAnsiTheme="majorBidi" w:cstheme="majorBidi"/>
          <w:szCs w:val="22"/>
          <w:lang w:val="fr-CA"/>
        </w:rPr>
        <w:t>de l’efficacité du Protocole</w:t>
      </w:r>
      <w:r>
        <w:rPr>
          <w:rFonts w:asciiTheme="majorBidi" w:hAnsiTheme="majorBidi" w:cstheme="majorBidi"/>
          <w:szCs w:val="22"/>
          <w:lang w:val="fr-CA"/>
        </w:rPr>
        <w:t>;</w:t>
      </w:r>
    </w:p>
    <w:p w14:paraId="05977548" w14:textId="6A11E4F7" w:rsidR="0072606D" w:rsidRPr="00B338BC" w:rsidRDefault="0072606D" w:rsidP="0072606D">
      <w:pPr>
        <w:spacing w:before="120" w:after="120"/>
        <w:ind w:firstLine="720"/>
        <w:rPr>
          <w:rFonts w:asciiTheme="majorBidi" w:hAnsiTheme="majorBidi" w:cstheme="majorBidi"/>
          <w:lang w:val="fr-CA"/>
        </w:rPr>
      </w:pPr>
      <w:r>
        <w:rPr>
          <w:rFonts w:asciiTheme="majorBidi" w:hAnsiTheme="majorBidi" w:cstheme="majorBidi"/>
          <w:lang w:val="fr-CA"/>
        </w:rPr>
        <w:t>7</w:t>
      </w:r>
      <w:r w:rsidRPr="00B338BC">
        <w:rPr>
          <w:rFonts w:asciiTheme="majorBidi" w:hAnsiTheme="majorBidi" w:cstheme="majorBidi"/>
          <w:lang w:val="fr-CA"/>
        </w:rPr>
        <w:t>.</w:t>
      </w:r>
      <w:r w:rsidRPr="00B338BC">
        <w:rPr>
          <w:rFonts w:asciiTheme="majorBidi" w:hAnsiTheme="majorBidi" w:cstheme="majorBidi"/>
          <w:lang w:val="fr-CA"/>
        </w:rPr>
        <w:tab/>
      </w:r>
      <w:r>
        <w:rPr>
          <w:i/>
          <w:iCs/>
          <w:kern w:val="22"/>
          <w:lang w:val="fr-FR"/>
        </w:rPr>
        <w:t xml:space="preserve">Prie </w:t>
      </w:r>
      <w:r>
        <w:rPr>
          <w:kern w:val="22"/>
          <w:lang w:val="fr-FR"/>
        </w:rPr>
        <w:t>la Secrétaire exécutive : a) d’inclure dans le modèle de rapport pour les cinquièmes rapports nationaux sur la mise en œuvre du Protocole de Cartagena sur la prévention des risques biotechnologiques des questions permettant d’obtenir des informations sur les indic</w:t>
      </w:r>
      <w:r w:rsidR="00423DFA">
        <w:rPr>
          <w:kern w:val="22"/>
          <w:lang w:val="fr-FR"/>
        </w:rPr>
        <w:t>ateurs du Plan de mise en œuvre</w:t>
      </w:r>
      <w:r>
        <w:rPr>
          <w:kern w:val="22"/>
          <w:lang w:val="fr-FR"/>
        </w:rPr>
        <w:t>; b) d’analyser et de résumer ces informations en vue de faciliter l’évaluati</w:t>
      </w:r>
      <w:r w:rsidR="00EC49A1">
        <w:rPr>
          <w:kern w:val="22"/>
          <w:lang w:val="fr-FR"/>
        </w:rPr>
        <w:t>on à mi-parcours en même temps que</w:t>
      </w:r>
      <w:r>
        <w:rPr>
          <w:kern w:val="22"/>
          <w:lang w:val="fr-FR"/>
        </w:rPr>
        <w:t xml:space="preserve"> le cinquième e</w:t>
      </w:r>
      <w:r w:rsidR="00423DFA">
        <w:rPr>
          <w:kern w:val="22"/>
          <w:lang w:val="fr-FR"/>
        </w:rPr>
        <w:t>xercice d’évaluation et examen de l’efficacité d</w:t>
      </w:r>
      <w:r>
        <w:rPr>
          <w:kern w:val="22"/>
          <w:lang w:val="fr-FR"/>
        </w:rPr>
        <w:t>u Protocole de Cartagena, et de mettre ces informations à la disposition du Groupe de liaison et, selon qu’il convient, du Comité ch</w:t>
      </w:r>
      <w:r w:rsidR="00423DFA">
        <w:rPr>
          <w:kern w:val="22"/>
          <w:lang w:val="fr-FR"/>
        </w:rPr>
        <w:t>argé du respect des obligations</w:t>
      </w:r>
      <w:r>
        <w:rPr>
          <w:kern w:val="22"/>
          <w:lang w:val="fr-FR"/>
        </w:rPr>
        <w:t>;</w:t>
      </w:r>
    </w:p>
    <w:p w14:paraId="1E7AEC94" w14:textId="533EA029" w:rsidR="0072606D" w:rsidRPr="00B338BC" w:rsidRDefault="0072606D" w:rsidP="0072606D">
      <w:pPr>
        <w:spacing w:before="120" w:after="120"/>
        <w:ind w:firstLine="720"/>
        <w:rPr>
          <w:rFonts w:asciiTheme="majorBidi" w:hAnsiTheme="majorBidi" w:cstheme="majorBidi"/>
          <w:lang w:val="fr-CA"/>
        </w:rPr>
      </w:pPr>
      <w:r>
        <w:rPr>
          <w:rFonts w:asciiTheme="majorBidi" w:hAnsiTheme="majorBidi" w:cstheme="majorBidi"/>
          <w:lang w:val="fr-CA"/>
        </w:rPr>
        <w:t>8</w:t>
      </w:r>
      <w:r w:rsidRPr="00B338BC">
        <w:rPr>
          <w:rFonts w:asciiTheme="majorBidi" w:hAnsiTheme="majorBidi" w:cstheme="majorBidi"/>
          <w:lang w:val="fr-CA"/>
        </w:rPr>
        <w:t>.</w:t>
      </w:r>
      <w:r w:rsidRPr="00B338BC">
        <w:rPr>
          <w:rFonts w:asciiTheme="majorBidi" w:hAnsiTheme="majorBidi" w:cstheme="majorBidi"/>
          <w:lang w:val="fr-CA"/>
        </w:rPr>
        <w:tab/>
      </w:r>
      <w:r>
        <w:rPr>
          <w:rFonts w:asciiTheme="majorBidi" w:hAnsiTheme="majorBidi" w:cstheme="majorBidi"/>
          <w:i/>
          <w:lang w:val="fr-CA"/>
        </w:rPr>
        <w:t xml:space="preserve">Prie </w:t>
      </w:r>
      <w:r>
        <w:rPr>
          <w:rFonts w:asciiTheme="majorBidi" w:hAnsiTheme="majorBidi" w:cstheme="majorBidi"/>
          <w:lang w:val="fr-CA"/>
        </w:rPr>
        <w:t>le Groupe de liaison sur le Protocole de Cartagena sur la prévention des risques biotechnologiques et le Comité chargé du respect des obligations, selon qu’il convient, de travailler de façon complémentaire et en évitant les doubles emplois, afin de contribuer à</w:t>
      </w:r>
      <w:r w:rsidR="00423DFA">
        <w:rPr>
          <w:rFonts w:asciiTheme="majorBidi" w:hAnsiTheme="majorBidi" w:cstheme="majorBidi"/>
          <w:lang w:val="fr-CA"/>
        </w:rPr>
        <w:t xml:space="preserve"> l’évaluation à mi-parcours du P</w:t>
      </w:r>
      <w:r>
        <w:rPr>
          <w:rFonts w:asciiTheme="majorBidi" w:hAnsiTheme="majorBidi" w:cstheme="majorBidi"/>
          <w:lang w:val="fr-CA"/>
        </w:rPr>
        <w:t>lan de mise en œuvre, et de remettre leurs conclusions pour examen par l’Organe subsidiaire chargé de l’application;</w:t>
      </w:r>
    </w:p>
    <w:p w14:paraId="6CD29DB0" w14:textId="3F3D5C08" w:rsidR="0072606D" w:rsidRDefault="0072606D" w:rsidP="0072606D">
      <w:pPr>
        <w:spacing w:before="120" w:after="120"/>
        <w:ind w:firstLine="720"/>
        <w:outlineLvl w:val="2"/>
        <w:rPr>
          <w:rFonts w:asciiTheme="majorBidi" w:hAnsiTheme="majorBidi" w:cstheme="majorBidi"/>
          <w:lang w:val="fr-CA"/>
        </w:rPr>
      </w:pPr>
      <w:r>
        <w:rPr>
          <w:rFonts w:asciiTheme="majorBidi" w:hAnsiTheme="majorBidi" w:cstheme="majorBidi"/>
          <w:lang w:val="fr-CA"/>
        </w:rPr>
        <w:t>9</w:t>
      </w:r>
      <w:r w:rsidRPr="00B338BC">
        <w:rPr>
          <w:rFonts w:asciiTheme="majorBidi" w:hAnsiTheme="majorBidi" w:cstheme="majorBidi"/>
          <w:lang w:val="fr-CA"/>
        </w:rPr>
        <w:t>.</w:t>
      </w:r>
      <w:r w:rsidRPr="00B338BC">
        <w:rPr>
          <w:rFonts w:asciiTheme="majorBidi" w:hAnsiTheme="majorBidi" w:cstheme="majorBidi"/>
          <w:lang w:val="fr-CA"/>
        </w:rPr>
        <w:tab/>
      </w:r>
      <w:r>
        <w:rPr>
          <w:rFonts w:asciiTheme="majorBidi" w:hAnsiTheme="majorBidi" w:cstheme="majorBidi"/>
          <w:i/>
          <w:lang w:val="fr-CA"/>
        </w:rPr>
        <w:t xml:space="preserve">Prie </w:t>
      </w:r>
      <w:r>
        <w:rPr>
          <w:rFonts w:asciiTheme="majorBidi" w:hAnsiTheme="majorBidi" w:cstheme="majorBidi"/>
          <w:lang w:val="fr-CA"/>
        </w:rPr>
        <w:t xml:space="preserve">l’Organe subsidiaire chargé de l’application </w:t>
      </w:r>
      <w:r w:rsidR="00523B3C">
        <w:rPr>
          <w:rFonts w:asciiTheme="majorBidi" w:hAnsiTheme="majorBidi" w:cstheme="majorBidi"/>
          <w:lang w:val="fr-CA"/>
        </w:rPr>
        <w:t xml:space="preserve">d’examiner, </w:t>
      </w:r>
      <w:r>
        <w:rPr>
          <w:rFonts w:asciiTheme="majorBidi" w:hAnsiTheme="majorBidi" w:cstheme="majorBidi"/>
          <w:lang w:val="fr-CA"/>
        </w:rPr>
        <w:t xml:space="preserve">à </w:t>
      </w:r>
      <w:r w:rsidR="00523B3C" w:rsidRPr="00523B3C">
        <w:rPr>
          <w:rFonts w:asciiTheme="majorBidi" w:hAnsiTheme="majorBidi" w:cstheme="majorBidi"/>
          <w:lang w:val="fr-CA"/>
        </w:rPr>
        <w:t>une réunion qui se tiendra avant la douzième réunion de l</w:t>
      </w:r>
      <w:r w:rsidR="00523B3C">
        <w:rPr>
          <w:rFonts w:asciiTheme="majorBidi" w:hAnsiTheme="majorBidi" w:cstheme="majorBidi"/>
          <w:lang w:val="fr-CA"/>
        </w:rPr>
        <w:t>a C</w:t>
      </w:r>
      <w:r w:rsidR="00523B3C" w:rsidRPr="00523B3C">
        <w:rPr>
          <w:rFonts w:asciiTheme="majorBidi" w:hAnsiTheme="majorBidi" w:cstheme="majorBidi"/>
          <w:lang w:val="fr-CA"/>
        </w:rPr>
        <w:t xml:space="preserve">onférence des </w:t>
      </w:r>
      <w:r w:rsidR="00523B3C">
        <w:rPr>
          <w:rFonts w:asciiTheme="majorBidi" w:hAnsiTheme="majorBidi" w:cstheme="majorBidi"/>
          <w:lang w:val="fr-CA"/>
        </w:rPr>
        <w:t>P</w:t>
      </w:r>
      <w:r w:rsidR="00523B3C" w:rsidRPr="00523B3C">
        <w:rPr>
          <w:rFonts w:asciiTheme="majorBidi" w:hAnsiTheme="majorBidi" w:cstheme="majorBidi"/>
          <w:lang w:val="fr-CA"/>
        </w:rPr>
        <w:t xml:space="preserve">arties siégeant en tant que réunion des </w:t>
      </w:r>
      <w:r w:rsidR="00523B3C">
        <w:rPr>
          <w:rFonts w:asciiTheme="majorBidi" w:hAnsiTheme="majorBidi" w:cstheme="majorBidi"/>
          <w:lang w:val="fr-CA"/>
        </w:rPr>
        <w:t>P</w:t>
      </w:r>
      <w:r w:rsidR="00523B3C" w:rsidRPr="00523B3C">
        <w:rPr>
          <w:rFonts w:asciiTheme="majorBidi" w:hAnsiTheme="majorBidi" w:cstheme="majorBidi"/>
          <w:lang w:val="fr-CA"/>
        </w:rPr>
        <w:t xml:space="preserve">arties au </w:t>
      </w:r>
      <w:r w:rsidR="00523B3C">
        <w:rPr>
          <w:rFonts w:asciiTheme="majorBidi" w:hAnsiTheme="majorBidi" w:cstheme="majorBidi"/>
          <w:lang w:val="fr-CA"/>
        </w:rPr>
        <w:t>P</w:t>
      </w:r>
      <w:r w:rsidR="00523B3C" w:rsidRPr="00523B3C">
        <w:rPr>
          <w:rFonts w:asciiTheme="majorBidi" w:hAnsiTheme="majorBidi" w:cstheme="majorBidi"/>
          <w:lang w:val="fr-CA"/>
        </w:rPr>
        <w:t>rotocole de Cartagena,</w:t>
      </w:r>
      <w:r>
        <w:rPr>
          <w:rFonts w:asciiTheme="majorBidi" w:hAnsiTheme="majorBidi" w:cstheme="majorBidi"/>
          <w:lang w:val="fr-CA"/>
        </w:rPr>
        <w:t xml:space="preserve"> les informations</w:t>
      </w:r>
      <w:r w:rsidR="00EC49A1">
        <w:rPr>
          <w:rFonts w:asciiTheme="majorBidi" w:hAnsiTheme="majorBidi" w:cstheme="majorBidi"/>
          <w:lang w:val="fr-CA"/>
        </w:rPr>
        <w:t xml:space="preserve"> fournies, ainsi que</w:t>
      </w:r>
      <w:r>
        <w:rPr>
          <w:rFonts w:asciiTheme="majorBidi" w:hAnsiTheme="majorBidi" w:cstheme="majorBidi"/>
          <w:lang w:val="fr-CA"/>
        </w:rPr>
        <w:t xml:space="preserve"> les conclusions reçues du Groupe de liaison et du Comité chargé du respect des obligations</w:t>
      </w:r>
      <w:r w:rsidR="00423DFA">
        <w:rPr>
          <w:rFonts w:asciiTheme="majorBidi" w:hAnsiTheme="majorBidi" w:cstheme="majorBidi"/>
          <w:lang w:val="fr-CA"/>
        </w:rPr>
        <w:t>,</w:t>
      </w:r>
      <w:r>
        <w:rPr>
          <w:rFonts w:asciiTheme="majorBidi" w:hAnsiTheme="majorBidi" w:cstheme="majorBidi"/>
          <w:lang w:val="fr-CA"/>
        </w:rPr>
        <w:t xml:space="preserve"> et de communiquer ses conclusions et ses recommandations à la Conférence des Parties siégeant en tant que réunion des Parties au Protocole de Cartagena à sa douzième réunion, afin de facil</w:t>
      </w:r>
      <w:r w:rsidR="00423DFA">
        <w:rPr>
          <w:rFonts w:asciiTheme="majorBidi" w:hAnsiTheme="majorBidi" w:cstheme="majorBidi"/>
          <w:lang w:val="fr-CA"/>
        </w:rPr>
        <w:t>iter l’examen à mi-parcours du P</w:t>
      </w:r>
      <w:r>
        <w:rPr>
          <w:rFonts w:asciiTheme="majorBidi" w:hAnsiTheme="majorBidi" w:cstheme="majorBidi"/>
          <w:lang w:val="fr-CA"/>
        </w:rPr>
        <w:t>lan de mise en œuvre.</w:t>
      </w:r>
    </w:p>
    <w:p w14:paraId="66F8646B" w14:textId="77777777" w:rsidR="0072606D" w:rsidRPr="00423DFA" w:rsidRDefault="0072606D" w:rsidP="00423DFA">
      <w:pPr>
        <w:pStyle w:val="Heading1"/>
        <w:spacing w:after="240"/>
        <w:rPr>
          <w:b w:val="0"/>
          <w:bCs/>
          <w:i/>
          <w:iCs/>
          <w:kern w:val="22"/>
          <w:szCs w:val="22"/>
          <w:lang w:val="fr-FR"/>
        </w:rPr>
      </w:pPr>
      <w:r w:rsidRPr="00423DFA">
        <w:rPr>
          <w:b w:val="0"/>
          <w:bCs/>
          <w:i/>
          <w:iCs/>
          <w:kern w:val="22"/>
          <w:szCs w:val="22"/>
          <w:lang w:val="fr-FR"/>
        </w:rPr>
        <w:lastRenderedPageBreak/>
        <w:t>A</w:t>
      </w:r>
      <w:r w:rsidRPr="00423DFA">
        <w:rPr>
          <w:b w:val="0"/>
          <w:bCs/>
          <w:i/>
          <w:iCs/>
          <w:caps w:val="0"/>
          <w:kern w:val="22"/>
          <w:szCs w:val="22"/>
          <w:lang w:val="fr-FR"/>
        </w:rPr>
        <w:t>nnexe</w:t>
      </w:r>
    </w:p>
    <w:p w14:paraId="623143E5" w14:textId="2449CA87" w:rsidR="0072606D" w:rsidRPr="00423DFA" w:rsidRDefault="0072606D" w:rsidP="0072606D">
      <w:pPr>
        <w:pStyle w:val="Heading1"/>
        <w:tabs>
          <w:tab w:val="clear" w:pos="720"/>
        </w:tabs>
        <w:spacing w:after="0"/>
        <w:contextualSpacing/>
        <w:rPr>
          <w:bCs/>
          <w:kern w:val="22"/>
          <w:szCs w:val="22"/>
          <w:lang w:val="fr-FR"/>
        </w:rPr>
      </w:pPr>
      <w:r w:rsidRPr="00423DFA">
        <w:rPr>
          <w:bCs/>
          <w:kern w:val="22"/>
          <w:szCs w:val="22"/>
          <w:lang w:val="fr-FR"/>
        </w:rPr>
        <w:t>PLAN DE MISE EN ŒUVRE DU Protocole de Cartagena</w:t>
      </w:r>
      <w:r w:rsidR="00423DFA" w:rsidRPr="00423DFA">
        <w:rPr>
          <w:bCs/>
          <w:kern w:val="22"/>
          <w:szCs w:val="22"/>
          <w:lang w:val="fr-FR"/>
        </w:rPr>
        <w:t xml:space="preserve"> sur la prÉvention des risques biotechnologiques</w:t>
      </w:r>
    </w:p>
    <w:p w14:paraId="17069F08" w14:textId="77777777" w:rsidR="0072606D" w:rsidRPr="00423DFA" w:rsidRDefault="0072606D" w:rsidP="0072606D">
      <w:pPr>
        <w:pStyle w:val="Heading1"/>
        <w:suppressLineNumbers/>
        <w:suppressAutoHyphens/>
        <w:ind w:left="1134" w:hanging="567"/>
        <w:rPr>
          <w:kern w:val="22"/>
          <w:szCs w:val="22"/>
          <w:lang w:val="fr-FR"/>
        </w:rPr>
      </w:pPr>
      <w:r w:rsidRPr="00423DFA">
        <w:rPr>
          <w:bCs/>
          <w:kern w:val="22"/>
          <w:szCs w:val="22"/>
          <w:lang w:val="fr-FR"/>
        </w:rPr>
        <w:t>I.</w:t>
      </w:r>
      <w:r w:rsidRPr="00423DFA">
        <w:rPr>
          <w:bCs/>
          <w:kern w:val="22"/>
          <w:szCs w:val="22"/>
          <w:lang w:val="fr-FR"/>
        </w:rPr>
        <w:tab/>
      </w:r>
      <w:r w:rsidRPr="00423DFA">
        <w:rPr>
          <w:bCs/>
          <w:kern w:val="22"/>
          <w:szCs w:val="22"/>
          <w:lang w:val="fr-FR"/>
        </w:rPr>
        <w:tab/>
        <w:t>Objectif du plan de mise en œuvre</w:t>
      </w:r>
    </w:p>
    <w:p w14:paraId="740FAC87" w14:textId="0AA47B0E" w:rsidR="0072606D" w:rsidRPr="00423DFA" w:rsidRDefault="0072606D" w:rsidP="0072606D">
      <w:pPr>
        <w:numPr>
          <w:ilvl w:val="0"/>
          <w:numId w:val="19"/>
        </w:numPr>
        <w:spacing w:before="120" w:after="120"/>
        <w:ind w:left="0" w:firstLine="0"/>
        <w:rPr>
          <w:kern w:val="22"/>
          <w:szCs w:val="22"/>
          <w:lang w:val="fr-FR"/>
        </w:rPr>
      </w:pPr>
      <w:r w:rsidRPr="00423DFA">
        <w:rPr>
          <w:kern w:val="22"/>
          <w:szCs w:val="22"/>
          <w:lang w:val="fr-FR"/>
        </w:rPr>
        <w:t xml:space="preserve">Le Plan de mise en œuvre </w:t>
      </w:r>
      <w:r w:rsidR="00423DFA">
        <w:rPr>
          <w:kern w:val="22"/>
          <w:szCs w:val="22"/>
          <w:lang w:val="fr-FR"/>
        </w:rPr>
        <w:t xml:space="preserve">du </w:t>
      </w:r>
      <w:r w:rsidR="00423DFA">
        <w:rPr>
          <w:rFonts w:asciiTheme="majorBidi" w:hAnsiTheme="majorBidi" w:cstheme="majorBidi"/>
          <w:lang w:val="fr-CA"/>
        </w:rPr>
        <w:t xml:space="preserve">Protocole de Cartagena </w:t>
      </w:r>
      <w:r w:rsidR="00423DFA">
        <w:rPr>
          <w:kern w:val="22"/>
          <w:lang w:val="fr-FR"/>
        </w:rPr>
        <w:t>sur la prévention des risques biotechnologiques</w:t>
      </w:r>
      <w:r w:rsidR="00423DFA" w:rsidRPr="00423DFA">
        <w:rPr>
          <w:kern w:val="22"/>
          <w:szCs w:val="22"/>
          <w:lang w:val="fr-FR"/>
        </w:rPr>
        <w:t xml:space="preserve"> </w:t>
      </w:r>
      <w:r w:rsidR="00423DFA">
        <w:rPr>
          <w:kern w:val="22"/>
          <w:szCs w:val="22"/>
          <w:lang w:val="fr-FR"/>
        </w:rPr>
        <w:t>(ci-après « Plan de mise en œuvre ») a été élaboré pour constituer un cadre de</w:t>
      </w:r>
      <w:r w:rsidRPr="00423DFA">
        <w:rPr>
          <w:kern w:val="22"/>
          <w:szCs w:val="22"/>
          <w:lang w:val="fr-FR"/>
        </w:rPr>
        <w:t xml:space="preserve"> grands résultats et</w:t>
      </w:r>
      <w:r w:rsidR="00EC49A1">
        <w:rPr>
          <w:kern w:val="22"/>
          <w:szCs w:val="22"/>
          <w:lang w:val="fr-FR"/>
        </w:rPr>
        <w:t xml:space="preserve"> réalisations souhaitables afin d’</w:t>
      </w:r>
      <w:r w:rsidRPr="00423DFA">
        <w:rPr>
          <w:kern w:val="22"/>
          <w:szCs w:val="22"/>
          <w:lang w:val="fr-FR"/>
        </w:rPr>
        <w:t xml:space="preserve">aider les Parties à mettre en œuvre le Protocole et </w:t>
      </w:r>
      <w:r w:rsidR="00EC49A1">
        <w:rPr>
          <w:kern w:val="22"/>
          <w:szCs w:val="22"/>
          <w:lang w:val="fr-FR"/>
        </w:rPr>
        <w:t xml:space="preserve">de </w:t>
      </w:r>
      <w:r w:rsidRPr="00423DFA">
        <w:rPr>
          <w:kern w:val="22"/>
          <w:szCs w:val="22"/>
          <w:lang w:val="fr-FR"/>
        </w:rPr>
        <w:t xml:space="preserve">mesurer les progrès accomplis à cet égard pour la période </w:t>
      </w:r>
      <w:r w:rsidR="006B3144">
        <w:rPr>
          <w:kern w:val="22"/>
          <w:szCs w:val="22"/>
          <w:lang w:val="fr-FR"/>
        </w:rPr>
        <w:t xml:space="preserve">allant </w:t>
      </w:r>
      <w:r w:rsidRPr="00423DFA">
        <w:rPr>
          <w:kern w:val="22"/>
          <w:szCs w:val="22"/>
          <w:lang w:val="fr-FR"/>
        </w:rPr>
        <w:t>jusqu’à 2030.</w:t>
      </w:r>
    </w:p>
    <w:p w14:paraId="38353D9D" w14:textId="77777777" w:rsidR="006B3144" w:rsidRDefault="006B3144" w:rsidP="006B3144">
      <w:pPr>
        <w:numPr>
          <w:ilvl w:val="0"/>
          <w:numId w:val="19"/>
        </w:numPr>
        <w:spacing w:before="120"/>
        <w:ind w:left="0" w:firstLine="0"/>
        <w:rPr>
          <w:kern w:val="22"/>
          <w:szCs w:val="22"/>
          <w:lang w:val="fr-FR"/>
        </w:rPr>
      </w:pPr>
      <w:r>
        <w:rPr>
          <w:kern w:val="22"/>
          <w:szCs w:val="22"/>
          <w:lang w:val="fr-FR"/>
        </w:rPr>
        <w:t>Le P</w:t>
      </w:r>
      <w:r w:rsidR="0072606D" w:rsidRPr="00423DFA">
        <w:rPr>
          <w:kern w:val="22"/>
          <w:szCs w:val="22"/>
          <w:lang w:val="fr-FR"/>
        </w:rPr>
        <w:t>lan de</w:t>
      </w:r>
      <w:r>
        <w:rPr>
          <w:kern w:val="22"/>
          <w:szCs w:val="22"/>
          <w:lang w:val="fr-FR"/>
        </w:rPr>
        <w:t xml:space="preserve"> mise en œuvre est complété par le P</w:t>
      </w:r>
      <w:r w:rsidR="0072606D" w:rsidRPr="00423DFA">
        <w:rPr>
          <w:kern w:val="22"/>
          <w:szCs w:val="22"/>
          <w:lang w:val="fr-FR"/>
        </w:rPr>
        <w:t>lan d’action pour le renforcement des capacités</w:t>
      </w:r>
      <w:r>
        <w:rPr>
          <w:kern w:val="22"/>
          <w:szCs w:val="22"/>
          <w:lang w:val="fr-FR"/>
        </w:rPr>
        <w:t xml:space="preserve"> du</w:t>
      </w:r>
      <w:r w:rsidRPr="006B3144">
        <w:rPr>
          <w:rFonts w:asciiTheme="majorBidi" w:hAnsiTheme="majorBidi" w:cstheme="majorBidi"/>
          <w:lang w:val="fr-CA"/>
        </w:rPr>
        <w:t xml:space="preserve"> </w:t>
      </w:r>
      <w:r>
        <w:rPr>
          <w:rFonts w:asciiTheme="majorBidi" w:hAnsiTheme="majorBidi" w:cstheme="majorBidi"/>
          <w:lang w:val="fr-CA"/>
        </w:rPr>
        <w:t xml:space="preserve">Protocole de Cartagena </w:t>
      </w:r>
      <w:r>
        <w:rPr>
          <w:kern w:val="22"/>
          <w:lang w:val="fr-FR"/>
        </w:rPr>
        <w:t>sur la prévention des risques biotechnologiques</w:t>
      </w:r>
      <w:r>
        <w:rPr>
          <w:rStyle w:val="FootnoteReference"/>
          <w:kern w:val="22"/>
          <w:lang w:val="fr-FR"/>
        </w:rPr>
        <w:footnoteReference w:id="5"/>
      </w:r>
      <w:r w:rsidR="0072606D" w:rsidRPr="00423DFA">
        <w:rPr>
          <w:kern w:val="22"/>
          <w:szCs w:val="22"/>
          <w:lang w:val="fr-FR"/>
        </w:rPr>
        <w:t>, dans le but de fac</w:t>
      </w:r>
      <w:r>
        <w:rPr>
          <w:kern w:val="22"/>
          <w:szCs w:val="22"/>
          <w:lang w:val="fr-FR"/>
        </w:rPr>
        <w:t xml:space="preserve">iliter la création </w:t>
      </w:r>
      <w:r w:rsidR="0072606D" w:rsidRPr="00423DFA">
        <w:rPr>
          <w:kern w:val="22"/>
          <w:szCs w:val="22"/>
          <w:lang w:val="fr-FR"/>
        </w:rPr>
        <w:t xml:space="preserve">et le renforcement des capacités des Parties à appliquer le Protocole, </w:t>
      </w:r>
      <w:r>
        <w:rPr>
          <w:kern w:val="22"/>
          <w:szCs w:val="22"/>
          <w:lang w:val="fr-FR"/>
        </w:rPr>
        <w:t xml:space="preserve">notamment </w:t>
      </w:r>
      <w:r w:rsidR="0072606D" w:rsidRPr="00423DFA">
        <w:rPr>
          <w:kern w:val="22"/>
          <w:szCs w:val="22"/>
          <w:lang w:val="fr-FR"/>
        </w:rPr>
        <w:t>en favorisant la participation des partenaires, y compris des donateurs, et en encourageant la coopération et la coordination rég</w:t>
      </w:r>
      <w:r>
        <w:rPr>
          <w:kern w:val="22"/>
          <w:szCs w:val="22"/>
          <w:lang w:val="fr-FR"/>
        </w:rPr>
        <w:t>ionales et internationales. Le P</w:t>
      </w:r>
      <w:r w:rsidR="0072606D" w:rsidRPr="00423DFA">
        <w:rPr>
          <w:kern w:val="22"/>
          <w:szCs w:val="22"/>
          <w:lang w:val="fr-FR"/>
        </w:rPr>
        <w:t>lan d’action pour le renforcement des capacités</w:t>
      </w:r>
      <w:r>
        <w:rPr>
          <w:kern w:val="22"/>
          <w:szCs w:val="22"/>
          <w:lang w:val="fr-FR"/>
        </w:rPr>
        <w:t xml:space="preserve"> couvre la même période que le P</w:t>
      </w:r>
      <w:r w:rsidR="0072606D" w:rsidRPr="00423DFA">
        <w:rPr>
          <w:kern w:val="22"/>
          <w:szCs w:val="22"/>
          <w:lang w:val="fr-FR"/>
        </w:rPr>
        <w:t xml:space="preserve">lan de mise en œuvre, à savoir, </w:t>
      </w:r>
      <w:r>
        <w:rPr>
          <w:kern w:val="22"/>
          <w:szCs w:val="22"/>
          <w:lang w:val="fr-FR"/>
        </w:rPr>
        <w:t>jusqu’en</w:t>
      </w:r>
      <w:r w:rsidR="0072606D" w:rsidRPr="00423DFA">
        <w:rPr>
          <w:kern w:val="22"/>
          <w:szCs w:val="22"/>
          <w:lang w:val="fr-FR"/>
        </w:rPr>
        <w:t xml:space="preserve"> 2030.</w:t>
      </w:r>
    </w:p>
    <w:p w14:paraId="67D9443A" w14:textId="25203E90" w:rsidR="0072606D" w:rsidRPr="006B3144" w:rsidRDefault="0072606D" w:rsidP="006B3144">
      <w:pPr>
        <w:numPr>
          <w:ilvl w:val="0"/>
          <w:numId w:val="19"/>
        </w:numPr>
        <w:spacing w:before="120"/>
        <w:ind w:left="0" w:firstLine="0"/>
        <w:rPr>
          <w:kern w:val="22"/>
          <w:szCs w:val="22"/>
          <w:lang w:val="fr-FR"/>
        </w:rPr>
      </w:pPr>
      <w:r w:rsidRPr="006B3144">
        <w:rPr>
          <w:kern w:val="22"/>
          <w:szCs w:val="22"/>
          <w:lang w:val="fr-FR"/>
        </w:rPr>
        <w:t>L</w:t>
      </w:r>
      <w:r w:rsidR="006B3144">
        <w:rPr>
          <w:kern w:val="22"/>
          <w:szCs w:val="22"/>
          <w:lang w:val="fr-FR"/>
        </w:rPr>
        <w:t>e P</w:t>
      </w:r>
      <w:r w:rsidRPr="006B3144">
        <w:rPr>
          <w:kern w:val="22"/>
          <w:szCs w:val="22"/>
          <w:lang w:val="fr-FR"/>
        </w:rPr>
        <w:t>lan de mise en œuvr</w:t>
      </w:r>
      <w:r w:rsidR="006B3144">
        <w:rPr>
          <w:kern w:val="22"/>
          <w:szCs w:val="22"/>
          <w:lang w:val="fr-FR"/>
        </w:rPr>
        <w:t>e s’adresse principalement aux Parties. N</w:t>
      </w:r>
      <w:r w:rsidRPr="006B3144">
        <w:rPr>
          <w:kern w:val="22"/>
          <w:szCs w:val="22"/>
          <w:lang w:val="fr-FR"/>
        </w:rPr>
        <w:t>éanmoi</w:t>
      </w:r>
      <w:r w:rsidR="006B3144">
        <w:rPr>
          <w:kern w:val="22"/>
          <w:szCs w:val="22"/>
          <w:lang w:val="fr-FR"/>
        </w:rPr>
        <w:t xml:space="preserve">ns, il est </w:t>
      </w:r>
      <w:r w:rsidR="00D97C3E">
        <w:rPr>
          <w:kern w:val="22"/>
          <w:szCs w:val="22"/>
          <w:lang w:val="fr-FR"/>
        </w:rPr>
        <w:t xml:space="preserve">bien </w:t>
      </w:r>
      <w:r w:rsidR="006B3144">
        <w:rPr>
          <w:kern w:val="22"/>
          <w:szCs w:val="22"/>
          <w:lang w:val="fr-FR"/>
        </w:rPr>
        <w:t>reconnu que les non-Parties,</w:t>
      </w:r>
      <w:r w:rsidRPr="006B3144">
        <w:rPr>
          <w:kern w:val="22"/>
          <w:szCs w:val="22"/>
          <w:lang w:val="fr-FR"/>
        </w:rPr>
        <w:t xml:space="preserve"> les parties prenantes de différents secteurs, organisations, peuples autochtones et communautés locales, ainsi que les organismes donateurs, peu</w:t>
      </w:r>
      <w:r w:rsidR="006B3144">
        <w:rPr>
          <w:kern w:val="22"/>
          <w:szCs w:val="22"/>
          <w:lang w:val="fr-FR"/>
        </w:rPr>
        <w:t>vent soutenir l’application du P</w:t>
      </w:r>
      <w:r w:rsidRPr="006B3144">
        <w:rPr>
          <w:kern w:val="22"/>
          <w:szCs w:val="22"/>
          <w:lang w:val="fr-FR"/>
        </w:rPr>
        <w:t>rotocole.</w:t>
      </w:r>
    </w:p>
    <w:p w14:paraId="151B4309" w14:textId="2CB4C886" w:rsidR="0072606D" w:rsidRPr="00423DFA" w:rsidRDefault="0072606D" w:rsidP="0072606D">
      <w:pPr>
        <w:pStyle w:val="Heading1"/>
        <w:suppressLineNumbers/>
        <w:suppressAutoHyphens/>
        <w:ind w:left="1134" w:hanging="567"/>
        <w:jc w:val="left"/>
        <w:rPr>
          <w:kern w:val="22"/>
          <w:szCs w:val="22"/>
          <w:lang w:val="fr-FR"/>
        </w:rPr>
      </w:pPr>
      <w:r w:rsidRPr="00423DFA">
        <w:rPr>
          <w:rFonts w:asciiTheme="majorBidi" w:hAnsiTheme="majorBidi" w:cstheme="majorBidi"/>
          <w:szCs w:val="22"/>
          <w:lang w:val="fr-CA"/>
        </w:rPr>
        <w:t>II.</w:t>
      </w:r>
      <w:r w:rsidRPr="00423DFA">
        <w:rPr>
          <w:rFonts w:asciiTheme="majorBidi" w:hAnsiTheme="majorBidi" w:cstheme="majorBidi"/>
          <w:szCs w:val="22"/>
          <w:lang w:val="fr-CA"/>
        </w:rPr>
        <w:tab/>
      </w:r>
      <w:r w:rsidRPr="00423DFA">
        <w:rPr>
          <w:bCs/>
          <w:kern w:val="22"/>
          <w:szCs w:val="22"/>
          <w:lang w:val="fr-FR"/>
        </w:rPr>
        <w:t>Lien</w:t>
      </w:r>
      <w:r w:rsidR="006B3144">
        <w:rPr>
          <w:bCs/>
          <w:kern w:val="22"/>
          <w:szCs w:val="22"/>
          <w:lang w:val="fr-FR"/>
        </w:rPr>
        <w:t>s</w:t>
      </w:r>
      <w:r w:rsidRPr="00423DFA">
        <w:rPr>
          <w:bCs/>
          <w:kern w:val="22"/>
          <w:szCs w:val="22"/>
          <w:lang w:val="fr-FR"/>
        </w:rPr>
        <w:t xml:space="preserve"> avec le cadre mondial de l</w:t>
      </w:r>
      <w:r w:rsidR="00D97C3E">
        <w:rPr>
          <w:bCs/>
          <w:kern w:val="22"/>
          <w:szCs w:val="22"/>
          <w:lang w:val="fr-FR"/>
        </w:rPr>
        <w:t>a biodiversitÉ de kunming-montrÉ</w:t>
      </w:r>
      <w:r w:rsidR="006B3144">
        <w:rPr>
          <w:bCs/>
          <w:kern w:val="22"/>
          <w:szCs w:val="22"/>
          <w:lang w:val="fr-FR"/>
        </w:rPr>
        <w:t>al</w:t>
      </w:r>
      <w:r w:rsidR="00D97C3E">
        <w:rPr>
          <w:bCs/>
          <w:kern w:val="22"/>
          <w:szCs w:val="22"/>
          <w:lang w:val="fr-FR"/>
        </w:rPr>
        <w:t xml:space="preserve"> et le Programme de dÉ</w:t>
      </w:r>
      <w:r w:rsidRPr="00423DFA">
        <w:rPr>
          <w:bCs/>
          <w:kern w:val="22"/>
          <w:szCs w:val="22"/>
          <w:lang w:val="fr-FR"/>
        </w:rPr>
        <w:t xml:space="preserve">veloppement durable </w:t>
      </w:r>
      <w:r w:rsidR="00D97C3E">
        <w:rPr>
          <w:bCs/>
          <w:kern w:val="22"/>
          <w:szCs w:val="22"/>
          <w:lang w:val="fr-FR"/>
        </w:rPr>
        <w:t xml:space="preserve">À </w:t>
      </w:r>
      <w:r w:rsidRPr="00423DFA">
        <w:rPr>
          <w:bCs/>
          <w:kern w:val="22"/>
          <w:szCs w:val="22"/>
          <w:lang w:val="fr-FR"/>
        </w:rPr>
        <w:t>l’horizon 2030</w:t>
      </w:r>
    </w:p>
    <w:p w14:paraId="51E75B34" w14:textId="668683EC" w:rsidR="0072606D" w:rsidRPr="00423DFA" w:rsidRDefault="006B3144" w:rsidP="0072606D">
      <w:pPr>
        <w:numPr>
          <w:ilvl w:val="0"/>
          <w:numId w:val="19"/>
        </w:numPr>
        <w:spacing w:before="120" w:after="120"/>
        <w:ind w:left="0" w:firstLine="0"/>
        <w:rPr>
          <w:kern w:val="22"/>
          <w:szCs w:val="22"/>
          <w:lang w:val="fr-FR"/>
        </w:rPr>
      </w:pPr>
      <w:r>
        <w:rPr>
          <w:kern w:val="22"/>
          <w:szCs w:val="22"/>
          <w:lang w:val="fr-FR"/>
        </w:rPr>
        <w:t>Le P</w:t>
      </w:r>
      <w:r w:rsidR="0072606D" w:rsidRPr="00423DFA">
        <w:rPr>
          <w:kern w:val="22"/>
          <w:szCs w:val="22"/>
          <w:lang w:val="fr-FR"/>
        </w:rPr>
        <w:t>lan de</w:t>
      </w:r>
      <w:r>
        <w:rPr>
          <w:kern w:val="22"/>
          <w:szCs w:val="22"/>
          <w:lang w:val="fr-FR"/>
        </w:rPr>
        <w:t xml:space="preserve"> mise en œuvre est basé sur le C</w:t>
      </w:r>
      <w:r w:rsidR="0072606D" w:rsidRPr="00423DFA">
        <w:rPr>
          <w:kern w:val="22"/>
          <w:szCs w:val="22"/>
          <w:lang w:val="fr-FR"/>
        </w:rPr>
        <w:t xml:space="preserve">adre mondial de la </w:t>
      </w:r>
      <w:r>
        <w:rPr>
          <w:kern w:val="22"/>
          <w:szCs w:val="22"/>
          <w:lang w:val="fr-FR"/>
        </w:rPr>
        <w:t>biodiversité de Kunming-Montréal</w:t>
      </w:r>
      <w:r w:rsidR="0072606D" w:rsidRPr="00423DFA">
        <w:rPr>
          <w:kern w:val="22"/>
          <w:szCs w:val="22"/>
          <w:lang w:val="fr-FR"/>
        </w:rPr>
        <w:t xml:space="preserve"> et est complémentaire de celui-ci, car ses buts, objectifs et résultats contribuent à la réalisation de la vision </w:t>
      </w:r>
      <w:r>
        <w:rPr>
          <w:kern w:val="22"/>
          <w:szCs w:val="22"/>
          <w:lang w:val="fr-FR"/>
        </w:rPr>
        <w:t>du Cadre mondial pour 2050</w:t>
      </w:r>
      <w:r w:rsidR="0072606D" w:rsidRPr="00423DFA">
        <w:rPr>
          <w:kern w:val="22"/>
          <w:szCs w:val="22"/>
          <w:lang w:val="fr-FR"/>
        </w:rPr>
        <w:t>, à savoir, « d’ici à 2050, la diversité biologique est valorisée, conservée, restaurée et utilisée avec sagesse, en assurant le maintien des services fournis par les écosystèmes, en maintenant la planète en bonne santé et en procurant des avantages essentiels à tous les peuples », et de sa mission « Prendre</w:t>
      </w:r>
      <w:r w:rsidR="00850D48" w:rsidRPr="00E820A3">
        <w:rPr>
          <w:iCs/>
          <w:szCs w:val="22"/>
          <w:lang w:val="fr-FR"/>
        </w:rPr>
        <w:t xml:space="preserve"> des mesures urgentes visant à faire cesser et à inverser la perte de biodiversité afin de promouvoir le rétablissement de la nature, dans l'intérêt des populations et de la planète, grâce à la conservation et à l'utilisation durable de la biodiversité et au partage juste et équitable des avantages découlant de l'utilisation des ressources génétiques, tout en assurant les moyens de mise en œuvre nécessaires</w:t>
      </w:r>
      <w:r w:rsidR="00850D48">
        <w:rPr>
          <w:kern w:val="22"/>
          <w:szCs w:val="22"/>
          <w:lang w:val="fr-FR"/>
        </w:rPr>
        <w:t xml:space="preserve"> </w:t>
      </w:r>
      <w:r w:rsidR="000B4B42">
        <w:rPr>
          <w:kern w:val="22"/>
          <w:szCs w:val="22"/>
          <w:lang w:val="fr-FR"/>
        </w:rPr>
        <w:t>». Le P</w:t>
      </w:r>
      <w:r w:rsidR="0072606D" w:rsidRPr="00423DFA">
        <w:rPr>
          <w:kern w:val="22"/>
          <w:szCs w:val="22"/>
          <w:lang w:val="fr-FR"/>
        </w:rPr>
        <w:t>lan de mise en œuvre est destiné à faciliter l’application du Protocole de Cartagena et s’adresse aux Parties au Protocole de Cartagena. Le</w:t>
      </w:r>
      <w:r w:rsidR="000B4B42">
        <w:rPr>
          <w:kern w:val="22"/>
          <w:szCs w:val="22"/>
          <w:lang w:val="fr-FR"/>
        </w:rPr>
        <w:t xml:space="preserve"> P</w:t>
      </w:r>
      <w:r w:rsidR="0072606D" w:rsidRPr="00423DFA">
        <w:rPr>
          <w:kern w:val="22"/>
          <w:szCs w:val="22"/>
          <w:lang w:val="fr-FR"/>
        </w:rPr>
        <w:t>lan de mise en œuvre peut également aider et orien</w:t>
      </w:r>
      <w:r w:rsidR="000B4B42">
        <w:rPr>
          <w:kern w:val="22"/>
          <w:szCs w:val="22"/>
          <w:lang w:val="fr-FR"/>
        </w:rPr>
        <w:t>ter les Parties pour atteindre l</w:t>
      </w:r>
      <w:r w:rsidR="00850D48">
        <w:rPr>
          <w:kern w:val="22"/>
          <w:szCs w:val="22"/>
          <w:lang w:val="fr-FR"/>
        </w:rPr>
        <w:t>es objectifs</w:t>
      </w:r>
      <w:r w:rsidR="000B4B42">
        <w:rPr>
          <w:kern w:val="22"/>
          <w:szCs w:val="22"/>
          <w:lang w:val="fr-FR"/>
        </w:rPr>
        <w:t xml:space="preserve"> et l</w:t>
      </w:r>
      <w:r w:rsidR="0072606D" w:rsidRPr="00423DFA">
        <w:rPr>
          <w:kern w:val="22"/>
          <w:szCs w:val="22"/>
          <w:lang w:val="fr-FR"/>
        </w:rPr>
        <w:t>es cibles en matière de prévention des r</w:t>
      </w:r>
      <w:r w:rsidR="00850D48">
        <w:rPr>
          <w:kern w:val="22"/>
          <w:szCs w:val="22"/>
          <w:lang w:val="fr-FR"/>
        </w:rPr>
        <w:t xml:space="preserve">isques biotechnologiques </w:t>
      </w:r>
      <w:r w:rsidR="005A7933">
        <w:rPr>
          <w:kern w:val="22"/>
          <w:szCs w:val="22"/>
          <w:lang w:val="fr-FR"/>
        </w:rPr>
        <w:t xml:space="preserve">contenus </w:t>
      </w:r>
      <w:r w:rsidR="00850D48">
        <w:rPr>
          <w:kern w:val="22"/>
          <w:szCs w:val="22"/>
          <w:lang w:val="fr-FR"/>
        </w:rPr>
        <w:t>dans le C</w:t>
      </w:r>
      <w:r w:rsidR="0072606D" w:rsidRPr="00423DFA">
        <w:rPr>
          <w:kern w:val="22"/>
          <w:szCs w:val="22"/>
          <w:lang w:val="fr-FR"/>
        </w:rPr>
        <w:t xml:space="preserve">adre mondial de la biodiversité </w:t>
      </w:r>
      <w:r w:rsidR="000B4B42">
        <w:rPr>
          <w:kern w:val="22"/>
          <w:szCs w:val="22"/>
          <w:lang w:val="fr-FR"/>
        </w:rPr>
        <w:t>de Kunming-Montréal</w:t>
      </w:r>
      <w:r w:rsidR="0072606D" w:rsidRPr="00423DFA">
        <w:rPr>
          <w:kern w:val="22"/>
          <w:szCs w:val="22"/>
          <w:lang w:val="fr-FR"/>
        </w:rPr>
        <w:t>.</w:t>
      </w:r>
    </w:p>
    <w:p w14:paraId="33A2B6CE" w14:textId="1D7B3153" w:rsidR="0072606D" w:rsidRPr="00423DFA" w:rsidRDefault="00850D48" w:rsidP="0072606D">
      <w:pPr>
        <w:numPr>
          <w:ilvl w:val="0"/>
          <w:numId w:val="19"/>
        </w:numPr>
        <w:spacing w:before="120" w:after="120"/>
        <w:ind w:left="0" w:firstLine="0"/>
        <w:rPr>
          <w:kern w:val="22"/>
          <w:szCs w:val="22"/>
          <w:lang w:val="fr-FR"/>
        </w:rPr>
      </w:pPr>
      <w:r>
        <w:rPr>
          <w:kern w:val="22"/>
          <w:szCs w:val="22"/>
          <w:lang w:val="fr-FR"/>
        </w:rPr>
        <w:t>Le P</w:t>
      </w:r>
      <w:r w:rsidR="0072606D" w:rsidRPr="00423DFA">
        <w:rPr>
          <w:kern w:val="22"/>
          <w:szCs w:val="22"/>
          <w:lang w:val="fr-FR"/>
        </w:rPr>
        <w:t>lan de mise en œuvre peut également aider les Parties à atteindre les Objectifs de développement durable, notamment l’Objectif 2 (</w:t>
      </w:r>
      <w:r>
        <w:rPr>
          <w:iCs/>
          <w:kern w:val="22"/>
          <w:szCs w:val="22"/>
          <w:lang w:val="fr-FR"/>
        </w:rPr>
        <w:t>é</w:t>
      </w:r>
      <w:r w:rsidR="0072606D" w:rsidRPr="00423DFA">
        <w:rPr>
          <w:iCs/>
          <w:kern w:val="22"/>
          <w:szCs w:val="22"/>
          <w:lang w:val="fr-FR"/>
        </w:rPr>
        <w:t>liminer la faim, assurer la sécurité alimentaire, améliorer la nutrition et promouvoir l’agriculture durable</w:t>
      </w:r>
      <w:r w:rsidR="0072606D" w:rsidRPr="00423DFA">
        <w:rPr>
          <w:kern w:val="22"/>
          <w:szCs w:val="22"/>
          <w:lang w:val="fr-FR"/>
        </w:rPr>
        <w:t>) et l’Objectif 3 (</w:t>
      </w:r>
      <w:r>
        <w:rPr>
          <w:iCs/>
          <w:kern w:val="22"/>
          <w:szCs w:val="22"/>
          <w:lang w:val="fr-FR"/>
        </w:rPr>
        <w:t>p</w:t>
      </w:r>
      <w:r w:rsidR="0072606D" w:rsidRPr="00423DFA">
        <w:rPr>
          <w:iCs/>
          <w:kern w:val="22"/>
          <w:szCs w:val="22"/>
          <w:lang w:val="fr-FR"/>
        </w:rPr>
        <w:t>ermettre à tous de vivre en bonne santé et promouvoir le bien-être de tous à tout âge</w:t>
      </w:r>
      <w:r w:rsidR="0072606D" w:rsidRPr="00423DFA">
        <w:rPr>
          <w:kern w:val="22"/>
          <w:szCs w:val="22"/>
          <w:lang w:val="fr-FR"/>
        </w:rPr>
        <w:t>).</w:t>
      </w:r>
    </w:p>
    <w:p w14:paraId="044BB94F" w14:textId="77777777" w:rsidR="0072606D" w:rsidRPr="00423DFA" w:rsidRDefault="0072606D" w:rsidP="0072606D">
      <w:pPr>
        <w:pStyle w:val="Heading1"/>
        <w:suppressLineNumbers/>
        <w:suppressAutoHyphens/>
        <w:ind w:left="1134" w:hanging="567"/>
        <w:rPr>
          <w:kern w:val="22"/>
          <w:szCs w:val="22"/>
          <w:lang w:val="fr-FR"/>
        </w:rPr>
      </w:pPr>
      <w:r w:rsidRPr="00423DFA">
        <w:rPr>
          <w:bCs/>
          <w:kern w:val="22"/>
          <w:szCs w:val="22"/>
          <w:lang w:val="fr-FR"/>
        </w:rPr>
        <w:t>III.</w:t>
      </w:r>
      <w:r w:rsidRPr="00423DFA">
        <w:rPr>
          <w:bCs/>
          <w:kern w:val="22"/>
          <w:szCs w:val="22"/>
          <w:lang w:val="fr-FR"/>
        </w:rPr>
        <w:tab/>
        <w:t>STRUCTURE du plan de mise en œuvre</w:t>
      </w:r>
    </w:p>
    <w:p w14:paraId="6810AF37" w14:textId="7AA8345A" w:rsidR="0072606D" w:rsidRPr="00423DFA" w:rsidRDefault="005A7933" w:rsidP="0072606D">
      <w:pPr>
        <w:numPr>
          <w:ilvl w:val="0"/>
          <w:numId w:val="19"/>
        </w:numPr>
        <w:spacing w:before="120" w:after="120"/>
        <w:ind w:left="0" w:firstLine="0"/>
        <w:rPr>
          <w:kern w:val="22"/>
          <w:szCs w:val="22"/>
          <w:lang w:val="fr-FR"/>
        </w:rPr>
      </w:pPr>
      <w:r>
        <w:rPr>
          <w:kern w:val="22"/>
          <w:szCs w:val="22"/>
          <w:lang w:val="fr-FR"/>
        </w:rPr>
        <w:t>Un tableau indiqu</w:t>
      </w:r>
      <w:r w:rsidR="00422075">
        <w:rPr>
          <w:kern w:val="22"/>
          <w:szCs w:val="22"/>
          <w:lang w:val="fr-FR"/>
        </w:rPr>
        <w:t>ant l</w:t>
      </w:r>
      <w:r w:rsidR="0072606D" w:rsidRPr="00423DFA">
        <w:rPr>
          <w:kern w:val="22"/>
          <w:szCs w:val="22"/>
          <w:lang w:val="fr-FR"/>
        </w:rPr>
        <w:t xml:space="preserve">es buts, </w:t>
      </w:r>
      <w:r w:rsidR="00422075">
        <w:rPr>
          <w:kern w:val="22"/>
          <w:szCs w:val="22"/>
          <w:lang w:val="fr-FR"/>
        </w:rPr>
        <w:t xml:space="preserve">les </w:t>
      </w:r>
      <w:r w:rsidR="0072606D" w:rsidRPr="00423DFA">
        <w:rPr>
          <w:kern w:val="22"/>
          <w:szCs w:val="22"/>
          <w:lang w:val="fr-FR"/>
        </w:rPr>
        <w:t xml:space="preserve">objectifs, </w:t>
      </w:r>
      <w:r w:rsidR="00422075">
        <w:rPr>
          <w:kern w:val="22"/>
          <w:szCs w:val="22"/>
          <w:lang w:val="fr-FR"/>
        </w:rPr>
        <w:t xml:space="preserve">les </w:t>
      </w:r>
      <w:r w:rsidR="0072606D" w:rsidRPr="00423DFA">
        <w:rPr>
          <w:kern w:val="22"/>
          <w:szCs w:val="22"/>
          <w:lang w:val="fr-FR"/>
        </w:rPr>
        <w:t xml:space="preserve">indicateurs et </w:t>
      </w:r>
      <w:r w:rsidR="00422075">
        <w:rPr>
          <w:kern w:val="22"/>
          <w:szCs w:val="22"/>
          <w:lang w:val="fr-FR"/>
        </w:rPr>
        <w:t>les résultats du P</w:t>
      </w:r>
      <w:r w:rsidR="0072606D" w:rsidRPr="00423DFA">
        <w:rPr>
          <w:kern w:val="22"/>
          <w:szCs w:val="22"/>
          <w:lang w:val="fr-FR"/>
        </w:rPr>
        <w:t>lan de mise en œuvre</w:t>
      </w:r>
      <w:r w:rsidR="00422075">
        <w:rPr>
          <w:kern w:val="22"/>
          <w:szCs w:val="22"/>
          <w:lang w:val="fr-FR"/>
        </w:rPr>
        <w:t xml:space="preserve"> est fourni dans l’appendice ci-dessous</w:t>
      </w:r>
      <w:r w:rsidR="0072606D" w:rsidRPr="00423DFA">
        <w:rPr>
          <w:kern w:val="22"/>
          <w:szCs w:val="22"/>
          <w:lang w:val="fr-FR"/>
        </w:rPr>
        <w:t>.</w:t>
      </w:r>
    </w:p>
    <w:p w14:paraId="631EAE90" w14:textId="75B12BFF" w:rsidR="0072606D" w:rsidRPr="00423DFA" w:rsidRDefault="00422075" w:rsidP="0072606D">
      <w:pPr>
        <w:numPr>
          <w:ilvl w:val="0"/>
          <w:numId w:val="19"/>
        </w:numPr>
        <w:spacing w:before="120" w:after="120"/>
        <w:ind w:left="0" w:firstLine="0"/>
        <w:rPr>
          <w:kern w:val="22"/>
          <w:szCs w:val="22"/>
          <w:lang w:val="fr-FR"/>
        </w:rPr>
      </w:pPr>
      <w:r>
        <w:rPr>
          <w:kern w:val="22"/>
          <w:szCs w:val="22"/>
          <w:lang w:val="fr-FR"/>
        </w:rPr>
        <w:t>Le Plan de mise en œuvre décrit</w:t>
      </w:r>
      <w:r w:rsidR="0072606D" w:rsidRPr="00423DFA">
        <w:rPr>
          <w:kern w:val="22"/>
          <w:szCs w:val="22"/>
          <w:lang w:val="fr-FR"/>
        </w:rPr>
        <w:t xml:space="preserve"> des </w:t>
      </w:r>
      <w:r w:rsidR="0072606D" w:rsidRPr="00423DFA">
        <w:rPr>
          <w:bCs/>
          <w:kern w:val="22"/>
          <w:szCs w:val="22"/>
          <w:lang w:val="fr-FR"/>
        </w:rPr>
        <w:t>buts</w:t>
      </w:r>
      <w:r>
        <w:rPr>
          <w:kern w:val="22"/>
          <w:szCs w:val="22"/>
          <w:lang w:val="fr-FR"/>
        </w:rPr>
        <w:t xml:space="preserve"> qui représente</w:t>
      </w:r>
      <w:r w:rsidR="0072606D" w:rsidRPr="00423DFA">
        <w:rPr>
          <w:kern w:val="22"/>
          <w:szCs w:val="22"/>
          <w:lang w:val="fr-FR"/>
        </w:rPr>
        <w:t>nt les grandes réalisations souhaitables des Parties. Ces buts sont organisés selon des « d</w:t>
      </w:r>
      <w:r>
        <w:rPr>
          <w:kern w:val="22"/>
          <w:szCs w:val="22"/>
          <w:lang w:val="fr-FR"/>
        </w:rPr>
        <w:t>omaines de mise en œuvre » et des « conditions</w:t>
      </w:r>
      <w:r w:rsidR="0072606D" w:rsidRPr="00423DFA">
        <w:rPr>
          <w:kern w:val="22"/>
          <w:szCs w:val="22"/>
          <w:lang w:val="fr-FR"/>
        </w:rPr>
        <w:t xml:space="preserve"> favorable</w:t>
      </w:r>
      <w:r>
        <w:rPr>
          <w:kern w:val="22"/>
          <w:szCs w:val="22"/>
          <w:lang w:val="fr-FR"/>
        </w:rPr>
        <w:t>s</w:t>
      </w:r>
      <w:r w:rsidR="0072606D" w:rsidRPr="00423DFA">
        <w:rPr>
          <w:kern w:val="22"/>
          <w:szCs w:val="22"/>
          <w:lang w:val="fr-FR"/>
        </w:rPr>
        <w:t xml:space="preserve"> ». </w:t>
      </w:r>
      <w:r w:rsidR="0072606D" w:rsidRPr="00423DFA">
        <w:rPr>
          <w:kern w:val="22"/>
          <w:szCs w:val="22"/>
          <w:lang w:val="fr-FR"/>
        </w:rPr>
        <w:lastRenderedPageBreak/>
        <w:t>Les « domaines de mise en œuvre » sont constitués de buts concernant des éléments clés pou</w:t>
      </w:r>
      <w:r>
        <w:rPr>
          <w:kern w:val="22"/>
          <w:szCs w:val="22"/>
          <w:lang w:val="fr-FR"/>
        </w:rPr>
        <w:t>r l’application du Protocole. Les « conditions</w:t>
      </w:r>
      <w:r w:rsidR="0072606D" w:rsidRPr="00423DFA">
        <w:rPr>
          <w:kern w:val="22"/>
          <w:szCs w:val="22"/>
          <w:lang w:val="fr-FR"/>
        </w:rPr>
        <w:t xml:space="preserve"> favorable</w:t>
      </w:r>
      <w:r>
        <w:rPr>
          <w:kern w:val="22"/>
          <w:szCs w:val="22"/>
          <w:lang w:val="fr-FR"/>
        </w:rPr>
        <w:t>s » comprennent</w:t>
      </w:r>
      <w:r w:rsidR="0072606D" w:rsidRPr="00423DFA">
        <w:rPr>
          <w:kern w:val="22"/>
          <w:szCs w:val="22"/>
          <w:lang w:val="fr-FR"/>
        </w:rPr>
        <w:t xml:space="preserve"> des buts transversaux liés à l’ap</w:t>
      </w:r>
      <w:r>
        <w:rPr>
          <w:kern w:val="22"/>
          <w:szCs w:val="22"/>
          <w:lang w:val="fr-FR"/>
        </w:rPr>
        <w:t xml:space="preserve">pui à la mise en œuvre, à savoir, </w:t>
      </w:r>
      <w:r w:rsidR="0072606D" w:rsidRPr="00423DFA">
        <w:rPr>
          <w:kern w:val="22"/>
          <w:szCs w:val="22"/>
          <w:lang w:val="fr-FR"/>
        </w:rPr>
        <w:t>le renforcement des capacités, la mobilisation des ress</w:t>
      </w:r>
      <w:r>
        <w:rPr>
          <w:kern w:val="22"/>
          <w:szCs w:val="22"/>
          <w:lang w:val="fr-FR"/>
        </w:rPr>
        <w:t>ources, la coopération, et</w:t>
      </w:r>
      <w:r w:rsidR="0072606D" w:rsidRPr="00423DFA">
        <w:rPr>
          <w:kern w:val="22"/>
          <w:szCs w:val="22"/>
          <w:lang w:val="fr-FR"/>
        </w:rPr>
        <w:t xml:space="preserve"> la sensibilisation, l’éducation et la part</w:t>
      </w:r>
      <w:r>
        <w:rPr>
          <w:kern w:val="22"/>
          <w:szCs w:val="22"/>
          <w:lang w:val="fr-FR"/>
        </w:rPr>
        <w:t>icipation du public. Les buts énoncés dans les « conditions</w:t>
      </w:r>
      <w:r w:rsidR="0072606D" w:rsidRPr="00423DFA">
        <w:rPr>
          <w:kern w:val="22"/>
          <w:szCs w:val="22"/>
          <w:lang w:val="fr-FR"/>
        </w:rPr>
        <w:t xml:space="preserve"> favorable</w:t>
      </w:r>
      <w:r>
        <w:rPr>
          <w:kern w:val="22"/>
          <w:szCs w:val="22"/>
          <w:lang w:val="fr-FR"/>
        </w:rPr>
        <w:t>s</w:t>
      </w:r>
      <w:r w:rsidR="0072606D" w:rsidRPr="00423DFA">
        <w:rPr>
          <w:kern w:val="22"/>
          <w:szCs w:val="22"/>
          <w:lang w:val="fr-FR"/>
        </w:rPr>
        <w:t> » représentent des réalisations transversales qui bénéficient à divers buts liés à la mise en œuvre et peuvent être lus conjointement avec les buts liés aux « domaines de mise en œuvre</w:t>
      </w:r>
      <w:r>
        <w:rPr>
          <w:kern w:val="22"/>
          <w:szCs w:val="22"/>
          <w:lang w:val="fr-FR"/>
        </w:rPr>
        <w:t> ». Chaque but inclut</w:t>
      </w:r>
      <w:r w:rsidR="0072606D" w:rsidRPr="00423DFA">
        <w:rPr>
          <w:kern w:val="22"/>
          <w:szCs w:val="22"/>
          <w:lang w:val="fr-FR"/>
        </w:rPr>
        <w:t xml:space="preserve"> des objectifs, des résultats et des indicateurs</w:t>
      </w:r>
      <w:r>
        <w:rPr>
          <w:kern w:val="22"/>
          <w:szCs w:val="22"/>
          <w:lang w:val="fr-FR"/>
        </w:rPr>
        <w:t xml:space="preserve"> correspondants</w:t>
      </w:r>
      <w:r w:rsidR="0072606D" w:rsidRPr="00423DFA">
        <w:rPr>
          <w:kern w:val="22"/>
          <w:szCs w:val="22"/>
          <w:lang w:val="fr-FR"/>
        </w:rPr>
        <w:t>.</w:t>
      </w:r>
    </w:p>
    <w:p w14:paraId="2B1BC57F" w14:textId="77777777" w:rsidR="0072606D" w:rsidRPr="00423DFA" w:rsidRDefault="0072606D" w:rsidP="0072606D">
      <w:pPr>
        <w:numPr>
          <w:ilvl w:val="0"/>
          <w:numId w:val="19"/>
        </w:numPr>
        <w:spacing w:before="120" w:after="120"/>
        <w:ind w:left="0" w:firstLine="0"/>
        <w:rPr>
          <w:kern w:val="22"/>
          <w:szCs w:val="22"/>
        </w:rPr>
      </w:pPr>
      <w:r w:rsidRPr="00423DFA">
        <w:rPr>
          <w:kern w:val="22"/>
          <w:szCs w:val="22"/>
          <w:lang w:val="fr-FR"/>
        </w:rPr>
        <w:t xml:space="preserve">Les </w:t>
      </w:r>
      <w:r w:rsidRPr="00423DFA">
        <w:rPr>
          <w:bCs/>
          <w:kern w:val="22"/>
          <w:szCs w:val="22"/>
          <w:lang w:val="fr-FR"/>
        </w:rPr>
        <w:t>objectifs</w:t>
      </w:r>
      <w:r w:rsidRPr="00423DFA">
        <w:rPr>
          <w:kern w:val="22"/>
          <w:szCs w:val="22"/>
          <w:lang w:val="fr-FR"/>
        </w:rPr>
        <w:t xml:space="preserve"> décrivent les principales réalisations nécessaires pour atteindre le but auquel ils se rapportent. Ils ne visent pas à fournir une liste exhaustive des réalisations pouvant être pertinentes pour atteindre le but. Ils suivent les dispositions du Protocole, y compris les obligations et autres dispositions, ainsi que les orientations fournies par les décisions de la Conférence des Parties siégeant en tant que réunion des Parties au Protocole. La plupart des buts comprennent plusieurs objectifs.</w:t>
      </w:r>
    </w:p>
    <w:p w14:paraId="6374644A" w14:textId="5F637956" w:rsidR="0072606D" w:rsidRPr="00423DFA" w:rsidRDefault="0072606D" w:rsidP="0072606D">
      <w:pPr>
        <w:numPr>
          <w:ilvl w:val="0"/>
          <w:numId w:val="19"/>
        </w:numPr>
        <w:spacing w:before="120" w:after="120"/>
        <w:ind w:left="0" w:firstLine="0"/>
        <w:rPr>
          <w:kern w:val="22"/>
          <w:szCs w:val="22"/>
          <w:lang w:val="fr-FR"/>
        </w:rPr>
      </w:pPr>
      <w:r w:rsidRPr="00423DFA">
        <w:rPr>
          <w:kern w:val="22"/>
          <w:szCs w:val="22"/>
          <w:lang w:val="fr-FR"/>
        </w:rPr>
        <w:t xml:space="preserve">Les </w:t>
      </w:r>
      <w:r w:rsidRPr="00423DFA">
        <w:rPr>
          <w:bCs/>
          <w:kern w:val="22"/>
          <w:szCs w:val="22"/>
          <w:lang w:val="fr-FR"/>
        </w:rPr>
        <w:t>indicateurs</w:t>
      </w:r>
      <w:r w:rsidRPr="00423DFA">
        <w:rPr>
          <w:kern w:val="22"/>
          <w:szCs w:val="22"/>
          <w:lang w:val="fr-FR"/>
        </w:rPr>
        <w:t xml:space="preserve"> sont conçus pour mesurer les progrès a</w:t>
      </w:r>
      <w:r w:rsidR="00422075">
        <w:rPr>
          <w:kern w:val="22"/>
          <w:szCs w:val="22"/>
          <w:lang w:val="fr-FR"/>
        </w:rPr>
        <w:t>ccomplis dans la réalisation des</w:t>
      </w:r>
      <w:r w:rsidRPr="00423DFA">
        <w:rPr>
          <w:kern w:val="22"/>
          <w:szCs w:val="22"/>
          <w:lang w:val="fr-FR"/>
        </w:rPr>
        <w:t xml:space="preserve"> objectifs. Les indicateurs se veulent simples, mesurables et pertinents par rapport à l’objectif correspondant.</w:t>
      </w:r>
    </w:p>
    <w:p w14:paraId="03384BD8" w14:textId="295688AA" w:rsidR="0072606D" w:rsidRPr="00423DFA" w:rsidRDefault="0072606D" w:rsidP="0072606D">
      <w:pPr>
        <w:numPr>
          <w:ilvl w:val="0"/>
          <w:numId w:val="19"/>
        </w:numPr>
        <w:spacing w:before="120" w:after="120"/>
        <w:ind w:left="0" w:firstLine="0"/>
        <w:rPr>
          <w:kern w:val="22"/>
          <w:szCs w:val="22"/>
          <w:lang w:val="fr-FR"/>
        </w:rPr>
      </w:pPr>
      <w:r w:rsidRPr="00423DFA">
        <w:rPr>
          <w:kern w:val="22"/>
          <w:szCs w:val="22"/>
          <w:lang w:val="fr-FR"/>
        </w:rPr>
        <w:t xml:space="preserve">Les </w:t>
      </w:r>
      <w:r w:rsidRPr="00423DFA">
        <w:rPr>
          <w:bCs/>
          <w:kern w:val="22"/>
          <w:szCs w:val="22"/>
          <w:lang w:val="fr-FR"/>
        </w:rPr>
        <w:t>résultats</w:t>
      </w:r>
      <w:r w:rsidR="00422075">
        <w:rPr>
          <w:kern w:val="22"/>
          <w:szCs w:val="22"/>
          <w:lang w:val="fr-FR"/>
        </w:rPr>
        <w:t xml:space="preserve"> décriven</w:t>
      </w:r>
      <w:r w:rsidR="005A7933">
        <w:rPr>
          <w:kern w:val="22"/>
          <w:szCs w:val="22"/>
          <w:lang w:val="fr-FR"/>
        </w:rPr>
        <w:t>t l’effet de la réalisation de chaque</w:t>
      </w:r>
      <w:r w:rsidRPr="00423DFA">
        <w:rPr>
          <w:kern w:val="22"/>
          <w:szCs w:val="22"/>
          <w:lang w:val="fr-FR"/>
        </w:rPr>
        <w:t xml:space="preserve"> but.</w:t>
      </w:r>
    </w:p>
    <w:p w14:paraId="21C25298" w14:textId="65607D47" w:rsidR="0072606D" w:rsidRPr="00423DFA" w:rsidRDefault="0072606D" w:rsidP="0072606D">
      <w:pPr>
        <w:numPr>
          <w:ilvl w:val="0"/>
          <w:numId w:val="19"/>
        </w:numPr>
        <w:spacing w:before="120" w:after="120"/>
        <w:ind w:left="0" w:firstLine="0"/>
        <w:rPr>
          <w:kern w:val="22"/>
          <w:szCs w:val="22"/>
          <w:lang w:val="fr-FR"/>
        </w:rPr>
      </w:pPr>
      <w:r w:rsidRPr="00423DFA">
        <w:rPr>
          <w:kern w:val="22"/>
          <w:szCs w:val="22"/>
          <w:lang w:val="fr-FR" w:eastAsia="ja-JP"/>
        </w:rPr>
        <w:t xml:space="preserve">Le Protocole additionnel de Nagoya – Kuala Lumpur sur la responsabilité et la réparation a été adopté par la Conférence des Parties siégeant en tant que réunion des Parties au Protocole </w:t>
      </w:r>
      <w:r w:rsidR="00422075">
        <w:rPr>
          <w:kern w:val="22"/>
          <w:szCs w:val="22"/>
          <w:lang w:val="fr-FR" w:eastAsia="ja-JP"/>
        </w:rPr>
        <w:t xml:space="preserve">de Cartagena </w:t>
      </w:r>
      <w:r w:rsidRPr="00423DFA">
        <w:rPr>
          <w:kern w:val="22"/>
          <w:szCs w:val="22"/>
          <w:lang w:val="fr-FR" w:eastAsia="ja-JP"/>
        </w:rPr>
        <w:t>en 2010 (décision BS-V/11). Le Plan stratégique du Protocole</w:t>
      </w:r>
      <w:r w:rsidR="00422075">
        <w:rPr>
          <w:kern w:val="22"/>
          <w:szCs w:val="22"/>
          <w:lang w:val="fr-FR" w:eastAsia="ja-JP"/>
        </w:rPr>
        <w:t xml:space="preserve"> de Cartagena sur la prévention des risques biotechnologiques pour la période 2011-2020</w:t>
      </w:r>
      <w:r w:rsidRPr="00423DFA">
        <w:rPr>
          <w:kern w:val="22"/>
          <w:szCs w:val="22"/>
          <w:lang w:val="fr-FR" w:eastAsia="ja-JP"/>
        </w:rPr>
        <w:t>, égal</w:t>
      </w:r>
      <w:r w:rsidR="003B5A0C">
        <w:rPr>
          <w:kern w:val="22"/>
          <w:szCs w:val="22"/>
          <w:lang w:val="fr-FR" w:eastAsia="ja-JP"/>
        </w:rPr>
        <w:t>ement adopté en 2010, comprend</w:t>
      </w:r>
      <w:r w:rsidRPr="00423DFA">
        <w:rPr>
          <w:kern w:val="22"/>
          <w:szCs w:val="22"/>
          <w:lang w:val="fr-FR" w:eastAsia="ja-JP"/>
        </w:rPr>
        <w:t xml:space="preserve"> des éléments sur la responsabilité et la réparation et sur le Protocole additionnel. Le Protocole additionnel est entré en vigueur le 5 mars 2018.</w:t>
      </w:r>
    </w:p>
    <w:p w14:paraId="36E762BE" w14:textId="77777777" w:rsidR="0072606D" w:rsidRPr="00423DFA" w:rsidRDefault="0072606D" w:rsidP="0072606D">
      <w:pPr>
        <w:numPr>
          <w:ilvl w:val="0"/>
          <w:numId w:val="19"/>
        </w:numPr>
        <w:spacing w:before="120" w:after="120"/>
        <w:ind w:left="0" w:firstLine="0"/>
        <w:rPr>
          <w:rFonts w:eastAsia="MS Mincho"/>
          <w:kern w:val="22"/>
          <w:szCs w:val="22"/>
          <w:lang w:val="fr-FR" w:eastAsia="ja-JP"/>
        </w:rPr>
      </w:pPr>
      <w:r w:rsidRPr="00423DFA">
        <w:rPr>
          <w:kern w:val="22"/>
          <w:szCs w:val="22"/>
          <w:lang w:val="fr-FR"/>
        </w:rPr>
        <w:t>Un élément concernant le Protocole additionnel a été inclus dans l’appendice ci-dessous. L’inclusion de cet élément vise à soutenir l’application du Protocole de Cartagena et à contribuer à l’application effective du Protocole additionnel, tout en reconnaissant qu’il s’agit d’instruments juridiques distincts et que les obligations découlant de ces instruments ne lient les Parties qu’à l’instrument considéré.</w:t>
      </w:r>
    </w:p>
    <w:p w14:paraId="65C3F57A" w14:textId="77777777" w:rsidR="0072606D" w:rsidRPr="00423DFA" w:rsidRDefault="0072606D" w:rsidP="0072606D">
      <w:pPr>
        <w:pStyle w:val="Heading1"/>
        <w:rPr>
          <w:kern w:val="22"/>
          <w:szCs w:val="22"/>
        </w:rPr>
      </w:pPr>
      <w:r w:rsidRPr="00423DFA">
        <w:rPr>
          <w:bCs/>
          <w:kern w:val="22"/>
          <w:szCs w:val="22"/>
          <w:lang w:val="fr-FR"/>
        </w:rPr>
        <w:t>IV.</w:t>
      </w:r>
      <w:r w:rsidRPr="00423DFA">
        <w:rPr>
          <w:bCs/>
          <w:kern w:val="22"/>
          <w:szCs w:val="22"/>
          <w:lang w:val="fr-FR"/>
        </w:rPr>
        <w:tab/>
        <w:t>Évaluation et examen</w:t>
      </w:r>
    </w:p>
    <w:p w14:paraId="29AD3D16" w14:textId="0261E130" w:rsidR="0072606D" w:rsidRPr="00423DFA" w:rsidRDefault="0072606D" w:rsidP="0072606D">
      <w:pPr>
        <w:numPr>
          <w:ilvl w:val="0"/>
          <w:numId w:val="19"/>
        </w:numPr>
        <w:spacing w:before="120" w:after="120"/>
        <w:ind w:left="0" w:firstLine="0"/>
        <w:rPr>
          <w:kern w:val="22"/>
          <w:szCs w:val="22"/>
          <w:lang w:val="fr-FR"/>
        </w:rPr>
      </w:pPr>
      <w:r w:rsidRPr="00423DFA">
        <w:rPr>
          <w:kern w:val="22"/>
          <w:szCs w:val="22"/>
          <w:lang w:val="fr-FR"/>
        </w:rPr>
        <w:t>La Conférence des Parties siégeant en tant que réunion des Parties au Protocole de Cartagena entreprendra une évaluation à mi-parcours et pourra décider d’entrepr</w:t>
      </w:r>
      <w:r w:rsidR="003B5A0C">
        <w:rPr>
          <w:kern w:val="22"/>
          <w:szCs w:val="22"/>
          <w:lang w:val="fr-FR"/>
        </w:rPr>
        <w:t>endre une évaluation finale du P</w:t>
      </w:r>
      <w:r w:rsidRPr="00423DFA">
        <w:rPr>
          <w:kern w:val="22"/>
          <w:szCs w:val="22"/>
          <w:lang w:val="fr-FR"/>
        </w:rPr>
        <w:t xml:space="preserve">lan de mise en œuvre. Ces évaluations pourront s’appuyer sur des informations fournies par les Parties dans leurs rapports nationaux et sur des informations du Centre d’échange pour la prévention des risques biotechnologiques, entre autres. Ces informations pourront être utilisées pour évaluer dans </w:t>
      </w:r>
      <w:r w:rsidR="003B5A0C">
        <w:rPr>
          <w:kern w:val="22"/>
          <w:szCs w:val="22"/>
          <w:lang w:val="fr-FR"/>
        </w:rPr>
        <w:t>quelle mesure les objectifs du P</w:t>
      </w:r>
      <w:r w:rsidRPr="00423DFA">
        <w:rPr>
          <w:kern w:val="22"/>
          <w:szCs w:val="22"/>
          <w:lang w:val="fr-FR"/>
        </w:rPr>
        <w:t>la</w:t>
      </w:r>
      <w:r w:rsidR="003B5A0C">
        <w:rPr>
          <w:kern w:val="22"/>
          <w:szCs w:val="22"/>
          <w:lang w:val="fr-FR"/>
        </w:rPr>
        <w:t>n de mise en œuvre sont en voie d’être atteints</w:t>
      </w:r>
      <w:r w:rsidRPr="00423DFA">
        <w:rPr>
          <w:kern w:val="22"/>
          <w:szCs w:val="22"/>
          <w:lang w:val="fr-FR"/>
        </w:rPr>
        <w:t>.</w:t>
      </w:r>
    </w:p>
    <w:p w14:paraId="760D40D1" w14:textId="4F3D2525" w:rsidR="0072606D" w:rsidRPr="00423DFA" w:rsidRDefault="00F44684" w:rsidP="0072606D">
      <w:pPr>
        <w:numPr>
          <w:ilvl w:val="0"/>
          <w:numId w:val="19"/>
        </w:numPr>
        <w:spacing w:before="120" w:after="120"/>
        <w:ind w:left="0" w:firstLine="0"/>
        <w:rPr>
          <w:kern w:val="22"/>
          <w:szCs w:val="22"/>
          <w:lang w:val="fr-FR"/>
        </w:rPr>
      </w:pPr>
      <w:r>
        <w:rPr>
          <w:kern w:val="22"/>
          <w:szCs w:val="22"/>
          <w:lang w:val="fr-FR"/>
        </w:rPr>
        <w:t xml:space="preserve">Les résultats du </w:t>
      </w:r>
      <w:r w:rsidR="0072606D" w:rsidRPr="00423DFA">
        <w:rPr>
          <w:kern w:val="22"/>
          <w:szCs w:val="22"/>
          <w:lang w:val="fr-FR"/>
        </w:rPr>
        <w:t>quatrième exercice d’évaluation et d’examen de l’efficacité du Protocol</w:t>
      </w:r>
      <w:r>
        <w:rPr>
          <w:kern w:val="22"/>
          <w:szCs w:val="22"/>
          <w:lang w:val="fr-FR"/>
        </w:rPr>
        <w:t>e de Cartagena et l’évaluation f</w:t>
      </w:r>
      <w:r w:rsidR="0072606D" w:rsidRPr="00423DFA">
        <w:rPr>
          <w:kern w:val="22"/>
          <w:szCs w:val="22"/>
          <w:lang w:val="fr-FR"/>
        </w:rPr>
        <w:t xml:space="preserve">inale du Plan stratégique du Protocole de Cartagena </w:t>
      </w:r>
      <w:r w:rsidR="003B5A0C">
        <w:rPr>
          <w:kern w:val="22"/>
          <w:szCs w:val="22"/>
          <w:lang w:val="fr-FR"/>
        </w:rPr>
        <w:t xml:space="preserve">sur la prévention des risques biotechnologiques pour la période 2011-2020 </w:t>
      </w:r>
      <w:r w:rsidR="0072606D" w:rsidRPr="00423DFA">
        <w:rPr>
          <w:kern w:val="22"/>
          <w:szCs w:val="22"/>
          <w:lang w:val="fr-FR"/>
        </w:rPr>
        <w:t>seront utilisés pour établir une base de référence permettant de mesurer les progrès accomplis dans l</w:t>
      </w:r>
      <w:r w:rsidR="003B5A0C">
        <w:rPr>
          <w:kern w:val="22"/>
          <w:szCs w:val="22"/>
          <w:lang w:val="fr-FR"/>
        </w:rPr>
        <w:t>a réalisation des buts du P</w:t>
      </w:r>
      <w:r w:rsidR="0072606D" w:rsidRPr="00423DFA">
        <w:rPr>
          <w:kern w:val="22"/>
          <w:szCs w:val="22"/>
          <w:lang w:val="fr-FR"/>
        </w:rPr>
        <w:t>lan de mise en œuvre.</w:t>
      </w:r>
    </w:p>
    <w:p w14:paraId="757C8B3B" w14:textId="285BBBA0" w:rsidR="0072606D" w:rsidRPr="00423DFA" w:rsidRDefault="005A7933" w:rsidP="0072606D">
      <w:pPr>
        <w:pStyle w:val="Heading1"/>
        <w:numPr>
          <w:ilvl w:val="0"/>
          <w:numId w:val="20"/>
        </w:numPr>
        <w:tabs>
          <w:tab w:val="clear" w:pos="720"/>
        </w:tabs>
        <w:ind w:left="0" w:firstLine="0"/>
        <w:rPr>
          <w:kern w:val="22"/>
          <w:szCs w:val="22"/>
        </w:rPr>
      </w:pPr>
      <w:r>
        <w:rPr>
          <w:bCs/>
          <w:kern w:val="22"/>
          <w:szCs w:val="22"/>
          <w:lang w:val="fr-FR"/>
        </w:rPr>
        <w:t>PrioritÉ</w:t>
      </w:r>
      <w:r w:rsidR="0072606D" w:rsidRPr="00423DFA">
        <w:rPr>
          <w:bCs/>
          <w:kern w:val="22"/>
          <w:szCs w:val="22"/>
          <w:lang w:val="fr-FR"/>
        </w:rPr>
        <w:t>s et programmation</w:t>
      </w:r>
    </w:p>
    <w:p w14:paraId="45F659A2" w14:textId="0B15049F" w:rsidR="0072606D" w:rsidRPr="00423DFA" w:rsidRDefault="0072606D" w:rsidP="0072606D">
      <w:pPr>
        <w:pStyle w:val="ListParagraph"/>
        <w:numPr>
          <w:ilvl w:val="0"/>
          <w:numId w:val="19"/>
        </w:numPr>
        <w:spacing w:before="120" w:after="120"/>
        <w:ind w:left="0" w:firstLine="0"/>
        <w:rPr>
          <w:kern w:val="22"/>
          <w:szCs w:val="22"/>
          <w:lang w:val="fr-FR"/>
        </w:rPr>
      </w:pPr>
      <w:r w:rsidRPr="00423DFA">
        <w:rPr>
          <w:kern w:val="22"/>
          <w:szCs w:val="22"/>
          <w:lang w:val="fr-FR" w:eastAsia="ja-JP"/>
        </w:rPr>
        <w:t>La Conférence des Parties siégeant en tant que réunion des Parties au Protocole de Ca</w:t>
      </w:r>
      <w:r w:rsidR="003B5A0C">
        <w:rPr>
          <w:kern w:val="22"/>
          <w:szCs w:val="22"/>
          <w:lang w:val="fr-FR" w:eastAsia="ja-JP"/>
        </w:rPr>
        <w:t>rtagena peut périodiquement établi</w:t>
      </w:r>
      <w:r w:rsidRPr="00423DFA">
        <w:rPr>
          <w:kern w:val="22"/>
          <w:szCs w:val="22"/>
          <w:lang w:val="fr-FR" w:eastAsia="ja-JP"/>
        </w:rPr>
        <w:t>r des priorités pour la planification et la programmation des travaux à entreprendre</w:t>
      </w:r>
      <w:r w:rsidR="003B5A0C">
        <w:rPr>
          <w:kern w:val="22"/>
          <w:szCs w:val="22"/>
          <w:lang w:val="fr-FR" w:eastAsia="ja-JP"/>
        </w:rPr>
        <w:t xml:space="preserve"> dans les délais prévus par le P</w:t>
      </w:r>
      <w:r w:rsidRPr="00423DFA">
        <w:rPr>
          <w:kern w:val="22"/>
          <w:szCs w:val="22"/>
          <w:lang w:val="fr-FR" w:eastAsia="ja-JP"/>
        </w:rPr>
        <w:t xml:space="preserve">lan </w:t>
      </w:r>
      <w:r w:rsidR="003B5A0C">
        <w:rPr>
          <w:kern w:val="22"/>
          <w:szCs w:val="22"/>
          <w:lang w:val="fr-FR" w:eastAsia="ja-JP"/>
        </w:rPr>
        <w:t xml:space="preserve">de mise en œuvre. Ceci peut </w:t>
      </w:r>
      <w:r w:rsidRPr="00423DFA">
        <w:rPr>
          <w:kern w:val="22"/>
          <w:szCs w:val="22"/>
          <w:lang w:val="fr-FR" w:eastAsia="ja-JP"/>
        </w:rPr>
        <w:t>inclure l’identification d</w:t>
      </w:r>
      <w:r w:rsidR="003B5A0C">
        <w:rPr>
          <w:kern w:val="22"/>
          <w:szCs w:val="22"/>
          <w:lang w:val="fr-FR" w:eastAsia="ja-JP"/>
        </w:rPr>
        <w:t>’étapes conduisant à la réalisation des buts du P</w:t>
      </w:r>
      <w:r w:rsidRPr="00423DFA">
        <w:rPr>
          <w:kern w:val="22"/>
          <w:szCs w:val="22"/>
          <w:lang w:val="fr-FR" w:eastAsia="ja-JP"/>
        </w:rPr>
        <w:t>lan de mise en œuvre.</w:t>
      </w:r>
    </w:p>
    <w:p w14:paraId="16D977CB" w14:textId="3601C996" w:rsidR="0072606D" w:rsidRPr="00423DFA" w:rsidRDefault="0072606D" w:rsidP="0072606D">
      <w:pPr>
        <w:numPr>
          <w:ilvl w:val="0"/>
          <w:numId w:val="19"/>
        </w:numPr>
        <w:spacing w:before="120" w:after="120"/>
        <w:ind w:left="0" w:firstLine="0"/>
        <w:rPr>
          <w:kern w:val="22"/>
          <w:szCs w:val="22"/>
          <w:lang w:val="fr-FR"/>
        </w:rPr>
      </w:pPr>
      <w:r w:rsidRPr="00423DFA">
        <w:rPr>
          <w:kern w:val="22"/>
          <w:szCs w:val="22"/>
          <w:lang w:val="fr-FR"/>
        </w:rPr>
        <w:t>En décidant des priorités et de la programmation, la Conférence des Parties siégeant en tant que réunion des Parties au Protocole de Cartagena souhaitera peut-être prendre en considération les évolutions et les progrès dans le domaine de la prévention des risques biotechnologiques et de la b</w:t>
      </w:r>
      <w:r w:rsidR="003B5A0C">
        <w:rPr>
          <w:kern w:val="22"/>
          <w:szCs w:val="22"/>
          <w:lang w:val="fr-FR"/>
        </w:rPr>
        <w:t>iotechnologie. À cet égard, le P</w:t>
      </w:r>
      <w:r w:rsidRPr="00423DFA">
        <w:rPr>
          <w:kern w:val="22"/>
          <w:szCs w:val="22"/>
          <w:lang w:val="fr-FR"/>
        </w:rPr>
        <w:t xml:space="preserve">lan de mise en œuvre a adopté une approche selon laquelle les organismes développés grâce aux </w:t>
      </w:r>
      <w:r w:rsidRPr="00423DFA">
        <w:rPr>
          <w:kern w:val="22"/>
          <w:szCs w:val="22"/>
          <w:lang w:val="fr-FR"/>
        </w:rPr>
        <w:lastRenderedPageBreak/>
        <w:t>nouvelles technologies constituant des « organismes vivants modifiés »</w:t>
      </w:r>
      <w:r w:rsidR="003B5A0C">
        <w:rPr>
          <w:kern w:val="22"/>
          <w:szCs w:val="22"/>
          <w:lang w:val="fr-FR"/>
        </w:rPr>
        <w:t>,</w:t>
      </w:r>
      <w:r w:rsidRPr="00423DFA">
        <w:rPr>
          <w:kern w:val="22"/>
          <w:szCs w:val="22"/>
          <w:lang w:val="fr-FR"/>
        </w:rPr>
        <w:t xml:space="preserve"> tels que définis dans le </w:t>
      </w:r>
      <w:r w:rsidR="003B5A0C">
        <w:rPr>
          <w:kern w:val="22"/>
          <w:szCs w:val="22"/>
          <w:lang w:val="fr-FR"/>
        </w:rPr>
        <w:t>Protocole, sont couverts par le P</w:t>
      </w:r>
      <w:r w:rsidRPr="00423DFA">
        <w:rPr>
          <w:kern w:val="22"/>
          <w:szCs w:val="22"/>
          <w:lang w:val="fr-FR"/>
        </w:rPr>
        <w:t>lan</w:t>
      </w:r>
      <w:r w:rsidR="003B5A0C">
        <w:rPr>
          <w:kern w:val="22"/>
          <w:szCs w:val="22"/>
          <w:lang w:val="fr-FR"/>
        </w:rPr>
        <w:t xml:space="preserve"> de mise en œuvre</w:t>
      </w:r>
      <w:r w:rsidRPr="00423DFA">
        <w:rPr>
          <w:kern w:val="22"/>
          <w:szCs w:val="22"/>
          <w:lang w:val="fr-FR"/>
        </w:rPr>
        <w:t>.</w:t>
      </w:r>
    </w:p>
    <w:p w14:paraId="2FD5555A" w14:textId="77777777" w:rsidR="0072606D" w:rsidRPr="00423DFA" w:rsidRDefault="0072606D" w:rsidP="0072606D">
      <w:pPr>
        <w:pStyle w:val="Heading1"/>
        <w:numPr>
          <w:ilvl w:val="0"/>
          <w:numId w:val="21"/>
        </w:numPr>
        <w:tabs>
          <w:tab w:val="clear" w:pos="720"/>
        </w:tabs>
        <w:ind w:left="0" w:firstLine="0"/>
        <w:rPr>
          <w:kern w:val="22"/>
          <w:szCs w:val="22"/>
        </w:rPr>
      </w:pPr>
      <w:r w:rsidRPr="00423DFA">
        <w:rPr>
          <w:bCs/>
          <w:kern w:val="22"/>
          <w:szCs w:val="22"/>
          <w:lang w:val="fr-FR"/>
        </w:rPr>
        <w:t>Ressources</w:t>
      </w:r>
    </w:p>
    <w:p w14:paraId="263836C9" w14:textId="37049254" w:rsidR="0072606D" w:rsidRPr="00423DFA" w:rsidRDefault="0072606D" w:rsidP="0072606D">
      <w:pPr>
        <w:pStyle w:val="ListParagraph"/>
        <w:numPr>
          <w:ilvl w:val="0"/>
          <w:numId w:val="19"/>
        </w:numPr>
        <w:spacing w:before="120" w:after="120"/>
        <w:ind w:left="0" w:firstLine="0"/>
        <w:rPr>
          <w:kern w:val="22"/>
          <w:szCs w:val="22"/>
          <w:lang w:val="fr-FR"/>
        </w:rPr>
      </w:pPr>
      <w:r w:rsidRPr="00423DFA">
        <w:rPr>
          <w:kern w:val="22"/>
          <w:szCs w:val="22"/>
          <w:lang w:val="fr-FR"/>
        </w:rPr>
        <w:t>La réussite de la mise en œuvre du Protocole dépend dans une large mesure de l’accès à des ressources humaines, techniques et financières adéquates et à une coopération efficace, conformément aux articles 22 et 28 du Protocole</w:t>
      </w:r>
      <w:r w:rsidR="003B5A0C">
        <w:rPr>
          <w:kern w:val="22"/>
          <w:szCs w:val="22"/>
          <w:lang w:val="fr-FR"/>
        </w:rPr>
        <w:t>. Le P</w:t>
      </w:r>
      <w:r w:rsidRPr="00423DFA">
        <w:rPr>
          <w:kern w:val="22"/>
          <w:szCs w:val="22"/>
          <w:lang w:val="fr-FR"/>
        </w:rPr>
        <w:t>lan de mise en œuvre vise à soutenir les Parties à cet égard, en particulier dans le cadre des buts relatifs à la création d’un environnement favorable.</w:t>
      </w:r>
    </w:p>
    <w:p w14:paraId="559A95BC" w14:textId="57C06936" w:rsidR="0072606D" w:rsidRPr="00423DFA" w:rsidRDefault="005A7933" w:rsidP="0072606D">
      <w:pPr>
        <w:pStyle w:val="Heading1"/>
        <w:numPr>
          <w:ilvl w:val="0"/>
          <w:numId w:val="21"/>
        </w:numPr>
        <w:tabs>
          <w:tab w:val="clear" w:pos="720"/>
        </w:tabs>
        <w:ind w:left="567"/>
        <w:rPr>
          <w:kern w:val="22"/>
          <w:szCs w:val="22"/>
        </w:rPr>
      </w:pPr>
      <w:r>
        <w:rPr>
          <w:bCs/>
          <w:kern w:val="22"/>
          <w:szCs w:val="22"/>
          <w:lang w:val="fr-FR"/>
        </w:rPr>
        <w:t>Rôle du SecrÉ</w:t>
      </w:r>
      <w:r w:rsidR="0072606D" w:rsidRPr="00423DFA">
        <w:rPr>
          <w:bCs/>
          <w:kern w:val="22"/>
          <w:szCs w:val="22"/>
          <w:lang w:val="fr-FR"/>
        </w:rPr>
        <w:t>tariat</w:t>
      </w:r>
    </w:p>
    <w:p w14:paraId="266F2989" w14:textId="63B9AB30" w:rsidR="0072606D" w:rsidRPr="00423DFA" w:rsidRDefault="003B5A0C" w:rsidP="003B5A0C">
      <w:pPr>
        <w:spacing w:before="120" w:after="120"/>
        <w:rPr>
          <w:rFonts w:asciiTheme="majorBidi" w:hAnsiTheme="majorBidi" w:cstheme="majorBidi"/>
          <w:szCs w:val="22"/>
          <w:lang w:val="fr-CA"/>
        </w:rPr>
      </w:pPr>
      <w:r>
        <w:rPr>
          <w:kern w:val="22"/>
          <w:szCs w:val="22"/>
          <w:lang w:val="fr-FR"/>
        </w:rPr>
        <w:t>18.</w:t>
      </w:r>
      <w:r>
        <w:rPr>
          <w:kern w:val="22"/>
          <w:szCs w:val="22"/>
          <w:lang w:val="fr-FR"/>
        </w:rPr>
        <w:tab/>
        <w:t>Le P</w:t>
      </w:r>
      <w:r w:rsidR="0072606D" w:rsidRPr="00423DFA">
        <w:rPr>
          <w:kern w:val="22"/>
          <w:szCs w:val="22"/>
          <w:lang w:val="fr-FR"/>
        </w:rPr>
        <w:t>lan de mise en œuvre s’adressant principalement aux Parties, le Secrétariat de la Convention sur la diversité biologique soutiendra les Parties dans leurs efforts déployés pour appliquer le Protocole, conformément aux orientations de la Conférence des Parties siégeant en tant que réunion des Parties au Protocole de Cartagena et conformément à l’article 31 du Protocole de Cartagena et à l’article 24 de la Convention sur la diversité biologique. Ce soutien comprend la gestion et le maintien du Centre d’échange pour la prévention des risques biotechnologiques</w:t>
      </w:r>
      <w:r>
        <w:rPr>
          <w:kern w:val="22"/>
          <w:szCs w:val="22"/>
          <w:lang w:val="fr-FR"/>
        </w:rPr>
        <w:t>,</w:t>
      </w:r>
      <w:r w:rsidR="0072606D" w:rsidRPr="00423DFA">
        <w:rPr>
          <w:kern w:val="22"/>
          <w:szCs w:val="22"/>
          <w:lang w:val="fr-FR"/>
        </w:rPr>
        <w:t xml:space="preserve"> ainsi que la ré</w:t>
      </w:r>
      <w:r>
        <w:rPr>
          <w:kern w:val="22"/>
          <w:szCs w:val="22"/>
          <w:lang w:val="fr-FR"/>
        </w:rPr>
        <w:t xml:space="preserve">alisation d’activités, y compris </w:t>
      </w:r>
      <w:r w:rsidR="0072606D" w:rsidRPr="00423DFA">
        <w:rPr>
          <w:kern w:val="22"/>
          <w:szCs w:val="22"/>
          <w:lang w:val="fr-FR"/>
        </w:rPr>
        <w:t>des activités de renforcement des capacités, comme demandé par la Conférence des Parties siégeant en tant que réunion des Parties au Protocole</w:t>
      </w:r>
      <w:r w:rsidR="0072606D" w:rsidRPr="00423DFA">
        <w:rPr>
          <w:rFonts w:asciiTheme="majorBidi" w:hAnsiTheme="majorBidi" w:cstheme="majorBidi"/>
          <w:szCs w:val="22"/>
          <w:lang w:val="fr-CA"/>
        </w:rPr>
        <w:t xml:space="preserve">. </w:t>
      </w:r>
    </w:p>
    <w:p w14:paraId="11993740" w14:textId="77777777" w:rsidR="0072606D" w:rsidRPr="00423DFA" w:rsidRDefault="0072606D" w:rsidP="0072606D">
      <w:pPr>
        <w:shd w:val="clear" w:color="auto" w:fill="FFFFFF" w:themeFill="background1"/>
        <w:jc w:val="center"/>
        <w:rPr>
          <w:szCs w:val="22"/>
          <w:lang w:val="fr-CA"/>
        </w:rPr>
      </w:pPr>
    </w:p>
    <w:p w14:paraId="3DE95ADB" w14:textId="77777777" w:rsidR="0072606D" w:rsidRPr="00423DFA" w:rsidRDefault="0072606D" w:rsidP="0072606D">
      <w:pPr>
        <w:shd w:val="clear" w:color="auto" w:fill="FFFFFF" w:themeFill="background1"/>
        <w:jc w:val="center"/>
        <w:rPr>
          <w:szCs w:val="22"/>
          <w:lang w:val="fr-CA"/>
        </w:rPr>
        <w:sectPr w:rsidR="0072606D" w:rsidRPr="00423DFA" w:rsidSect="00F253CE">
          <w:headerReference w:type="even" r:id="rId15"/>
          <w:headerReference w:type="default" r:id="rId16"/>
          <w:footerReference w:type="even" r:id="rId17"/>
          <w:footerReference w:type="default" r:id="rId18"/>
          <w:headerReference w:type="first" r:id="rId19"/>
          <w:footerReference w:type="first" r:id="rId20"/>
          <w:pgSz w:w="12240" w:h="15840"/>
          <w:pgMar w:top="562" w:right="1382" w:bottom="1138" w:left="1382" w:header="706" w:footer="706" w:gutter="0"/>
          <w:cols w:space="708"/>
          <w:titlePg/>
          <w:docGrid w:linePitch="360"/>
        </w:sectPr>
      </w:pPr>
    </w:p>
    <w:p w14:paraId="3C4F5DC6" w14:textId="77777777" w:rsidR="0072606D" w:rsidRPr="00423DFA" w:rsidRDefault="0072606D" w:rsidP="0072606D">
      <w:pPr>
        <w:jc w:val="center"/>
        <w:rPr>
          <w:bCs/>
          <w:i/>
          <w:iCs/>
          <w:kern w:val="22"/>
          <w:szCs w:val="22"/>
          <w:lang w:val="fr-FR"/>
        </w:rPr>
      </w:pPr>
      <w:r w:rsidRPr="00423DFA">
        <w:rPr>
          <w:bCs/>
          <w:i/>
          <w:iCs/>
          <w:kern w:val="22"/>
          <w:szCs w:val="22"/>
          <w:lang w:val="fr-FR"/>
        </w:rPr>
        <w:lastRenderedPageBreak/>
        <w:t>Appendice</w:t>
      </w:r>
    </w:p>
    <w:p w14:paraId="4BCD4314" w14:textId="77777777" w:rsidR="0072606D" w:rsidRPr="00423DFA" w:rsidRDefault="0072606D" w:rsidP="0072606D">
      <w:pPr>
        <w:jc w:val="center"/>
        <w:rPr>
          <w:bCs/>
          <w:i/>
          <w:iCs/>
          <w:kern w:val="22"/>
          <w:szCs w:val="22"/>
          <w:lang w:val="fr-FR"/>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85"/>
        <w:gridCol w:w="3510"/>
        <w:gridCol w:w="2970"/>
      </w:tblGrid>
      <w:tr w:rsidR="0072606D" w:rsidRPr="00E8551B" w14:paraId="58414F9B" w14:textId="77777777" w:rsidTr="00DE74F9">
        <w:trPr>
          <w:tblHeader/>
          <w:jc w:val="center"/>
        </w:trPr>
        <w:tc>
          <w:tcPr>
            <w:tcW w:w="11065" w:type="dxa"/>
            <w:gridSpan w:val="4"/>
            <w:tcBorders>
              <w:bottom w:val="single" w:sz="4" w:space="0" w:color="auto"/>
            </w:tcBorders>
            <w:shd w:val="clear" w:color="auto" w:fill="auto"/>
          </w:tcPr>
          <w:p w14:paraId="1C93416A" w14:textId="3F7DEB1F" w:rsidR="0072606D" w:rsidRPr="00423DFA" w:rsidRDefault="0072606D" w:rsidP="00F253CE">
            <w:pPr>
              <w:suppressLineNumbers/>
              <w:suppressAutoHyphens/>
              <w:spacing w:before="60" w:after="60"/>
              <w:jc w:val="center"/>
              <w:rPr>
                <w:rFonts w:asciiTheme="majorBidi" w:eastAsia="MS Mincho" w:hAnsiTheme="majorBidi" w:cstheme="majorBidi"/>
                <w:b/>
                <w:bCs/>
                <w:kern w:val="22"/>
                <w:szCs w:val="22"/>
                <w:lang w:val="fr-CA"/>
              </w:rPr>
            </w:pPr>
            <w:r w:rsidRPr="00423DFA">
              <w:rPr>
                <w:b/>
                <w:bCs/>
                <w:kern w:val="22"/>
                <w:szCs w:val="22"/>
                <w:lang w:val="fr-FR"/>
              </w:rPr>
              <w:t>Plan de mise en œuvre</w:t>
            </w:r>
            <w:r w:rsidR="00F84F06">
              <w:rPr>
                <w:b/>
                <w:bCs/>
                <w:kern w:val="22"/>
                <w:szCs w:val="22"/>
                <w:lang w:val="fr-FR"/>
              </w:rPr>
              <w:t xml:space="preserve"> du Protocole de </w:t>
            </w:r>
            <w:r w:rsidR="00F84F06" w:rsidRPr="00F84F06">
              <w:rPr>
                <w:b/>
                <w:bCs/>
                <w:kern w:val="22"/>
                <w:szCs w:val="22"/>
                <w:lang w:val="fr-FR"/>
              </w:rPr>
              <w:t xml:space="preserve">Cartagena </w:t>
            </w:r>
            <w:r w:rsidR="00F84F06" w:rsidRPr="00F84F06">
              <w:rPr>
                <w:b/>
                <w:kern w:val="22"/>
                <w:szCs w:val="22"/>
                <w:lang w:val="fr-FR"/>
              </w:rPr>
              <w:t>sur la prévention des risques biotechnologiques</w:t>
            </w:r>
          </w:p>
        </w:tc>
      </w:tr>
      <w:tr w:rsidR="0072606D" w:rsidRPr="00423DFA" w14:paraId="1F090E90" w14:textId="77777777" w:rsidTr="00DE74F9">
        <w:trPr>
          <w:tblHeader/>
          <w:jc w:val="center"/>
        </w:trPr>
        <w:tc>
          <w:tcPr>
            <w:tcW w:w="1800" w:type="dxa"/>
            <w:tcBorders>
              <w:bottom w:val="nil"/>
            </w:tcBorders>
            <w:shd w:val="clear" w:color="auto" w:fill="auto"/>
          </w:tcPr>
          <w:p w14:paraId="5C97CDD1" w14:textId="77777777" w:rsidR="0072606D" w:rsidRPr="00423DFA" w:rsidRDefault="0072606D" w:rsidP="00F253CE">
            <w:pPr>
              <w:suppressLineNumbers/>
              <w:suppressAutoHyphens/>
              <w:spacing w:before="60" w:after="60"/>
              <w:jc w:val="center"/>
              <w:rPr>
                <w:rFonts w:asciiTheme="majorBidi" w:eastAsia="MS Mincho" w:hAnsiTheme="majorBidi" w:cstheme="majorBidi"/>
                <w:bCs/>
                <w:kern w:val="22"/>
                <w:szCs w:val="22"/>
              </w:rPr>
            </w:pPr>
            <w:r w:rsidRPr="00423DFA">
              <w:rPr>
                <w:b/>
                <w:bCs/>
                <w:kern w:val="22"/>
                <w:szCs w:val="22"/>
                <w:lang w:val="fr-FR"/>
              </w:rPr>
              <w:t>Buts</w:t>
            </w:r>
          </w:p>
        </w:tc>
        <w:tc>
          <w:tcPr>
            <w:tcW w:w="2785" w:type="dxa"/>
            <w:tcBorders>
              <w:bottom w:val="nil"/>
            </w:tcBorders>
            <w:shd w:val="clear" w:color="auto" w:fill="auto"/>
          </w:tcPr>
          <w:p w14:paraId="46BFA2F7" w14:textId="77777777" w:rsidR="0072606D" w:rsidRPr="00423DFA" w:rsidRDefault="0072606D" w:rsidP="00F253CE">
            <w:pPr>
              <w:suppressLineNumbers/>
              <w:suppressAutoHyphens/>
              <w:spacing w:before="60" w:after="60"/>
              <w:jc w:val="center"/>
              <w:rPr>
                <w:rFonts w:asciiTheme="majorBidi" w:eastAsia="MS Mincho" w:hAnsiTheme="majorBidi" w:cstheme="majorBidi"/>
                <w:b/>
                <w:iCs/>
                <w:kern w:val="22"/>
                <w:szCs w:val="22"/>
              </w:rPr>
            </w:pPr>
            <w:r w:rsidRPr="00423DFA">
              <w:rPr>
                <w:b/>
                <w:bCs/>
                <w:kern w:val="22"/>
                <w:szCs w:val="22"/>
                <w:lang w:val="fr-FR"/>
              </w:rPr>
              <w:t>Objectifs</w:t>
            </w:r>
          </w:p>
        </w:tc>
        <w:tc>
          <w:tcPr>
            <w:tcW w:w="3510" w:type="dxa"/>
            <w:tcBorders>
              <w:bottom w:val="nil"/>
            </w:tcBorders>
            <w:shd w:val="clear" w:color="auto" w:fill="auto"/>
          </w:tcPr>
          <w:p w14:paraId="40DBC7FB" w14:textId="77777777" w:rsidR="0072606D" w:rsidRPr="00423DFA" w:rsidRDefault="0072606D" w:rsidP="00F253CE">
            <w:pPr>
              <w:suppressLineNumbers/>
              <w:suppressAutoHyphens/>
              <w:spacing w:before="60" w:after="60"/>
              <w:jc w:val="center"/>
              <w:rPr>
                <w:rFonts w:asciiTheme="majorBidi" w:eastAsia="MS Mincho" w:hAnsiTheme="majorBidi" w:cstheme="majorBidi"/>
                <w:b/>
                <w:iCs/>
                <w:kern w:val="22"/>
                <w:szCs w:val="22"/>
              </w:rPr>
            </w:pPr>
            <w:r w:rsidRPr="00423DFA">
              <w:rPr>
                <w:b/>
                <w:bCs/>
                <w:kern w:val="22"/>
                <w:szCs w:val="22"/>
                <w:lang w:val="fr-FR"/>
              </w:rPr>
              <w:t>Indicateurs</w:t>
            </w:r>
          </w:p>
        </w:tc>
        <w:tc>
          <w:tcPr>
            <w:tcW w:w="2970" w:type="dxa"/>
            <w:tcBorders>
              <w:bottom w:val="nil"/>
            </w:tcBorders>
            <w:shd w:val="clear" w:color="auto" w:fill="auto"/>
          </w:tcPr>
          <w:p w14:paraId="4A93B163" w14:textId="77777777" w:rsidR="0072606D" w:rsidRPr="00423DFA" w:rsidRDefault="0072606D" w:rsidP="00F253CE">
            <w:pPr>
              <w:suppressLineNumbers/>
              <w:suppressAutoHyphens/>
              <w:spacing w:before="60" w:after="60"/>
              <w:jc w:val="center"/>
              <w:rPr>
                <w:rFonts w:asciiTheme="majorBidi" w:eastAsia="MS Mincho" w:hAnsiTheme="majorBidi" w:cstheme="majorBidi"/>
                <w:b/>
                <w:bCs/>
                <w:kern w:val="22"/>
                <w:szCs w:val="22"/>
              </w:rPr>
            </w:pPr>
            <w:r w:rsidRPr="00423DFA">
              <w:rPr>
                <w:b/>
                <w:bCs/>
                <w:kern w:val="22"/>
                <w:szCs w:val="22"/>
                <w:lang w:val="fr-FR"/>
              </w:rPr>
              <w:t>Résultats</w:t>
            </w:r>
          </w:p>
        </w:tc>
      </w:tr>
      <w:tr w:rsidR="0072606D" w:rsidRPr="00E8551B" w14:paraId="5B05388A" w14:textId="77777777" w:rsidTr="00DE74F9">
        <w:trPr>
          <w:jc w:val="center"/>
        </w:trPr>
        <w:tc>
          <w:tcPr>
            <w:tcW w:w="1800" w:type="dxa"/>
            <w:tcBorders>
              <w:top w:val="nil"/>
              <w:bottom w:val="single" w:sz="2" w:space="0" w:color="auto"/>
            </w:tcBorders>
            <w:shd w:val="clear" w:color="auto" w:fill="auto"/>
          </w:tcPr>
          <w:p w14:paraId="39807DDC" w14:textId="77777777" w:rsidR="0072606D" w:rsidRPr="00423DFA" w:rsidRDefault="0072606D" w:rsidP="00F253CE">
            <w:pPr>
              <w:suppressLineNumbers/>
              <w:suppressAutoHyphens/>
              <w:spacing w:before="60" w:after="60"/>
              <w:jc w:val="center"/>
              <w:rPr>
                <w:rFonts w:asciiTheme="majorBidi" w:eastAsia="MS Mincho" w:hAnsiTheme="majorBidi" w:cstheme="majorBidi"/>
                <w:kern w:val="22"/>
                <w:szCs w:val="22"/>
              </w:rPr>
            </w:pPr>
            <w:r w:rsidRPr="00423DFA">
              <w:rPr>
                <w:i/>
                <w:iCs/>
                <w:kern w:val="22"/>
                <w:szCs w:val="22"/>
                <w:lang w:val="fr-FR"/>
              </w:rPr>
              <w:t>(Réalisations souhaitables)</w:t>
            </w:r>
          </w:p>
        </w:tc>
        <w:tc>
          <w:tcPr>
            <w:tcW w:w="2785" w:type="dxa"/>
            <w:tcBorders>
              <w:top w:val="nil"/>
              <w:bottom w:val="single" w:sz="2" w:space="0" w:color="auto"/>
            </w:tcBorders>
          </w:tcPr>
          <w:p w14:paraId="116928B5" w14:textId="39B00ABF" w:rsidR="0072606D" w:rsidRPr="00423DFA" w:rsidRDefault="005A7933" w:rsidP="00F253CE">
            <w:pPr>
              <w:suppressLineNumbers/>
              <w:suppressAutoHyphens/>
              <w:spacing w:before="60" w:after="60"/>
              <w:jc w:val="center"/>
              <w:rPr>
                <w:rFonts w:asciiTheme="majorBidi" w:eastAsia="MS Mincho" w:hAnsiTheme="majorBidi" w:cstheme="majorBidi"/>
                <w:iCs/>
                <w:kern w:val="22"/>
                <w:szCs w:val="22"/>
                <w:lang w:val="fr-CA"/>
              </w:rPr>
            </w:pPr>
            <w:r>
              <w:rPr>
                <w:i/>
                <w:iCs/>
                <w:kern w:val="22"/>
                <w:szCs w:val="22"/>
                <w:lang w:val="fr-FR"/>
              </w:rPr>
              <w:t>(Ce qui doit être accompli pour atteindre le but</w:t>
            </w:r>
            <w:r w:rsidR="0072606D" w:rsidRPr="00423DFA">
              <w:rPr>
                <w:i/>
                <w:iCs/>
                <w:kern w:val="22"/>
                <w:szCs w:val="22"/>
                <w:lang w:val="fr-FR"/>
              </w:rPr>
              <w:t>)</w:t>
            </w:r>
          </w:p>
        </w:tc>
        <w:tc>
          <w:tcPr>
            <w:tcW w:w="3510" w:type="dxa"/>
            <w:tcBorders>
              <w:top w:val="nil"/>
              <w:bottom w:val="single" w:sz="2" w:space="0" w:color="auto"/>
            </w:tcBorders>
            <w:shd w:val="clear" w:color="auto" w:fill="auto"/>
          </w:tcPr>
          <w:p w14:paraId="0A4B5BAF" w14:textId="03538797" w:rsidR="0072606D" w:rsidRPr="00423DFA" w:rsidRDefault="005A7933" w:rsidP="00F253CE">
            <w:pPr>
              <w:suppressLineNumbers/>
              <w:suppressAutoHyphens/>
              <w:spacing w:before="60" w:after="60"/>
              <w:jc w:val="center"/>
              <w:rPr>
                <w:rFonts w:asciiTheme="majorBidi" w:eastAsia="MS Mincho" w:hAnsiTheme="majorBidi" w:cstheme="majorBidi"/>
                <w:iCs/>
                <w:kern w:val="22"/>
                <w:szCs w:val="22"/>
                <w:lang w:val="fr-CA"/>
              </w:rPr>
            </w:pPr>
            <w:r>
              <w:rPr>
                <w:i/>
                <w:iCs/>
                <w:kern w:val="22"/>
                <w:szCs w:val="22"/>
                <w:lang w:val="fr-FR"/>
              </w:rPr>
              <w:t>(Mesure l</w:t>
            </w:r>
            <w:r w:rsidR="0072606D" w:rsidRPr="00423DFA">
              <w:rPr>
                <w:i/>
                <w:iCs/>
                <w:kern w:val="22"/>
                <w:szCs w:val="22"/>
                <w:lang w:val="fr-FR"/>
              </w:rPr>
              <w:t>es progrès</w:t>
            </w:r>
            <w:r>
              <w:rPr>
                <w:i/>
                <w:iCs/>
                <w:kern w:val="22"/>
                <w:szCs w:val="22"/>
                <w:lang w:val="fr-FR"/>
              </w:rPr>
              <w:t xml:space="preserve"> accomplis</w:t>
            </w:r>
            <w:r w:rsidR="00C422DD">
              <w:rPr>
                <w:i/>
                <w:iCs/>
                <w:kern w:val="22"/>
                <w:szCs w:val="22"/>
                <w:lang w:val="fr-FR"/>
              </w:rPr>
              <w:t xml:space="preserve"> dans la réalisation d</w:t>
            </w:r>
            <w:r>
              <w:rPr>
                <w:i/>
                <w:iCs/>
                <w:kern w:val="22"/>
                <w:szCs w:val="22"/>
                <w:lang w:val="fr-FR"/>
              </w:rPr>
              <w:t xml:space="preserve">es </w:t>
            </w:r>
            <w:r w:rsidR="0072606D" w:rsidRPr="00423DFA">
              <w:rPr>
                <w:i/>
                <w:iCs/>
                <w:kern w:val="22"/>
                <w:szCs w:val="22"/>
                <w:lang w:val="fr-FR"/>
              </w:rPr>
              <w:t>objectif</w:t>
            </w:r>
            <w:r>
              <w:rPr>
                <w:i/>
                <w:iCs/>
                <w:kern w:val="22"/>
                <w:szCs w:val="22"/>
                <w:lang w:val="fr-FR"/>
              </w:rPr>
              <w:t>s</w:t>
            </w:r>
            <w:r w:rsidR="0072606D" w:rsidRPr="00423DFA">
              <w:rPr>
                <w:i/>
                <w:iCs/>
                <w:kern w:val="22"/>
                <w:szCs w:val="22"/>
                <w:lang w:val="fr-FR"/>
              </w:rPr>
              <w:t>)</w:t>
            </w:r>
          </w:p>
        </w:tc>
        <w:tc>
          <w:tcPr>
            <w:tcW w:w="2970" w:type="dxa"/>
            <w:tcBorders>
              <w:top w:val="nil"/>
              <w:bottom w:val="single" w:sz="2" w:space="0" w:color="auto"/>
            </w:tcBorders>
            <w:shd w:val="clear" w:color="auto" w:fill="auto"/>
          </w:tcPr>
          <w:p w14:paraId="0808F755" w14:textId="733CF1AF" w:rsidR="0072606D" w:rsidRPr="00423DFA" w:rsidRDefault="005A7933" w:rsidP="00F253CE">
            <w:pPr>
              <w:suppressLineNumbers/>
              <w:suppressAutoHyphens/>
              <w:spacing w:before="60" w:after="60"/>
              <w:jc w:val="center"/>
              <w:rPr>
                <w:rFonts w:asciiTheme="majorBidi" w:eastAsia="MS Mincho" w:hAnsiTheme="majorBidi" w:cstheme="majorBidi"/>
                <w:kern w:val="22"/>
                <w:szCs w:val="22"/>
                <w:lang w:val="fr-CA"/>
              </w:rPr>
            </w:pPr>
            <w:r>
              <w:rPr>
                <w:i/>
                <w:iCs/>
                <w:kern w:val="22"/>
                <w:szCs w:val="22"/>
                <w:lang w:val="fr-FR"/>
              </w:rPr>
              <w:t>(Effet de la réalisation du but</w:t>
            </w:r>
            <w:r w:rsidR="0072606D" w:rsidRPr="00423DFA">
              <w:rPr>
                <w:i/>
                <w:iCs/>
                <w:kern w:val="22"/>
                <w:szCs w:val="22"/>
                <w:lang w:val="fr-FR"/>
              </w:rPr>
              <w:t>)</w:t>
            </w:r>
          </w:p>
        </w:tc>
      </w:tr>
      <w:tr w:rsidR="0072606D" w:rsidRPr="00E8551B" w14:paraId="0E339315" w14:textId="77777777" w:rsidTr="00DE74F9">
        <w:trPr>
          <w:jc w:val="center"/>
        </w:trPr>
        <w:tc>
          <w:tcPr>
            <w:tcW w:w="11065" w:type="dxa"/>
            <w:gridSpan w:val="4"/>
            <w:tcBorders>
              <w:top w:val="single" w:sz="2" w:space="0" w:color="auto"/>
              <w:bottom w:val="single" w:sz="2" w:space="0" w:color="auto"/>
            </w:tcBorders>
            <w:shd w:val="clear" w:color="auto" w:fill="auto"/>
          </w:tcPr>
          <w:p w14:paraId="7256FCF7" w14:textId="77777777" w:rsidR="0072606D" w:rsidRPr="0072606D" w:rsidRDefault="0072606D" w:rsidP="0072606D">
            <w:pPr>
              <w:pStyle w:val="ListParagraph"/>
              <w:numPr>
                <w:ilvl w:val="0"/>
                <w:numId w:val="22"/>
              </w:numPr>
              <w:suppressLineNumbers/>
              <w:suppressAutoHyphens/>
              <w:spacing w:before="60" w:after="60"/>
              <w:jc w:val="center"/>
              <w:rPr>
                <w:rFonts w:asciiTheme="majorBidi" w:eastAsia="MS Mincho" w:hAnsiTheme="majorBidi" w:cstheme="majorBidi"/>
                <w:b/>
                <w:bCs/>
                <w:kern w:val="22"/>
                <w:szCs w:val="22"/>
                <w:lang w:val="fr-FR"/>
              </w:rPr>
            </w:pPr>
            <w:r w:rsidRPr="0072606D">
              <w:rPr>
                <w:rFonts w:asciiTheme="majorBidi" w:eastAsia="MS Mincho" w:hAnsiTheme="majorBidi" w:cstheme="majorBidi"/>
                <w:b/>
                <w:bCs/>
                <w:kern w:val="22"/>
                <w:szCs w:val="22"/>
                <w:lang w:val="fr-FR"/>
              </w:rPr>
              <w:t>Domaines de mise en œuvre</w:t>
            </w:r>
          </w:p>
        </w:tc>
      </w:tr>
      <w:tr w:rsidR="0072606D" w:rsidRPr="00E8551B" w14:paraId="093D4ED7" w14:textId="77777777" w:rsidTr="00DE74F9">
        <w:trPr>
          <w:jc w:val="center"/>
        </w:trPr>
        <w:tc>
          <w:tcPr>
            <w:tcW w:w="1800" w:type="dxa"/>
            <w:tcBorders>
              <w:top w:val="single" w:sz="2" w:space="0" w:color="auto"/>
              <w:bottom w:val="single" w:sz="4" w:space="0" w:color="auto"/>
            </w:tcBorders>
            <w:shd w:val="clear" w:color="auto" w:fill="auto"/>
          </w:tcPr>
          <w:p w14:paraId="6B9E5023" w14:textId="0410AFDA" w:rsidR="0072606D" w:rsidRPr="0072606D" w:rsidRDefault="0072606D" w:rsidP="00F253CE">
            <w:pPr>
              <w:jc w:val="left"/>
              <w:rPr>
                <w:rFonts w:eastAsia="MS Mincho"/>
                <w:b/>
                <w:kern w:val="22"/>
                <w:szCs w:val="22"/>
                <w:lang w:val="fr-FR"/>
              </w:rPr>
            </w:pPr>
            <w:r w:rsidRPr="0072606D">
              <w:rPr>
                <w:b/>
                <w:bCs/>
                <w:kern w:val="22"/>
                <w:szCs w:val="22"/>
                <w:lang w:val="fr-FR"/>
              </w:rPr>
              <w:t xml:space="preserve">A.1. Les Parties ont mis en place des cadres nationaux fonctionnels </w:t>
            </w:r>
            <w:r w:rsidR="005A7933">
              <w:rPr>
                <w:b/>
                <w:bCs/>
                <w:kern w:val="22"/>
                <w:szCs w:val="22"/>
                <w:lang w:val="fr-FR"/>
              </w:rPr>
              <w:t xml:space="preserve">en matière </w:t>
            </w:r>
            <w:r w:rsidRPr="0072606D">
              <w:rPr>
                <w:b/>
                <w:bCs/>
                <w:kern w:val="22"/>
                <w:szCs w:val="22"/>
                <w:lang w:val="fr-FR"/>
              </w:rPr>
              <w:t>de prévention</w:t>
            </w:r>
            <w:r w:rsidR="00F84F06">
              <w:rPr>
                <w:b/>
                <w:bCs/>
                <w:kern w:val="22"/>
                <w:szCs w:val="22"/>
                <w:lang w:val="fr-FR"/>
              </w:rPr>
              <w:t xml:space="preserve"> des risques biotechnologi-ques</w:t>
            </w:r>
          </w:p>
          <w:p w14:paraId="337541CE" w14:textId="77777777" w:rsidR="0072606D" w:rsidRPr="0072606D" w:rsidRDefault="0072606D" w:rsidP="00F253CE">
            <w:pPr>
              <w:suppressLineNumbers/>
              <w:suppressAutoHyphens/>
              <w:spacing w:before="60" w:after="60"/>
              <w:jc w:val="left"/>
              <w:rPr>
                <w:rFonts w:asciiTheme="majorBidi" w:eastAsia="MS Mincho" w:hAnsiTheme="majorBidi" w:cstheme="majorBidi"/>
                <w:b/>
                <w:bCs/>
                <w:kern w:val="22"/>
                <w:szCs w:val="22"/>
                <w:lang w:val="fr-CA"/>
              </w:rPr>
            </w:pPr>
          </w:p>
        </w:tc>
        <w:tc>
          <w:tcPr>
            <w:tcW w:w="2785" w:type="dxa"/>
            <w:tcBorders>
              <w:top w:val="single" w:sz="2" w:space="0" w:color="auto"/>
              <w:bottom w:val="single" w:sz="4" w:space="0" w:color="auto"/>
            </w:tcBorders>
          </w:tcPr>
          <w:p w14:paraId="346A55AD" w14:textId="4B12D773" w:rsidR="0072606D" w:rsidRPr="0072606D" w:rsidRDefault="0072606D" w:rsidP="00F253CE">
            <w:pPr>
              <w:spacing w:before="60" w:after="60"/>
              <w:jc w:val="left"/>
              <w:rPr>
                <w:rFonts w:eastAsia="MS Mincho"/>
                <w:kern w:val="22"/>
                <w:szCs w:val="22"/>
                <w:lang w:val="fr-FR"/>
              </w:rPr>
            </w:pPr>
            <w:r w:rsidRPr="0072606D">
              <w:rPr>
                <w:kern w:val="22"/>
                <w:szCs w:val="22"/>
                <w:lang w:val="fr-FR"/>
              </w:rPr>
              <w:t>A.1.1. Les Parties ont adopté et mis en œuvre des mesures j</w:t>
            </w:r>
            <w:r w:rsidR="005A7933">
              <w:rPr>
                <w:kern w:val="22"/>
                <w:szCs w:val="22"/>
                <w:lang w:val="fr-FR"/>
              </w:rPr>
              <w:t xml:space="preserve">uridiques, administratives et </w:t>
            </w:r>
            <w:r w:rsidRPr="0072606D">
              <w:rPr>
                <w:kern w:val="22"/>
                <w:szCs w:val="22"/>
                <w:lang w:val="fr-FR"/>
              </w:rPr>
              <w:t>autres mesures pour s’acquitter de leurs obligations au titre du Protocole;</w:t>
            </w:r>
          </w:p>
          <w:p w14:paraId="6E659F84" w14:textId="617FF26A" w:rsidR="0072606D" w:rsidRPr="0072606D" w:rsidRDefault="0072606D" w:rsidP="00F253CE">
            <w:pPr>
              <w:spacing w:before="60" w:after="60"/>
              <w:jc w:val="left"/>
              <w:rPr>
                <w:rFonts w:eastAsia="MS Mincho"/>
                <w:kern w:val="22"/>
                <w:szCs w:val="22"/>
                <w:lang w:val="fr-FR"/>
              </w:rPr>
            </w:pPr>
            <w:r w:rsidRPr="0072606D">
              <w:rPr>
                <w:kern w:val="22"/>
                <w:szCs w:val="22"/>
                <w:lang w:val="fr-FR"/>
              </w:rPr>
              <w:t>A.1.2. Les Parties ont désigné des autorités nationales compétentes et des correspondants nationaux pour le Protocole</w:t>
            </w:r>
            <w:r w:rsidR="005A7933">
              <w:rPr>
                <w:kern w:val="22"/>
                <w:szCs w:val="22"/>
                <w:lang w:val="fr-FR"/>
              </w:rPr>
              <w:t>,</w:t>
            </w:r>
            <w:r w:rsidRPr="0072606D">
              <w:rPr>
                <w:kern w:val="22"/>
                <w:szCs w:val="22"/>
                <w:lang w:val="fr-FR"/>
              </w:rPr>
              <w:t xml:space="preserve"> ainsi qu’un point de contact pour les mesures d’urgence (article 17)</w:t>
            </w:r>
            <w:r w:rsidR="00F84F06">
              <w:rPr>
                <w:kern w:val="22"/>
                <w:szCs w:val="22"/>
                <w:lang w:val="fr-FR"/>
              </w:rPr>
              <w:t>;</w:t>
            </w:r>
          </w:p>
          <w:p w14:paraId="4BA58AB5" w14:textId="77777777" w:rsidR="0072606D" w:rsidRPr="0072606D" w:rsidRDefault="0072606D" w:rsidP="00F253CE">
            <w:pPr>
              <w:suppressLineNumbers/>
              <w:suppressAutoHyphens/>
              <w:spacing w:before="60" w:after="60"/>
              <w:jc w:val="left"/>
              <w:rPr>
                <w:rFonts w:asciiTheme="majorBidi" w:eastAsia="MS Mincho" w:hAnsiTheme="majorBidi" w:cstheme="majorBidi"/>
                <w:spacing w:val="-2"/>
                <w:kern w:val="22"/>
                <w:szCs w:val="22"/>
                <w:lang w:val="fr-CA"/>
              </w:rPr>
            </w:pPr>
            <w:r w:rsidRPr="0072606D">
              <w:rPr>
                <w:kern w:val="22"/>
                <w:szCs w:val="22"/>
                <w:lang w:val="fr-FR"/>
              </w:rPr>
              <w:t>A.1.3. Les autorités nationales compétentes disposent d’un personnel correctement formé pour mener à bien leurs tâches.</w:t>
            </w:r>
          </w:p>
        </w:tc>
        <w:tc>
          <w:tcPr>
            <w:tcW w:w="3510" w:type="dxa"/>
            <w:tcBorders>
              <w:top w:val="single" w:sz="2" w:space="0" w:color="auto"/>
              <w:bottom w:val="single" w:sz="4" w:space="0" w:color="auto"/>
            </w:tcBorders>
            <w:shd w:val="clear" w:color="auto" w:fill="auto"/>
          </w:tcPr>
          <w:p w14:paraId="28C7100E" w14:textId="3205E20E" w:rsidR="0072606D" w:rsidRPr="0072606D" w:rsidRDefault="0072606D" w:rsidP="00F253CE">
            <w:pPr>
              <w:spacing w:before="60" w:after="60"/>
              <w:jc w:val="left"/>
              <w:rPr>
                <w:rFonts w:eastAsia="MS Mincho"/>
                <w:kern w:val="22"/>
                <w:szCs w:val="22"/>
                <w:lang w:val="fr-FR"/>
              </w:rPr>
            </w:pPr>
            <w:r w:rsidRPr="0072606D">
              <w:rPr>
                <w:kern w:val="22"/>
                <w:szCs w:val="22"/>
                <w:lang w:val="fr-FR"/>
              </w:rPr>
              <w:t>a) Pourcentage de Parties ayant mis en place des mesures pour appliquer les dispositions du Protocole</w:t>
            </w:r>
            <w:r w:rsidR="00F84F06">
              <w:rPr>
                <w:kern w:val="22"/>
                <w:szCs w:val="22"/>
                <w:lang w:val="fr-FR"/>
              </w:rPr>
              <w:t>;</w:t>
            </w:r>
          </w:p>
          <w:p w14:paraId="77BFBBCE" w14:textId="601D3EA5" w:rsidR="0072606D" w:rsidRPr="0072606D" w:rsidRDefault="0072606D" w:rsidP="00F253CE">
            <w:pPr>
              <w:jc w:val="left"/>
              <w:rPr>
                <w:rFonts w:eastAsia="MS Mincho"/>
                <w:kern w:val="22"/>
                <w:szCs w:val="22"/>
                <w:lang w:val="fr-FR"/>
              </w:rPr>
            </w:pPr>
            <w:r w:rsidRPr="0072606D">
              <w:rPr>
                <w:kern w:val="22"/>
                <w:szCs w:val="22"/>
                <w:lang w:val="fr-FR"/>
              </w:rPr>
              <w:t>b) Pourcentage de Parties ayant désigné un correspondant national, des autorités nationales compétentes pour le Protocole, ainsi qu’un point de contact pour les mesures d’urgence (article 17), et en ont informé le Secrétariat</w:t>
            </w:r>
            <w:r w:rsidR="00F84F06">
              <w:rPr>
                <w:kern w:val="22"/>
                <w:szCs w:val="22"/>
                <w:lang w:val="fr-FR"/>
              </w:rPr>
              <w:t>;</w:t>
            </w:r>
          </w:p>
          <w:p w14:paraId="1194BC0F"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c) Pourcentage de Parties disposant d’un personnel qualifié pour rendre opérationnels leurs cadres nationaux de prévention des risques biotechnologiques.</w:t>
            </w:r>
          </w:p>
        </w:tc>
        <w:tc>
          <w:tcPr>
            <w:tcW w:w="2970" w:type="dxa"/>
            <w:tcBorders>
              <w:top w:val="single" w:sz="2" w:space="0" w:color="auto"/>
              <w:bottom w:val="single" w:sz="4" w:space="0" w:color="auto"/>
            </w:tcBorders>
            <w:shd w:val="clear" w:color="auto" w:fill="auto"/>
          </w:tcPr>
          <w:p w14:paraId="11FF466C"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Des cadres nationaux fonctionnels de prévention des risques biotechnologiques permettent aux autorités compétentes, aux correspondants nationaux et aux points de contact de l’article 17 de toutes les Parties de s’acquitter effectivement et efficacement de leurs obligations au titre du Protocole.</w:t>
            </w:r>
          </w:p>
        </w:tc>
      </w:tr>
      <w:tr w:rsidR="0072606D" w:rsidRPr="00E8551B" w14:paraId="1ED5D5A9" w14:textId="77777777" w:rsidTr="00DE74F9">
        <w:trPr>
          <w:jc w:val="center"/>
        </w:trPr>
        <w:tc>
          <w:tcPr>
            <w:tcW w:w="1800" w:type="dxa"/>
            <w:tcBorders>
              <w:top w:val="single" w:sz="4" w:space="0" w:color="auto"/>
            </w:tcBorders>
            <w:shd w:val="clear" w:color="auto" w:fill="auto"/>
          </w:tcPr>
          <w:p w14:paraId="10064B07" w14:textId="708DE9C7"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t xml:space="preserve">A.2. Les Parties ont amélioré la disponibilité et l’échange d’informations pertinentes par l’intermédiaire du </w:t>
            </w:r>
            <w:r w:rsidR="00F84F06">
              <w:rPr>
                <w:b/>
                <w:bCs/>
                <w:kern w:val="22"/>
                <w:szCs w:val="22"/>
                <w:lang w:val="fr-FR"/>
              </w:rPr>
              <w:t>Centre d’échange pour la prévention des risques biotechnologi-ques (CEPRB)</w:t>
            </w:r>
          </w:p>
        </w:tc>
        <w:tc>
          <w:tcPr>
            <w:tcW w:w="2785" w:type="dxa"/>
            <w:tcBorders>
              <w:top w:val="single" w:sz="4" w:space="0" w:color="auto"/>
            </w:tcBorders>
          </w:tcPr>
          <w:p w14:paraId="5C78F281" w14:textId="5CE2EDDE" w:rsidR="0072606D" w:rsidRPr="0072606D" w:rsidRDefault="0072606D" w:rsidP="00F253CE">
            <w:pPr>
              <w:spacing w:before="60" w:after="60"/>
              <w:jc w:val="left"/>
              <w:rPr>
                <w:rFonts w:eastAsia="MS Mincho"/>
                <w:kern w:val="22"/>
                <w:szCs w:val="22"/>
                <w:lang w:val="fr-FR"/>
              </w:rPr>
            </w:pPr>
            <w:r w:rsidRPr="0072606D">
              <w:rPr>
                <w:kern w:val="22"/>
                <w:szCs w:val="22"/>
                <w:lang w:val="fr-FR"/>
              </w:rPr>
              <w:t>A.2.1. Les Parties fournissent des informations obligatoires exactes et complètes au CEPRB, conformément à leurs obligations au titre du Protocole</w:t>
            </w:r>
            <w:r w:rsidR="00F84F06">
              <w:rPr>
                <w:kern w:val="22"/>
                <w:szCs w:val="22"/>
                <w:lang w:val="fr-FR"/>
              </w:rPr>
              <w:t>;</w:t>
            </w:r>
          </w:p>
          <w:p w14:paraId="26FC2A16"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A.2.2. Les Parties publient tous types d’informations non obligatoires relatives à la prévention des risques biotechnologiques par l’intermédiaire du CEPRB.</w:t>
            </w:r>
          </w:p>
        </w:tc>
        <w:tc>
          <w:tcPr>
            <w:tcW w:w="3510" w:type="dxa"/>
            <w:tcBorders>
              <w:top w:val="single" w:sz="4" w:space="0" w:color="auto"/>
            </w:tcBorders>
            <w:shd w:val="clear" w:color="auto" w:fill="auto"/>
          </w:tcPr>
          <w:p w14:paraId="32E7650F" w14:textId="204547E2" w:rsidR="0072606D" w:rsidRPr="0072606D" w:rsidRDefault="0072606D" w:rsidP="00F253CE">
            <w:pPr>
              <w:spacing w:before="60" w:after="60"/>
              <w:jc w:val="left"/>
              <w:rPr>
                <w:rFonts w:eastAsia="MS Mincho"/>
                <w:kern w:val="22"/>
                <w:szCs w:val="22"/>
                <w:lang w:val="fr-FR"/>
              </w:rPr>
            </w:pPr>
            <w:r w:rsidRPr="0072606D">
              <w:rPr>
                <w:kern w:val="22"/>
                <w:szCs w:val="22"/>
                <w:lang w:val="fr-FR"/>
              </w:rPr>
              <w:t>a) Pourcentage de Parties mettant les informations obligatoires à la disposition du CEPRB</w:t>
            </w:r>
            <w:r w:rsidR="00F84F06">
              <w:rPr>
                <w:kern w:val="22"/>
                <w:szCs w:val="22"/>
                <w:lang w:val="fr-FR"/>
              </w:rPr>
              <w:t>;</w:t>
            </w:r>
          </w:p>
          <w:p w14:paraId="721CCCD5" w14:textId="5AC4FB87" w:rsidR="0072606D" w:rsidRPr="0072606D" w:rsidRDefault="0072606D" w:rsidP="00F253CE">
            <w:pPr>
              <w:jc w:val="left"/>
              <w:rPr>
                <w:rFonts w:eastAsia="MS Mincho"/>
                <w:kern w:val="22"/>
                <w:szCs w:val="22"/>
                <w:lang w:val="fr-FR"/>
              </w:rPr>
            </w:pPr>
            <w:r w:rsidRPr="0072606D">
              <w:rPr>
                <w:kern w:val="22"/>
                <w:szCs w:val="22"/>
                <w:lang w:val="fr-FR"/>
              </w:rPr>
              <w:t>b) Pourcentage de Parties publiant des informations non obligatoires relatives à la prévention des risques biotechnologiques par l’intermédiaire du CEPRB</w:t>
            </w:r>
            <w:r w:rsidR="00F84F06">
              <w:rPr>
                <w:kern w:val="22"/>
                <w:szCs w:val="22"/>
                <w:lang w:val="fr-FR"/>
              </w:rPr>
              <w:t>;</w:t>
            </w:r>
          </w:p>
          <w:p w14:paraId="55EB0628" w14:textId="5A98336E" w:rsidR="0072606D" w:rsidRPr="0072606D" w:rsidRDefault="0072606D" w:rsidP="00F253CE">
            <w:pPr>
              <w:suppressLineNumbers/>
              <w:suppressAutoHyphens/>
              <w:spacing w:before="60" w:after="60"/>
              <w:jc w:val="left"/>
              <w:rPr>
                <w:kern w:val="22"/>
                <w:szCs w:val="22"/>
                <w:lang w:val="fr-FR"/>
              </w:rPr>
            </w:pPr>
            <w:r w:rsidRPr="0072606D">
              <w:rPr>
                <w:kern w:val="22"/>
                <w:szCs w:val="22"/>
                <w:lang w:val="fr-FR"/>
              </w:rPr>
              <w:t>c) Nombre d’utilisateurs actifs et de visites du CEPRB</w:t>
            </w:r>
            <w:r w:rsidR="00F84F06">
              <w:rPr>
                <w:kern w:val="22"/>
                <w:szCs w:val="22"/>
                <w:lang w:val="fr-FR"/>
              </w:rPr>
              <w:t>;</w:t>
            </w:r>
          </w:p>
          <w:p w14:paraId="34581342" w14:textId="7F9F2504" w:rsidR="0072606D" w:rsidRPr="0072606D" w:rsidRDefault="00E35FF0" w:rsidP="00F253CE">
            <w:pPr>
              <w:suppressLineNumbers/>
              <w:suppressAutoHyphens/>
              <w:spacing w:before="60" w:after="60"/>
              <w:jc w:val="left"/>
              <w:rPr>
                <w:rFonts w:asciiTheme="majorBidi" w:eastAsia="MS Mincho" w:hAnsiTheme="majorBidi" w:cstheme="majorBidi"/>
                <w:kern w:val="22"/>
                <w:szCs w:val="22"/>
                <w:lang w:val="fr-CA"/>
              </w:rPr>
            </w:pPr>
            <w:r>
              <w:rPr>
                <w:kern w:val="22"/>
                <w:szCs w:val="22"/>
                <w:lang w:val="fr-FR"/>
              </w:rPr>
              <w:t>d) Pourcentage de décisions dans le</w:t>
            </w:r>
            <w:r w:rsidR="0072606D" w:rsidRPr="0072606D">
              <w:rPr>
                <w:kern w:val="22"/>
                <w:szCs w:val="22"/>
                <w:lang w:val="fr-FR"/>
              </w:rPr>
              <w:t xml:space="preserve"> CEPRB auquel sont associés des rapports d’évaluation des risques.</w:t>
            </w:r>
          </w:p>
        </w:tc>
        <w:tc>
          <w:tcPr>
            <w:tcW w:w="2970" w:type="dxa"/>
            <w:tcBorders>
              <w:top w:val="single" w:sz="4" w:space="0" w:color="auto"/>
            </w:tcBorders>
            <w:shd w:val="clear" w:color="auto" w:fill="auto"/>
          </w:tcPr>
          <w:p w14:paraId="31E7A5F1"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Le CEPRB facilite la disponibilité et l’échange d’informations relatives à la prévention des risques biotechnologiques et permet aux Parties de prendre des décisions éclairées.</w:t>
            </w:r>
          </w:p>
        </w:tc>
      </w:tr>
      <w:tr w:rsidR="0072606D" w:rsidRPr="00E8551B" w14:paraId="35385366" w14:textId="77777777" w:rsidTr="00DE74F9">
        <w:trPr>
          <w:jc w:val="center"/>
        </w:trPr>
        <w:tc>
          <w:tcPr>
            <w:tcW w:w="1800" w:type="dxa"/>
            <w:tcBorders>
              <w:top w:val="single" w:sz="4" w:space="0" w:color="auto"/>
            </w:tcBorders>
            <w:shd w:val="clear" w:color="auto" w:fill="auto"/>
          </w:tcPr>
          <w:p w14:paraId="0C727656" w14:textId="3A24CE05"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t xml:space="preserve">A.3. Des informations complètes sur la mise en œuvre du Protocole sont mises à disposition par </w:t>
            </w:r>
            <w:r w:rsidR="00F253CE">
              <w:rPr>
                <w:b/>
                <w:bCs/>
                <w:kern w:val="22"/>
                <w:szCs w:val="22"/>
                <w:lang w:val="fr-FR"/>
              </w:rPr>
              <w:lastRenderedPageBreak/>
              <w:t>les Parties en temps opportun</w:t>
            </w:r>
          </w:p>
        </w:tc>
        <w:tc>
          <w:tcPr>
            <w:tcW w:w="2785" w:type="dxa"/>
            <w:tcBorders>
              <w:top w:val="single" w:sz="4" w:space="0" w:color="auto"/>
            </w:tcBorders>
          </w:tcPr>
          <w:p w14:paraId="1E326EBA"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lastRenderedPageBreak/>
              <w:t>A.3.1. Les Parties remettent des rapports nationaux complets dans les délais impartis.</w:t>
            </w:r>
          </w:p>
        </w:tc>
        <w:tc>
          <w:tcPr>
            <w:tcW w:w="3510" w:type="dxa"/>
            <w:tcBorders>
              <w:top w:val="single" w:sz="4" w:space="0" w:color="auto"/>
            </w:tcBorders>
            <w:shd w:val="clear" w:color="auto" w:fill="auto"/>
          </w:tcPr>
          <w:p w14:paraId="0FCE92DD" w14:textId="5D8F7F83" w:rsidR="0072606D" w:rsidRPr="0072606D" w:rsidRDefault="0072606D" w:rsidP="00F253CE">
            <w:pPr>
              <w:spacing w:before="60" w:after="60"/>
              <w:jc w:val="left"/>
              <w:rPr>
                <w:rFonts w:eastAsia="MS Mincho"/>
                <w:kern w:val="22"/>
                <w:szCs w:val="22"/>
                <w:lang w:val="fr-FR"/>
              </w:rPr>
            </w:pPr>
            <w:r w:rsidRPr="0072606D">
              <w:rPr>
                <w:kern w:val="22"/>
                <w:szCs w:val="22"/>
                <w:lang w:val="fr-FR"/>
              </w:rPr>
              <w:t>a) Pourcentage de Parties ayant remis un rapport national complet dans les délais impartis</w:t>
            </w:r>
            <w:r w:rsidR="00F84F06">
              <w:rPr>
                <w:kern w:val="22"/>
                <w:szCs w:val="22"/>
                <w:lang w:val="fr-FR"/>
              </w:rPr>
              <w:t>;</w:t>
            </w:r>
          </w:p>
          <w:p w14:paraId="02E4F218" w14:textId="4693122D"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b) Pourcentage de Parties admissibles ay</w:t>
            </w:r>
            <w:r w:rsidR="00F84F06">
              <w:rPr>
                <w:kern w:val="22"/>
                <w:szCs w:val="22"/>
                <w:lang w:val="fr-FR"/>
              </w:rPr>
              <w:t>ant obtenu un financement du Fonds mondial pour l’environnement pour</w:t>
            </w:r>
            <w:r w:rsidRPr="0072606D">
              <w:rPr>
                <w:kern w:val="22"/>
                <w:szCs w:val="22"/>
                <w:lang w:val="fr-FR"/>
              </w:rPr>
              <w:t xml:space="preserve"> la préparation </w:t>
            </w:r>
            <w:r w:rsidRPr="0072606D">
              <w:rPr>
                <w:kern w:val="22"/>
                <w:szCs w:val="22"/>
                <w:lang w:val="fr-FR"/>
              </w:rPr>
              <w:lastRenderedPageBreak/>
              <w:t>de leur rapport national en temps opportun.</w:t>
            </w:r>
          </w:p>
        </w:tc>
        <w:tc>
          <w:tcPr>
            <w:tcW w:w="2970" w:type="dxa"/>
            <w:tcBorders>
              <w:top w:val="single" w:sz="4" w:space="0" w:color="auto"/>
            </w:tcBorders>
            <w:shd w:val="clear" w:color="auto" w:fill="auto"/>
          </w:tcPr>
          <w:p w14:paraId="242832F9"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lastRenderedPageBreak/>
              <w:t xml:space="preserve">Des informations précises et en temps opportun sur l’application du Protocole permettent à la Conférence des Parties siégeant en tant que réunion des Parties au Protocole de fixer des priorités </w:t>
            </w:r>
            <w:r w:rsidRPr="0072606D">
              <w:rPr>
                <w:kern w:val="22"/>
                <w:szCs w:val="22"/>
                <w:lang w:val="fr-FR"/>
              </w:rPr>
              <w:lastRenderedPageBreak/>
              <w:t>et d’identifier les domaines dans lesquels un soutien est nécessaire.</w:t>
            </w:r>
          </w:p>
        </w:tc>
      </w:tr>
      <w:tr w:rsidR="0072606D" w:rsidRPr="00E8551B" w14:paraId="04053030" w14:textId="77777777" w:rsidTr="00DE74F9">
        <w:trPr>
          <w:jc w:val="center"/>
        </w:trPr>
        <w:tc>
          <w:tcPr>
            <w:tcW w:w="1800" w:type="dxa"/>
            <w:shd w:val="clear" w:color="auto" w:fill="auto"/>
          </w:tcPr>
          <w:p w14:paraId="4CE451D6" w14:textId="77A8DEA2" w:rsidR="0072606D" w:rsidRPr="0072606D" w:rsidRDefault="0072606D" w:rsidP="00F253CE">
            <w:pPr>
              <w:suppressLineNumbers/>
              <w:suppressAutoHyphens/>
              <w:spacing w:before="60" w:after="60"/>
              <w:jc w:val="left"/>
              <w:rPr>
                <w:rFonts w:asciiTheme="majorBidi" w:eastAsia="MS Mincho" w:hAnsiTheme="majorBidi" w:cstheme="majorBidi"/>
                <w:b/>
                <w:bCs/>
                <w:kern w:val="22"/>
                <w:szCs w:val="22"/>
                <w:lang w:val="fr-CA"/>
              </w:rPr>
            </w:pPr>
            <w:r w:rsidRPr="0072606D">
              <w:rPr>
                <w:b/>
                <w:bCs/>
                <w:kern w:val="22"/>
                <w:szCs w:val="22"/>
                <w:lang w:val="fr-FR"/>
              </w:rPr>
              <w:lastRenderedPageBreak/>
              <w:t>A.4. Les Parties se confor</w:t>
            </w:r>
            <w:r w:rsidR="00F253CE">
              <w:rPr>
                <w:b/>
                <w:bCs/>
                <w:kern w:val="22"/>
                <w:szCs w:val="22"/>
                <w:lang w:val="fr-FR"/>
              </w:rPr>
              <w:t>ment aux exigences du Protocole</w:t>
            </w:r>
          </w:p>
        </w:tc>
        <w:tc>
          <w:tcPr>
            <w:tcW w:w="2785" w:type="dxa"/>
          </w:tcPr>
          <w:p w14:paraId="6E245A27" w14:textId="70B08716" w:rsidR="0072606D" w:rsidRPr="0072606D" w:rsidRDefault="0072606D" w:rsidP="00F253CE">
            <w:pPr>
              <w:spacing w:before="60" w:after="60"/>
              <w:jc w:val="left"/>
              <w:rPr>
                <w:rFonts w:eastAsia="MS Mincho"/>
                <w:kern w:val="22"/>
                <w:szCs w:val="22"/>
                <w:lang w:val="fr-FR"/>
              </w:rPr>
            </w:pPr>
            <w:r w:rsidRPr="0072606D">
              <w:rPr>
                <w:kern w:val="22"/>
                <w:szCs w:val="22"/>
                <w:lang w:val="fr-FR"/>
              </w:rPr>
              <w:t>A.4.1. Les Parties s’acquittent de leurs obligations au titre du Protocole</w:t>
            </w:r>
            <w:r w:rsidR="00F84F06">
              <w:rPr>
                <w:kern w:val="22"/>
                <w:szCs w:val="22"/>
                <w:lang w:val="fr-FR"/>
              </w:rPr>
              <w:t>;</w:t>
            </w:r>
          </w:p>
          <w:p w14:paraId="03A37B17"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A.4.2. Les Parties résolvent les problèmes de non-respect identifiés par le Comité chargé du respect des obligations au titre du Protocole.</w:t>
            </w:r>
          </w:p>
        </w:tc>
        <w:tc>
          <w:tcPr>
            <w:tcW w:w="3510" w:type="dxa"/>
            <w:shd w:val="clear" w:color="auto" w:fill="auto"/>
          </w:tcPr>
          <w:p w14:paraId="31B5CAA4" w14:textId="6011A791" w:rsidR="0072606D" w:rsidRPr="0072606D" w:rsidRDefault="0072606D" w:rsidP="00F253CE">
            <w:pPr>
              <w:spacing w:before="60" w:after="60"/>
              <w:jc w:val="left"/>
              <w:rPr>
                <w:rFonts w:eastAsia="MS Mincho"/>
                <w:bCs/>
                <w:kern w:val="22"/>
                <w:szCs w:val="22"/>
                <w:lang w:val="fr-FR"/>
              </w:rPr>
            </w:pPr>
            <w:r w:rsidRPr="0072606D">
              <w:rPr>
                <w:bCs/>
                <w:kern w:val="22"/>
                <w:szCs w:val="22"/>
                <w:lang w:val="fr-FR"/>
              </w:rPr>
              <w:t>a) Pourcentage de Parties ayant respecté leurs obligations au titre du Protocole</w:t>
            </w:r>
            <w:r w:rsidR="00F84F06">
              <w:rPr>
                <w:bCs/>
                <w:kern w:val="22"/>
                <w:szCs w:val="22"/>
                <w:lang w:val="fr-FR"/>
              </w:rPr>
              <w:t>;</w:t>
            </w:r>
          </w:p>
          <w:p w14:paraId="262BD2A4" w14:textId="3EDEDD12"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bCs/>
                <w:kern w:val="22"/>
                <w:szCs w:val="22"/>
                <w:lang w:val="fr-FR"/>
              </w:rPr>
              <w:t>b) Pourcentage de Parties ayant résolu les problèmes de non-respect identifiés par le Comité chargé du respect des obligations au titre du Protocole.</w:t>
            </w:r>
          </w:p>
        </w:tc>
        <w:tc>
          <w:tcPr>
            <w:tcW w:w="2970" w:type="dxa"/>
            <w:shd w:val="clear" w:color="auto" w:fill="auto"/>
          </w:tcPr>
          <w:p w14:paraId="7A3CA7FB"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Un mécanisme de respect efficace favorise l’application du Protocole.</w:t>
            </w:r>
          </w:p>
        </w:tc>
      </w:tr>
      <w:tr w:rsidR="0072606D" w:rsidRPr="00E8551B" w14:paraId="57684B3D" w14:textId="77777777" w:rsidTr="00DE74F9">
        <w:trPr>
          <w:jc w:val="center"/>
        </w:trPr>
        <w:tc>
          <w:tcPr>
            <w:tcW w:w="1800" w:type="dxa"/>
            <w:shd w:val="clear" w:color="auto" w:fill="auto"/>
          </w:tcPr>
          <w:p w14:paraId="56165968" w14:textId="401355AE" w:rsidR="0072606D" w:rsidRPr="0072606D" w:rsidRDefault="0072606D" w:rsidP="00F253CE">
            <w:pPr>
              <w:suppressLineNumbers/>
              <w:suppressAutoHyphens/>
              <w:spacing w:before="60" w:after="60"/>
              <w:jc w:val="left"/>
              <w:rPr>
                <w:rFonts w:asciiTheme="majorBidi" w:eastAsia="MS Mincho" w:hAnsiTheme="majorBidi" w:cstheme="majorBidi"/>
                <w:b/>
                <w:bCs/>
                <w:kern w:val="22"/>
                <w:szCs w:val="22"/>
                <w:lang w:val="fr-CA"/>
              </w:rPr>
            </w:pPr>
            <w:r w:rsidRPr="0072606D">
              <w:rPr>
                <w:b/>
                <w:bCs/>
                <w:kern w:val="22"/>
                <w:szCs w:val="22"/>
                <w:lang w:val="fr-FR"/>
              </w:rPr>
              <w:t xml:space="preserve">A.5. Les Parties procèdent à des évaluations scientifiquement fondées des risques relatifs aux </w:t>
            </w:r>
            <w:r w:rsidR="00F84F06">
              <w:rPr>
                <w:b/>
                <w:bCs/>
                <w:kern w:val="22"/>
                <w:szCs w:val="22"/>
                <w:lang w:val="fr-FR"/>
              </w:rPr>
              <w:t>organismes vivants modifiés (</w:t>
            </w:r>
            <w:r w:rsidRPr="0072606D">
              <w:rPr>
                <w:b/>
                <w:bCs/>
                <w:kern w:val="22"/>
                <w:szCs w:val="22"/>
                <w:lang w:val="fr-FR"/>
              </w:rPr>
              <w:t>OVM</w:t>
            </w:r>
            <w:r w:rsidR="00F84F06">
              <w:rPr>
                <w:b/>
                <w:bCs/>
                <w:kern w:val="22"/>
                <w:szCs w:val="22"/>
                <w:lang w:val="fr-FR"/>
              </w:rPr>
              <w:t>)</w:t>
            </w:r>
            <w:r w:rsidRPr="0072606D">
              <w:rPr>
                <w:b/>
                <w:bCs/>
                <w:kern w:val="22"/>
                <w:szCs w:val="22"/>
                <w:lang w:val="fr-FR"/>
              </w:rPr>
              <w:t>, et gèrent et contrôlent les risques identifiés pour prévenir les effets néfastes des OVM sur la conservation et l’utilisation durable de la diversité biologique, en tenant compte de</w:t>
            </w:r>
            <w:r w:rsidR="00F253CE">
              <w:rPr>
                <w:b/>
                <w:bCs/>
                <w:kern w:val="22"/>
                <w:szCs w:val="22"/>
                <w:lang w:val="fr-FR"/>
              </w:rPr>
              <w:t>s risques pour la santé humaine</w:t>
            </w:r>
          </w:p>
        </w:tc>
        <w:tc>
          <w:tcPr>
            <w:tcW w:w="2785" w:type="dxa"/>
          </w:tcPr>
          <w:p w14:paraId="3270DEEC" w14:textId="46C4ECFD" w:rsidR="0072606D" w:rsidRPr="0072606D" w:rsidRDefault="0072606D" w:rsidP="00F253CE">
            <w:pPr>
              <w:spacing w:before="60" w:after="60"/>
              <w:jc w:val="left"/>
              <w:rPr>
                <w:rFonts w:eastAsia="MS Mincho"/>
                <w:kern w:val="22"/>
                <w:szCs w:val="22"/>
                <w:lang w:val="fr-FR"/>
              </w:rPr>
            </w:pPr>
            <w:r w:rsidRPr="0072606D">
              <w:rPr>
                <w:kern w:val="22"/>
                <w:szCs w:val="22"/>
                <w:lang w:val="fr-FR"/>
              </w:rPr>
              <w:t>A.5.1. Les Parties appliquent des procédures scientifiquement fondées et appropriées pour l’évaluation des risques et la gestion des risques relatifs aux OV</w:t>
            </w:r>
            <w:r w:rsidR="00F84F06">
              <w:rPr>
                <w:kern w:val="22"/>
                <w:szCs w:val="22"/>
                <w:lang w:val="fr-FR"/>
              </w:rPr>
              <w:t>M, conformément à l’Annexe III a</w:t>
            </w:r>
            <w:r w:rsidRPr="0072606D">
              <w:rPr>
                <w:kern w:val="22"/>
                <w:szCs w:val="22"/>
                <w:lang w:val="fr-FR"/>
              </w:rPr>
              <w:t>u Protocole</w:t>
            </w:r>
            <w:r w:rsidR="00F84F06">
              <w:rPr>
                <w:kern w:val="22"/>
                <w:szCs w:val="22"/>
                <w:lang w:val="fr-FR"/>
              </w:rPr>
              <w:t>;</w:t>
            </w:r>
          </w:p>
          <w:p w14:paraId="2F24CC0B"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A.5.2. Les Parties élaborent (si nécessaire), ont accès et utilisent du matériel ressource approprié pour réaliser une évaluation et une gestion des risques scientifiquement fondées.</w:t>
            </w:r>
          </w:p>
        </w:tc>
        <w:tc>
          <w:tcPr>
            <w:tcW w:w="3510" w:type="dxa"/>
            <w:shd w:val="clear" w:color="auto" w:fill="auto"/>
          </w:tcPr>
          <w:p w14:paraId="31B48056" w14:textId="7E4A52B4" w:rsidR="0072606D" w:rsidRPr="0072606D" w:rsidRDefault="0072606D" w:rsidP="00F253CE">
            <w:pPr>
              <w:spacing w:beforeLines="40" w:before="96" w:afterLines="40" w:after="96"/>
              <w:jc w:val="left"/>
              <w:rPr>
                <w:kern w:val="22"/>
                <w:szCs w:val="22"/>
                <w:lang w:val="fr-FR"/>
              </w:rPr>
            </w:pPr>
            <w:r w:rsidRPr="0072606D">
              <w:rPr>
                <w:kern w:val="22"/>
                <w:szCs w:val="22"/>
                <w:lang w:val="fr-FR"/>
              </w:rPr>
              <w:t>a) Pourcentage de Parties ayant effectué une évaluation des risques pour la prise de décisions sur les OVM, lorsque le Protocole l’exige [y compris ceux [OVM] élaborés grâce à la biologie de synthèse et par forçage génétique]</w:t>
            </w:r>
            <w:r w:rsidR="00F84F06">
              <w:rPr>
                <w:kern w:val="22"/>
                <w:szCs w:val="22"/>
                <w:lang w:val="fr-FR"/>
              </w:rPr>
              <w:t>;</w:t>
            </w:r>
          </w:p>
          <w:p w14:paraId="74AC41E0" w14:textId="1E57FAF6" w:rsidR="0072606D" w:rsidRPr="0072606D" w:rsidRDefault="0072606D" w:rsidP="00F253CE">
            <w:pPr>
              <w:spacing w:beforeLines="40" w:before="96" w:afterLines="40" w:after="96"/>
              <w:jc w:val="left"/>
              <w:rPr>
                <w:kern w:val="22"/>
                <w:szCs w:val="22"/>
                <w:lang w:val="fr-FR"/>
              </w:rPr>
            </w:pPr>
            <w:r w:rsidRPr="0072606D">
              <w:rPr>
                <w:kern w:val="22"/>
                <w:szCs w:val="22"/>
                <w:lang w:val="fr-FR"/>
              </w:rPr>
              <w:t>b) Pourcentage de Parties ayant accès à du matériel ressource sur l’évaluation et la gestion des risques, et les utilisant</w:t>
            </w:r>
            <w:r w:rsidR="00F84F06">
              <w:rPr>
                <w:kern w:val="22"/>
                <w:szCs w:val="22"/>
                <w:lang w:val="fr-FR"/>
              </w:rPr>
              <w:t>;</w:t>
            </w:r>
          </w:p>
          <w:p w14:paraId="0F681807" w14:textId="290AB267" w:rsidR="0072606D" w:rsidRPr="0072606D" w:rsidRDefault="0072606D" w:rsidP="00F253CE">
            <w:pPr>
              <w:suppressLineNumbers/>
              <w:suppressAutoHyphens/>
              <w:spacing w:beforeLines="40" w:before="96" w:afterLines="40" w:after="96"/>
              <w:jc w:val="left"/>
              <w:rPr>
                <w:kern w:val="22"/>
                <w:szCs w:val="22"/>
                <w:lang w:val="fr-FR"/>
              </w:rPr>
            </w:pPr>
            <w:r w:rsidRPr="0072606D">
              <w:rPr>
                <w:kern w:val="22"/>
                <w:szCs w:val="22"/>
                <w:lang w:val="fr-FR"/>
              </w:rPr>
              <w:t>c) Pourcentage de Parties ayant effectué des évaluations des risques s’appuyant sur d’autres preuves scientifiques disponibles, mentionnées à l’article 15</w:t>
            </w:r>
            <w:r w:rsidR="00F84F06">
              <w:rPr>
                <w:kern w:val="22"/>
                <w:szCs w:val="22"/>
                <w:lang w:val="fr-FR"/>
              </w:rPr>
              <w:t>;</w:t>
            </w:r>
          </w:p>
          <w:p w14:paraId="276E7C84" w14:textId="77777777" w:rsidR="0072606D" w:rsidRPr="0072606D" w:rsidRDefault="0072606D" w:rsidP="00F253CE">
            <w:pPr>
              <w:suppressLineNumbers/>
              <w:suppressAutoHyphens/>
              <w:spacing w:beforeLines="40" w:before="96" w:afterLines="40" w:after="96"/>
              <w:jc w:val="left"/>
              <w:rPr>
                <w:rFonts w:asciiTheme="majorBidi" w:eastAsia="MS Mincho" w:hAnsiTheme="majorBidi" w:cstheme="majorBidi"/>
                <w:kern w:val="22"/>
                <w:szCs w:val="22"/>
                <w:lang w:val="fr-CA"/>
              </w:rPr>
            </w:pPr>
            <w:r w:rsidRPr="0072606D">
              <w:rPr>
                <w:kern w:val="22"/>
                <w:szCs w:val="22"/>
                <w:lang w:val="fr-FR"/>
              </w:rPr>
              <w:t>d) Pourcentage de Parties ayant mis en place des mesures pour identifier les OVM ou des caractéristiques particulières qui pourraient avoir des effets défavorable sur la conservation et l’utilisation durable de la diversité biologique, et ont adopté des mesures pour atténuer les risques.</w:t>
            </w:r>
          </w:p>
        </w:tc>
        <w:tc>
          <w:tcPr>
            <w:tcW w:w="2970" w:type="dxa"/>
            <w:shd w:val="clear" w:color="auto" w:fill="auto"/>
          </w:tcPr>
          <w:p w14:paraId="54ABA1BA"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Les Parties identifient, évaluent, gèrent et contrôlent de manière appropriée les risques que représentent les OVM pour la biodiversité, en tenant également compte des risques pour la santé humaine.</w:t>
            </w:r>
          </w:p>
        </w:tc>
      </w:tr>
      <w:tr w:rsidR="0072606D" w:rsidRPr="00E8551B" w14:paraId="14361835" w14:textId="77777777" w:rsidTr="00DE74F9">
        <w:trPr>
          <w:jc w:val="center"/>
        </w:trPr>
        <w:tc>
          <w:tcPr>
            <w:tcW w:w="1800" w:type="dxa"/>
            <w:shd w:val="clear" w:color="auto" w:fill="auto"/>
          </w:tcPr>
          <w:p w14:paraId="571B47DD" w14:textId="3F46FAC8"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t xml:space="preserve">A.6. Les Parties préviennent et réduisent les mouvements transfrontières illicites et non </w:t>
            </w:r>
            <w:r w:rsidR="00F253CE">
              <w:rPr>
                <w:b/>
                <w:bCs/>
                <w:kern w:val="22"/>
                <w:szCs w:val="22"/>
                <w:lang w:val="fr-FR"/>
              </w:rPr>
              <w:lastRenderedPageBreak/>
              <w:t>intentionnels d’OVM</w:t>
            </w:r>
          </w:p>
        </w:tc>
        <w:tc>
          <w:tcPr>
            <w:tcW w:w="2785" w:type="dxa"/>
          </w:tcPr>
          <w:p w14:paraId="4CA0C7EB"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lastRenderedPageBreak/>
              <w:t>A.6.1. Les Parties ont adopté des mesures appropriées pour prévenir et réduire les mouvements transfrontières illicites et non intentionnels d’OVM.</w:t>
            </w:r>
          </w:p>
        </w:tc>
        <w:tc>
          <w:tcPr>
            <w:tcW w:w="3510" w:type="dxa"/>
            <w:shd w:val="clear" w:color="auto" w:fill="auto"/>
          </w:tcPr>
          <w:p w14:paraId="4F226C05"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 Pourcentage de Parties ayant mis en place des mesures pour prévenir et réduire les mouvements transfrontières illicites et non intentionnels d’OVM.</w:t>
            </w:r>
          </w:p>
        </w:tc>
        <w:tc>
          <w:tcPr>
            <w:tcW w:w="2970" w:type="dxa"/>
            <w:shd w:val="clear" w:color="auto" w:fill="auto"/>
          </w:tcPr>
          <w:p w14:paraId="7696DA00"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Les mouvements transfrontières illicites et non intentionnels d’OVM sont empêchés ou réduits au minimum.</w:t>
            </w:r>
          </w:p>
        </w:tc>
      </w:tr>
      <w:tr w:rsidR="0072606D" w:rsidRPr="00E8551B" w14:paraId="1E50191A" w14:textId="77777777" w:rsidTr="00DE74F9">
        <w:trPr>
          <w:jc w:val="center"/>
        </w:trPr>
        <w:tc>
          <w:tcPr>
            <w:tcW w:w="1800" w:type="dxa"/>
            <w:shd w:val="clear" w:color="auto" w:fill="auto"/>
          </w:tcPr>
          <w:p w14:paraId="7A4B536F" w14:textId="00F2A05E"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t>A.7. Les Parties ont mis en place des mesures pour satisfaire aux exigences en matière de manipulation, de transport, d’emballage et d’identification des OVM au tit</w:t>
            </w:r>
            <w:r w:rsidR="00F253CE">
              <w:rPr>
                <w:b/>
                <w:bCs/>
                <w:kern w:val="22"/>
                <w:szCs w:val="22"/>
                <w:lang w:val="fr-FR"/>
              </w:rPr>
              <w:t>re de l’ar</w:t>
            </w:r>
            <w:r w:rsidR="00C422DD">
              <w:rPr>
                <w:b/>
                <w:bCs/>
                <w:kern w:val="22"/>
                <w:szCs w:val="22"/>
                <w:lang w:val="fr-FR"/>
              </w:rPr>
              <w:t>ticle </w:t>
            </w:r>
            <w:r w:rsidR="00F253CE">
              <w:rPr>
                <w:b/>
                <w:bCs/>
                <w:kern w:val="22"/>
                <w:szCs w:val="22"/>
                <w:lang w:val="fr-FR"/>
              </w:rPr>
              <w:t>18 du Protocole</w:t>
            </w:r>
          </w:p>
        </w:tc>
        <w:tc>
          <w:tcPr>
            <w:tcW w:w="2785" w:type="dxa"/>
          </w:tcPr>
          <w:p w14:paraId="36CCD3A5" w14:textId="1239F137" w:rsidR="0072606D" w:rsidRPr="0072606D" w:rsidRDefault="0072606D" w:rsidP="00F253CE">
            <w:pPr>
              <w:spacing w:before="60" w:after="60"/>
              <w:jc w:val="left"/>
              <w:rPr>
                <w:rFonts w:eastAsia="MS Mincho"/>
                <w:kern w:val="22"/>
                <w:szCs w:val="22"/>
                <w:lang w:val="fr-FR"/>
              </w:rPr>
            </w:pPr>
            <w:r w:rsidRPr="0072606D">
              <w:rPr>
                <w:kern w:val="22"/>
                <w:szCs w:val="22"/>
                <w:lang w:val="fr-FR"/>
              </w:rPr>
              <w:t>A.7.1. Les Parties ont adopté les mesures nécessaires pour exiger que les OVM faisant l’objet de mouvements transfrontières soient manipulés, emballés et transportés dans des conditions de sécurité, en tenant compte des règles et normes internationales pertinentes, selon qu’il convient</w:t>
            </w:r>
            <w:r w:rsidR="00F84F06">
              <w:rPr>
                <w:kern w:val="22"/>
                <w:szCs w:val="22"/>
                <w:lang w:val="fr-FR"/>
              </w:rPr>
              <w:t>;</w:t>
            </w:r>
          </w:p>
          <w:p w14:paraId="6AE02067" w14:textId="7E5C12FB"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A.7.2. Les Parties ont mis en place des mesures pour satisfaire aux exigences en matière de documentation pour : les OVM destinés à être utilisés directement comme denrées alimentaires ou aliments pour animaux, ou à être transformés</w:t>
            </w:r>
            <w:r w:rsidR="00F84F06">
              <w:rPr>
                <w:kern w:val="22"/>
                <w:szCs w:val="22"/>
                <w:lang w:val="fr-FR"/>
              </w:rPr>
              <w:t>;</w:t>
            </w:r>
            <w:r w:rsidRPr="0072606D">
              <w:rPr>
                <w:kern w:val="22"/>
                <w:szCs w:val="22"/>
                <w:lang w:val="fr-FR"/>
              </w:rPr>
              <w:t xml:space="preserve"> les OVM destinés à une utilisation en milieu confiné</w:t>
            </w:r>
            <w:r w:rsidR="00F84F06">
              <w:rPr>
                <w:kern w:val="22"/>
                <w:szCs w:val="22"/>
                <w:lang w:val="fr-FR"/>
              </w:rPr>
              <w:t>;</w:t>
            </w:r>
            <w:r w:rsidRPr="0072606D">
              <w:rPr>
                <w:kern w:val="22"/>
                <w:szCs w:val="22"/>
                <w:lang w:val="fr-FR"/>
              </w:rPr>
              <w:t xml:space="preserve"> les OVM destinés à être introduits intentionnellement dans l’environnement et les autres OVM.</w:t>
            </w:r>
          </w:p>
        </w:tc>
        <w:tc>
          <w:tcPr>
            <w:tcW w:w="3510" w:type="dxa"/>
            <w:shd w:val="clear" w:color="auto" w:fill="auto"/>
          </w:tcPr>
          <w:p w14:paraId="334809DA" w14:textId="1A0B1933" w:rsidR="0072606D" w:rsidRPr="0072606D" w:rsidRDefault="0072606D" w:rsidP="00F253CE">
            <w:pPr>
              <w:spacing w:before="60" w:after="60"/>
              <w:jc w:val="left"/>
              <w:rPr>
                <w:rFonts w:eastAsia="MS Mincho"/>
                <w:kern w:val="22"/>
                <w:szCs w:val="22"/>
                <w:lang w:val="fr-FR"/>
              </w:rPr>
            </w:pPr>
            <w:r w:rsidRPr="0072606D">
              <w:rPr>
                <w:kern w:val="22"/>
                <w:szCs w:val="22"/>
                <w:lang w:val="fr-FR"/>
              </w:rPr>
              <w:t>a) Pourcentage de Parties ayant pris les mesures nécessaires pour exiger que les OVM faisant l’objet de mouvements transfrontières soient manipulés, emballés et transportés dans des conditions de sécurité, en tenant compte des règles et normes internationales pertinentes, selon qu’il convient</w:t>
            </w:r>
            <w:r w:rsidR="00F84F06">
              <w:rPr>
                <w:kern w:val="22"/>
                <w:szCs w:val="22"/>
                <w:lang w:val="fr-FR"/>
              </w:rPr>
              <w:t>;</w:t>
            </w:r>
          </w:p>
          <w:p w14:paraId="6F8D87A3" w14:textId="77777777" w:rsidR="00A35266" w:rsidRDefault="0072606D" w:rsidP="00A35266">
            <w:pPr>
              <w:jc w:val="left"/>
              <w:rPr>
                <w:rFonts w:eastAsia="MS Mincho"/>
                <w:kern w:val="22"/>
                <w:szCs w:val="22"/>
                <w:lang w:val="fr-FR"/>
              </w:rPr>
            </w:pPr>
            <w:r w:rsidRPr="0072606D">
              <w:rPr>
                <w:kern w:val="22"/>
                <w:szCs w:val="22"/>
                <w:lang w:val="fr-FR"/>
              </w:rPr>
              <w:t>b) Pourcentage de Parties ayant mis en place des exigences en matière de documentation pour les OVM destinés à être utilisés directement comme denrées alimentaires ou aliments pour animaux, ou à être transformés</w:t>
            </w:r>
            <w:r w:rsidR="00F84F06">
              <w:rPr>
                <w:kern w:val="22"/>
                <w:szCs w:val="22"/>
                <w:lang w:val="fr-FR"/>
              </w:rPr>
              <w:t>;</w:t>
            </w:r>
          </w:p>
          <w:p w14:paraId="646A19DF" w14:textId="23996982" w:rsidR="0072606D" w:rsidRPr="0072606D" w:rsidRDefault="0072606D" w:rsidP="00A35266">
            <w:pPr>
              <w:spacing w:before="60"/>
              <w:jc w:val="left"/>
              <w:rPr>
                <w:rFonts w:eastAsia="MS Mincho"/>
                <w:kern w:val="22"/>
                <w:szCs w:val="22"/>
                <w:lang w:val="fr-FR"/>
              </w:rPr>
            </w:pPr>
            <w:r w:rsidRPr="0072606D">
              <w:rPr>
                <w:kern w:val="22"/>
                <w:szCs w:val="22"/>
                <w:lang w:val="fr-FR"/>
              </w:rPr>
              <w:t>c) Pourcentage de Parties ayant mis en place des exigences en matière de documentation pour les OVM destinés à une utilisation en milieu confiné</w:t>
            </w:r>
            <w:r w:rsidR="00F84F06">
              <w:rPr>
                <w:kern w:val="22"/>
                <w:szCs w:val="22"/>
                <w:lang w:val="fr-FR"/>
              </w:rPr>
              <w:t>;</w:t>
            </w:r>
          </w:p>
          <w:p w14:paraId="556F7606"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d) Pourcentage de Parties ayant mis en place des exigences en matière de documentation pour les OVM destinés à une introduction intentionnelle dans l’environnement et les autres OVM.</w:t>
            </w:r>
          </w:p>
        </w:tc>
        <w:tc>
          <w:tcPr>
            <w:tcW w:w="2970" w:type="dxa"/>
            <w:shd w:val="clear" w:color="auto" w:fill="auto"/>
          </w:tcPr>
          <w:p w14:paraId="300FA13E" w14:textId="77777777" w:rsidR="0072606D" w:rsidRPr="0072606D" w:rsidRDefault="0072606D" w:rsidP="00F253CE">
            <w:pPr>
              <w:suppressLineNumbers/>
              <w:suppressAutoHyphens/>
              <w:spacing w:before="60" w:after="60"/>
              <w:jc w:val="left"/>
              <w:rPr>
                <w:kern w:val="22"/>
                <w:szCs w:val="22"/>
                <w:lang w:val="fr-FR"/>
              </w:rPr>
            </w:pPr>
            <w:r w:rsidRPr="0072606D">
              <w:rPr>
                <w:kern w:val="22"/>
                <w:szCs w:val="22"/>
                <w:lang w:val="fr-FR"/>
              </w:rPr>
              <w:t>Grâce à une manipulation, un transport, un emballage et une identification appropriés des OVM, les Parties sont en mesure de gérer en toute sécurité les mouvements transfrontières intentionnels d’OVM.</w:t>
            </w:r>
          </w:p>
          <w:p w14:paraId="62A991ED"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p>
        </w:tc>
      </w:tr>
      <w:tr w:rsidR="0072606D" w:rsidRPr="00E8551B" w14:paraId="5F24BCDA" w14:textId="77777777" w:rsidTr="00DE74F9">
        <w:trPr>
          <w:jc w:val="center"/>
        </w:trPr>
        <w:tc>
          <w:tcPr>
            <w:tcW w:w="1800" w:type="dxa"/>
            <w:shd w:val="clear" w:color="auto" w:fill="auto"/>
          </w:tcPr>
          <w:p w14:paraId="01DFB26C" w14:textId="49117A52"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t>A.8. Les Parties sont en mesure de d</w:t>
            </w:r>
            <w:r w:rsidR="00F253CE">
              <w:rPr>
                <w:b/>
                <w:bCs/>
                <w:kern w:val="22"/>
                <w:szCs w:val="22"/>
                <w:lang w:val="fr-FR"/>
              </w:rPr>
              <w:t>étecter et d’identifier les OVM</w:t>
            </w:r>
          </w:p>
        </w:tc>
        <w:tc>
          <w:tcPr>
            <w:tcW w:w="2785" w:type="dxa"/>
          </w:tcPr>
          <w:p w14:paraId="7DCC80A5" w14:textId="0A39EEAE" w:rsidR="0072606D" w:rsidRPr="0072606D" w:rsidRDefault="0072606D" w:rsidP="00F253CE">
            <w:pPr>
              <w:spacing w:before="60" w:after="60"/>
              <w:jc w:val="left"/>
              <w:rPr>
                <w:rFonts w:eastAsia="MS Mincho"/>
                <w:kern w:val="22"/>
                <w:szCs w:val="22"/>
                <w:lang w:val="fr-FR"/>
              </w:rPr>
            </w:pPr>
            <w:r w:rsidRPr="0072606D">
              <w:rPr>
                <w:kern w:val="22"/>
                <w:szCs w:val="22"/>
                <w:lang w:val="fr-FR"/>
              </w:rPr>
              <w:t>A.8.1. Les Parties ont accès à l’infrastructure technique et à l’expertise nécessaires à la détection et l’identification des OVM</w:t>
            </w:r>
            <w:r w:rsidR="00F84F06">
              <w:rPr>
                <w:kern w:val="22"/>
                <w:szCs w:val="22"/>
                <w:lang w:val="fr-FR"/>
              </w:rPr>
              <w:t>;</w:t>
            </w:r>
          </w:p>
          <w:p w14:paraId="2970289D" w14:textId="19CCE6DA" w:rsidR="0072606D" w:rsidRPr="0072606D" w:rsidRDefault="0072606D" w:rsidP="00F253CE">
            <w:pPr>
              <w:spacing w:before="60" w:after="60"/>
              <w:jc w:val="left"/>
              <w:rPr>
                <w:rFonts w:eastAsia="MS Mincho"/>
                <w:kern w:val="22"/>
                <w:szCs w:val="22"/>
                <w:lang w:val="fr-FR"/>
              </w:rPr>
            </w:pPr>
            <w:r w:rsidRPr="0072606D">
              <w:rPr>
                <w:kern w:val="22"/>
                <w:szCs w:val="22"/>
                <w:lang w:val="fr-FR"/>
              </w:rPr>
              <w:t>A.8.2. Les Parties ont accès et utilisent du matériel ressource approprié pour la détection et l’identification des OVM</w:t>
            </w:r>
            <w:r w:rsidR="00F84F06">
              <w:rPr>
                <w:kern w:val="22"/>
                <w:szCs w:val="22"/>
                <w:lang w:val="fr-FR"/>
              </w:rPr>
              <w:t>;</w:t>
            </w:r>
          </w:p>
          <w:p w14:paraId="4ED2E461"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A.8.3. Les Parties ont accès aux informations nécessaires et les utilisent pour détecter et identifier les OVM, y compris à des méthodes de détection et des matériels de référence certifiés.</w:t>
            </w:r>
          </w:p>
        </w:tc>
        <w:tc>
          <w:tcPr>
            <w:tcW w:w="3510" w:type="dxa"/>
            <w:shd w:val="clear" w:color="auto" w:fill="auto"/>
          </w:tcPr>
          <w:p w14:paraId="0B9032CF" w14:textId="0D8AED3C" w:rsidR="0072606D" w:rsidRPr="0072606D" w:rsidRDefault="00F84F06" w:rsidP="00F253CE">
            <w:pPr>
              <w:spacing w:before="60" w:after="60"/>
              <w:jc w:val="left"/>
              <w:rPr>
                <w:rFonts w:eastAsia="MS Mincho"/>
                <w:kern w:val="22"/>
                <w:szCs w:val="22"/>
                <w:lang w:val="fr-FR"/>
              </w:rPr>
            </w:pPr>
            <w:r>
              <w:rPr>
                <w:kern w:val="22"/>
                <w:szCs w:val="22"/>
                <w:lang w:val="fr-FR"/>
              </w:rPr>
              <w:t>a) Pourcentage d’OVM dans</w:t>
            </w:r>
            <w:r w:rsidR="0072606D" w:rsidRPr="0072606D">
              <w:rPr>
                <w:kern w:val="22"/>
                <w:szCs w:val="22"/>
                <w:lang w:val="fr-FR"/>
              </w:rPr>
              <w:t xml:space="preserve"> le CEPRB pour lesquels des méthodes de détection sont disponibles</w:t>
            </w:r>
            <w:r>
              <w:rPr>
                <w:kern w:val="22"/>
                <w:szCs w:val="22"/>
                <w:lang w:val="fr-FR"/>
              </w:rPr>
              <w:t>;</w:t>
            </w:r>
          </w:p>
          <w:p w14:paraId="35F9F34F" w14:textId="39BA03E2" w:rsidR="0072606D" w:rsidRPr="0072606D" w:rsidRDefault="0072606D" w:rsidP="00F253CE">
            <w:pPr>
              <w:jc w:val="left"/>
              <w:rPr>
                <w:rFonts w:eastAsia="MS Mincho"/>
                <w:kern w:val="22"/>
                <w:szCs w:val="22"/>
                <w:lang w:val="fr-FR"/>
              </w:rPr>
            </w:pPr>
            <w:r w:rsidRPr="0072606D">
              <w:rPr>
                <w:kern w:val="22"/>
                <w:szCs w:val="22"/>
                <w:lang w:val="fr-FR"/>
              </w:rPr>
              <w:t>b) Pourcentage de Parties ayant accès et utilisant du matériel ressource et des méthodes de détection pour détecter et identifier les OVM</w:t>
            </w:r>
            <w:r w:rsidR="00F84F06">
              <w:rPr>
                <w:kern w:val="22"/>
                <w:szCs w:val="22"/>
                <w:lang w:val="fr-FR"/>
              </w:rPr>
              <w:t>;</w:t>
            </w:r>
          </w:p>
          <w:p w14:paraId="50F7FBCF" w14:textId="4C40E01F" w:rsidR="0072606D" w:rsidRPr="0072606D" w:rsidRDefault="0072606D" w:rsidP="00A35266">
            <w:pPr>
              <w:spacing w:before="60"/>
              <w:jc w:val="left"/>
              <w:rPr>
                <w:rFonts w:eastAsia="MS Mincho"/>
                <w:kern w:val="22"/>
                <w:szCs w:val="22"/>
                <w:lang w:val="fr-FR"/>
              </w:rPr>
            </w:pPr>
            <w:r w:rsidRPr="0072606D">
              <w:rPr>
                <w:kern w:val="22"/>
                <w:szCs w:val="22"/>
                <w:lang w:val="fr-FR"/>
              </w:rPr>
              <w:t>c) Pourcentage de Parties ayant accès et utilisant des matériels de référence certifiés nécessaires pour détecter et identifier les OVM</w:t>
            </w:r>
            <w:r w:rsidR="00F84F06">
              <w:rPr>
                <w:kern w:val="22"/>
                <w:szCs w:val="22"/>
                <w:lang w:val="fr-FR"/>
              </w:rPr>
              <w:t>;</w:t>
            </w:r>
          </w:p>
          <w:p w14:paraId="5484136F"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d) Pourcentage de Parties ayant accès à l’infrastructure technique nécessaire pour détecter et identifier les OVM.</w:t>
            </w:r>
          </w:p>
        </w:tc>
        <w:tc>
          <w:tcPr>
            <w:tcW w:w="2970" w:type="dxa"/>
            <w:shd w:val="clear" w:color="auto" w:fill="auto"/>
          </w:tcPr>
          <w:p w14:paraId="69EA5DFE" w14:textId="17C4A948"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 xml:space="preserve">En détectant les OVM et en les identifiant, les Parties sont en mesure de faire face aux mouvements transfrontières non intentionnels et </w:t>
            </w:r>
            <w:r w:rsidR="00C422DD">
              <w:rPr>
                <w:kern w:val="22"/>
                <w:szCs w:val="22"/>
                <w:lang w:val="fr-FR"/>
              </w:rPr>
              <w:t>illégaux et d</w:t>
            </w:r>
            <w:r w:rsidR="00997482">
              <w:rPr>
                <w:kern w:val="22"/>
                <w:szCs w:val="22"/>
                <w:lang w:val="fr-FR"/>
              </w:rPr>
              <w:t>e mettre en œuvre l</w:t>
            </w:r>
            <w:r w:rsidRPr="0072606D">
              <w:rPr>
                <w:kern w:val="22"/>
                <w:szCs w:val="22"/>
                <w:lang w:val="fr-FR"/>
              </w:rPr>
              <w:t xml:space="preserve">es exigences </w:t>
            </w:r>
            <w:r w:rsidR="00997482">
              <w:rPr>
                <w:kern w:val="22"/>
                <w:szCs w:val="22"/>
                <w:lang w:val="fr-FR"/>
              </w:rPr>
              <w:t xml:space="preserve">en matière </w:t>
            </w:r>
            <w:r w:rsidRPr="0072606D">
              <w:rPr>
                <w:kern w:val="22"/>
                <w:szCs w:val="22"/>
                <w:lang w:val="fr-FR"/>
              </w:rPr>
              <w:t>de manipulation, de transport, d’emballage et d’identification conformément au Protocole.</w:t>
            </w:r>
          </w:p>
        </w:tc>
      </w:tr>
      <w:tr w:rsidR="0072606D" w:rsidRPr="00E8551B" w14:paraId="20059762" w14:textId="77777777" w:rsidTr="00DE74F9">
        <w:trPr>
          <w:jc w:val="center"/>
        </w:trPr>
        <w:tc>
          <w:tcPr>
            <w:tcW w:w="1800" w:type="dxa"/>
            <w:tcBorders>
              <w:bottom w:val="single" w:sz="4" w:space="0" w:color="auto"/>
            </w:tcBorders>
            <w:shd w:val="clear" w:color="auto" w:fill="auto"/>
          </w:tcPr>
          <w:p w14:paraId="1F6DE066" w14:textId="77777777"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lastRenderedPageBreak/>
              <w:t>A.9. Les Parties qui choisissent de le faire tiennent compte des considérations socio-économiques lorsqu’elles prennent des décisions sur l’importation d’OVM et coopèrent en matière de recherche et d’échange d’informations, conformément à l’article 26 du Protocole.</w:t>
            </w:r>
          </w:p>
        </w:tc>
        <w:tc>
          <w:tcPr>
            <w:tcW w:w="2785" w:type="dxa"/>
            <w:tcBorders>
              <w:bottom w:val="single" w:sz="4" w:space="0" w:color="auto"/>
            </w:tcBorders>
          </w:tcPr>
          <w:p w14:paraId="55465D6E" w14:textId="6F7E6421" w:rsidR="0072606D" w:rsidRPr="0072606D" w:rsidRDefault="0072606D" w:rsidP="00F253CE">
            <w:pPr>
              <w:spacing w:before="60" w:after="60"/>
              <w:jc w:val="left"/>
              <w:rPr>
                <w:rFonts w:eastAsia="MS Mincho"/>
                <w:kern w:val="22"/>
                <w:szCs w:val="22"/>
                <w:lang w:val="fr-FR"/>
              </w:rPr>
            </w:pPr>
            <w:r w:rsidRPr="0072606D">
              <w:rPr>
                <w:kern w:val="22"/>
                <w:szCs w:val="22"/>
                <w:lang w:val="fr-FR"/>
              </w:rPr>
              <w:t>A.9.1. Les Parties qui choisissent de le faire tiennent compte des considérations socio-économiques dans la prise de décisions conformément à l’article 26</w:t>
            </w:r>
            <w:r w:rsidR="00F84F06">
              <w:rPr>
                <w:kern w:val="22"/>
                <w:szCs w:val="22"/>
                <w:lang w:val="fr-FR"/>
              </w:rPr>
              <w:t>;</w:t>
            </w:r>
          </w:p>
          <w:p w14:paraId="077B1D88" w14:textId="63998DCB" w:rsidR="0072606D" w:rsidRPr="0072606D" w:rsidRDefault="0072606D" w:rsidP="00F253CE">
            <w:pPr>
              <w:jc w:val="left"/>
              <w:rPr>
                <w:rFonts w:eastAsia="MS Mincho"/>
                <w:kern w:val="22"/>
                <w:szCs w:val="22"/>
                <w:lang w:val="fr-FR"/>
              </w:rPr>
            </w:pPr>
            <w:r w:rsidRPr="0072606D">
              <w:rPr>
                <w:kern w:val="22"/>
                <w:szCs w:val="22"/>
                <w:lang w:val="fr-FR"/>
              </w:rPr>
              <w:t>A.9.2. Les Parties qui choisissent de tenir compte des considérations socio-économiques</w:t>
            </w:r>
            <w:r w:rsidR="00997482">
              <w:rPr>
                <w:kern w:val="22"/>
                <w:szCs w:val="22"/>
                <w:lang w:val="fr-FR"/>
              </w:rPr>
              <w:t>,</w:t>
            </w:r>
            <w:r w:rsidRPr="0072606D">
              <w:rPr>
                <w:kern w:val="22"/>
                <w:szCs w:val="22"/>
                <w:lang w:val="fr-FR"/>
              </w:rPr>
              <w:t xml:space="preserve"> conformément à l’article 26</w:t>
            </w:r>
            <w:r w:rsidR="00997482">
              <w:rPr>
                <w:kern w:val="22"/>
                <w:szCs w:val="22"/>
                <w:lang w:val="fr-FR"/>
              </w:rPr>
              <w:t>,</w:t>
            </w:r>
            <w:r w:rsidRPr="0072606D">
              <w:rPr>
                <w:kern w:val="22"/>
                <w:szCs w:val="22"/>
                <w:lang w:val="fr-FR"/>
              </w:rPr>
              <w:t xml:space="preserve"> ont accès à du matériel ressource et sont en mesure de l’utiliser</w:t>
            </w:r>
            <w:r w:rsidR="00F84F06">
              <w:rPr>
                <w:kern w:val="22"/>
                <w:szCs w:val="22"/>
                <w:lang w:val="fr-FR"/>
              </w:rPr>
              <w:t>;</w:t>
            </w:r>
          </w:p>
          <w:p w14:paraId="19289259" w14:textId="02FF666D"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A.9.3. Les Parties qui choisissent de le faire coopèrent à la recherche et à l’échange d’informations sur tout impact socio-économique des organismes vivants modifiés sur la conservation et l’utilisation durable de la diversité biologi</w:t>
            </w:r>
            <w:r w:rsidR="00687730">
              <w:rPr>
                <w:kern w:val="22"/>
                <w:szCs w:val="22"/>
                <w:lang w:val="fr-FR"/>
              </w:rPr>
              <w:t>que, en particulier sur</w:t>
            </w:r>
            <w:r w:rsidRPr="0072606D">
              <w:rPr>
                <w:kern w:val="22"/>
                <w:szCs w:val="22"/>
                <w:lang w:val="fr-FR"/>
              </w:rPr>
              <w:t xml:space="preserve"> les peuples autochtones et les communautés locales, conformément à l’article 26 du Protocole.</w:t>
            </w:r>
          </w:p>
        </w:tc>
        <w:tc>
          <w:tcPr>
            <w:tcW w:w="3510" w:type="dxa"/>
            <w:tcBorders>
              <w:bottom w:val="single" w:sz="4" w:space="0" w:color="auto"/>
            </w:tcBorders>
            <w:shd w:val="clear" w:color="auto" w:fill="auto"/>
          </w:tcPr>
          <w:p w14:paraId="44830CB1" w14:textId="4E16700F" w:rsidR="0072606D" w:rsidRPr="0072606D" w:rsidRDefault="0072606D" w:rsidP="00F253CE">
            <w:pPr>
              <w:spacing w:before="60" w:after="60"/>
              <w:jc w:val="left"/>
              <w:rPr>
                <w:rFonts w:eastAsia="MS Mincho"/>
                <w:kern w:val="22"/>
                <w:szCs w:val="22"/>
                <w:lang w:val="fr-FR"/>
              </w:rPr>
            </w:pPr>
            <w:r w:rsidRPr="0072606D">
              <w:rPr>
                <w:kern w:val="22"/>
                <w:szCs w:val="22"/>
                <w:lang w:val="fr-FR"/>
              </w:rPr>
              <w:t>a) Pourcentage de Parties tenant compte des considérations socio-économiques dans la prise de décisions conformément à l’article 26 du Protocole</w:t>
            </w:r>
            <w:r w:rsidR="00F84F06">
              <w:rPr>
                <w:kern w:val="22"/>
                <w:szCs w:val="22"/>
                <w:lang w:val="fr-FR"/>
              </w:rPr>
              <w:t>;</w:t>
            </w:r>
          </w:p>
          <w:p w14:paraId="728AAA27" w14:textId="206F2CD6" w:rsidR="0072606D" w:rsidRPr="0072606D" w:rsidRDefault="0072606D" w:rsidP="00F253CE">
            <w:pPr>
              <w:jc w:val="left"/>
              <w:rPr>
                <w:rFonts w:eastAsia="MS Mincho"/>
                <w:kern w:val="22"/>
                <w:szCs w:val="22"/>
                <w:lang w:val="fr-FR"/>
              </w:rPr>
            </w:pPr>
            <w:r w:rsidRPr="0072606D">
              <w:rPr>
                <w:kern w:val="22"/>
                <w:szCs w:val="22"/>
                <w:lang w:val="fr-FR"/>
              </w:rPr>
              <w:t>b) Pourcentage de Parties qui ont accès au matériel ressource pour prendre en compte les facteurs socioéconomiques, et qui l’utilisent</w:t>
            </w:r>
            <w:r w:rsidR="00F84F06">
              <w:rPr>
                <w:kern w:val="22"/>
                <w:szCs w:val="22"/>
                <w:lang w:val="fr-FR"/>
              </w:rPr>
              <w:t>;</w:t>
            </w:r>
          </w:p>
          <w:p w14:paraId="4CAEA1CA" w14:textId="654BA942"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 xml:space="preserve">c) Pourcentage de Parties coopérant à la recherche et à l’échange d’informations sur tout impact socio-économique des OVM sur la conservation et l’utilisation durable </w:t>
            </w:r>
            <w:r w:rsidR="00687730">
              <w:rPr>
                <w:kern w:val="22"/>
                <w:szCs w:val="22"/>
                <w:lang w:val="fr-FR"/>
              </w:rPr>
              <w:t>de la biodiversité, en particulier sur</w:t>
            </w:r>
            <w:r w:rsidRPr="0072606D">
              <w:rPr>
                <w:kern w:val="22"/>
                <w:szCs w:val="22"/>
                <w:lang w:val="fr-FR"/>
              </w:rPr>
              <w:t xml:space="preserve"> les peuples autochtones et les communautés locales, conformément à l’article 26 du Protocole.</w:t>
            </w:r>
          </w:p>
        </w:tc>
        <w:tc>
          <w:tcPr>
            <w:tcW w:w="2970" w:type="dxa"/>
            <w:tcBorders>
              <w:bottom w:val="single" w:sz="4" w:space="0" w:color="auto"/>
            </w:tcBorders>
            <w:shd w:val="clear" w:color="auto" w:fill="auto"/>
          </w:tcPr>
          <w:p w14:paraId="62819387"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 xml:space="preserve">Les Parties qui choisissent de le faire tiennent compte des facteurs socioéconomiques lors de la prise de décisions sur l’importation d’OVM et collaborent à la recherche et à l’échange d’informations, conformément à l’article 26. </w:t>
            </w:r>
          </w:p>
        </w:tc>
      </w:tr>
      <w:tr w:rsidR="0072606D" w:rsidRPr="00E8551B" w14:paraId="7D5ED9CF" w14:textId="77777777" w:rsidTr="00DE74F9">
        <w:trPr>
          <w:jc w:val="center"/>
        </w:trPr>
        <w:tc>
          <w:tcPr>
            <w:tcW w:w="1800" w:type="dxa"/>
            <w:tcBorders>
              <w:bottom w:val="single" w:sz="4" w:space="0" w:color="auto"/>
            </w:tcBorders>
            <w:shd w:val="clear" w:color="auto" w:fill="auto"/>
          </w:tcPr>
          <w:p w14:paraId="118D4F50" w14:textId="7146773B"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t xml:space="preserve">A.10. Les Parties au Protocole de Cartagena deviennent Parties au Protocole additionnel de Nagoya – Kuala Lumpur sur la responsabilité et la réparation, et ont mis en place des mesures pour s’acquitter de leurs obligations au titre du </w:t>
            </w:r>
            <w:r w:rsidRPr="0072606D">
              <w:rPr>
                <w:b/>
                <w:bCs/>
                <w:kern w:val="22"/>
                <w:szCs w:val="22"/>
                <w:lang w:val="fr-FR"/>
              </w:rPr>
              <w:lastRenderedPageBreak/>
              <w:t xml:space="preserve">Protocole </w:t>
            </w:r>
            <w:r w:rsidR="00F84F06">
              <w:rPr>
                <w:b/>
                <w:bCs/>
                <w:kern w:val="22"/>
                <w:szCs w:val="22"/>
                <w:lang w:val="fr-FR"/>
              </w:rPr>
              <w:t>additionnel</w:t>
            </w:r>
          </w:p>
        </w:tc>
        <w:tc>
          <w:tcPr>
            <w:tcW w:w="2785" w:type="dxa"/>
            <w:tcBorders>
              <w:bottom w:val="single" w:sz="4" w:space="0" w:color="auto"/>
            </w:tcBorders>
          </w:tcPr>
          <w:p w14:paraId="75287931" w14:textId="03053D59" w:rsidR="0072606D" w:rsidRPr="0072606D" w:rsidRDefault="0072606D" w:rsidP="00F253CE">
            <w:pPr>
              <w:spacing w:before="60" w:after="60"/>
              <w:jc w:val="left"/>
              <w:rPr>
                <w:rFonts w:eastAsia="MS Mincho"/>
                <w:kern w:val="22"/>
                <w:szCs w:val="22"/>
                <w:lang w:val="fr-FR"/>
              </w:rPr>
            </w:pPr>
            <w:r w:rsidRPr="0072606D">
              <w:rPr>
                <w:kern w:val="22"/>
                <w:szCs w:val="22"/>
                <w:lang w:val="fr-FR"/>
              </w:rPr>
              <w:lastRenderedPageBreak/>
              <w:t>A.10.1. Augmentation du nombre de Parties au Protocole additionnel</w:t>
            </w:r>
            <w:r w:rsidR="00F84F06">
              <w:rPr>
                <w:kern w:val="22"/>
                <w:szCs w:val="22"/>
                <w:lang w:val="fr-FR"/>
              </w:rPr>
              <w:t>;</w:t>
            </w:r>
          </w:p>
          <w:p w14:paraId="2CBE316E" w14:textId="1375C5D9" w:rsidR="0072606D" w:rsidRPr="0072606D" w:rsidRDefault="0072606D" w:rsidP="00F253CE">
            <w:pPr>
              <w:spacing w:before="60" w:after="60"/>
              <w:jc w:val="left"/>
              <w:rPr>
                <w:rFonts w:eastAsia="MS Mincho"/>
                <w:kern w:val="22"/>
                <w:szCs w:val="22"/>
                <w:lang w:val="fr-FR"/>
              </w:rPr>
            </w:pPr>
            <w:r w:rsidRPr="0072606D">
              <w:rPr>
                <w:kern w:val="22"/>
                <w:szCs w:val="22"/>
                <w:lang w:val="fr-FR"/>
              </w:rPr>
              <w:t>A.10.2. Les Parties au Protocole additionnel ont adopté et mis en œuvre des mesures appropriées pour donner effet aux dispositions du Protocole additionnel</w:t>
            </w:r>
            <w:r w:rsidR="00F84F06">
              <w:rPr>
                <w:kern w:val="22"/>
                <w:szCs w:val="22"/>
                <w:lang w:val="fr-FR"/>
              </w:rPr>
              <w:t>;</w:t>
            </w:r>
          </w:p>
          <w:p w14:paraId="177B20B4"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A.10.3 Les Parties au Protocole additionnel font rapport sur l’application du Protocole additionnel.</w:t>
            </w:r>
          </w:p>
        </w:tc>
        <w:tc>
          <w:tcPr>
            <w:tcW w:w="3510" w:type="dxa"/>
            <w:tcBorders>
              <w:bottom w:val="single" w:sz="4" w:space="0" w:color="auto"/>
            </w:tcBorders>
            <w:shd w:val="clear" w:color="auto" w:fill="auto"/>
          </w:tcPr>
          <w:p w14:paraId="69A267C3" w14:textId="6687E451" w:rsidR="0072606D" w:rsidRPr="0072606D" w:rsidRDefault="0072606D" w:rsidP="00F253CE">
            <w:pPr>
              <w:spacing w:before="60" w:after="60"/>
              <w:jc w:val="left"/>
              <w:rPr>
                <w:rFonts w:eastAsia="MS Mincho"/>
                <w:kern w:val="22"/>
                <w:szCs w:val="22"/>
                <w:lang w:val="fr-FR"/>
              </w:rPr>
            </w:pPr>
            <w:r w:rsidRPr="0072606D">
              <w:rPr>
                <w:kern w:val="22"/>
                <w:szCs w:val="22"/>
                <w:lang w:val="fr-FR"/>
              </w:rPr>
              <w:t>a) Pourcentage de Parties au Protocole de Cartagena qui sont devenues Parties au Protocole additionnel</w:t>
            </w:r>
            <w:r w:rsidR="00F84F06">
              <w:rPr>
                <w:kern w:val="22"/>
                <w:szCs w:val="22"/>
                <w:lang w:val="fr-FR"/>
              </w:rPr>
              <w:t>;</w:t>
            </w:r>
          </w:p>
          <w:p w14:paraId="1673A3E5" w14:textId="1B70D057" w:rsidR="0072606D" w:rsidRPr="0072606D" w:rsidRDefault="0072606D" w:rsidP="00F253CE">
            <w:pPr>
              <w:jc w:val="left"/>
              <w:rPr>
                <w:rFonts w:eastAsia="MS Mincho"/>
                <w:kern w:val="22"/>
                <w:szCs w:val="22"/>
                <w:lang w:val="fr-FR"/>
              </w:rPr>
            </w:pPr>
            <w:r w:rsidRPr="0072606D">
              <w:rPr>
                <w:kern w:val="22"/>
                <w:szCs w:val="22"/>
                <w:lang w:val="fr-FR"/>
              </w:rPr>
              <w:t>b) Pourcentage de Parties au Protocole additionnel ayant mis en place les mesures nécessaires pour appliquer les dispositions du Protocole additionnel</w:t>
            </w:r>
            <w:r w:rsidR="00F84F06">
              <w:rPr>
                <w:kern w:val="22"/>
                <w:szCs w:val="22"/>
                <w:lang w:val="fr-FR"/>
              </w:rPr>
              <w:t>;</w:t>
            </w:r>
          </w:p>
          <w:p w14:paraId="6D634BED"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c) Pourcentage de Parties au Protocole additionnel ayant fait rapport sur l’application du Protocole additionnel.</w:t>
            </w:r>
          </w:p>
        </w:tc>
        <w:tc>
          <w:tcPr>
            <w:tcW w:w="2970" w:type="dxa"/>
            <w:tcBorders>
              <w:bottom w:val="single" w:sz="4" w:space="0" w:color="auto"/>
            </w:tcBorders>
            <w:shd w:val="clear" w:color="auto" w:fill="auto"/>
          </w:tcPr>
          <w:p w14:paraId="1564A4BB" w14:textId="0408E313" w:rsidR="0072606D" w:rsidRPr="0072606D" w:rsidRDefault="0072606D" w:rsidP="00F253CE">
            <w:pPr>
              <w:spacing w:before="60" w:after="60"/>
              <w:jc w:val="left"/>
              <w:rPr>
                <w:rFonts w:eastAsia="MS Mincho"/>
                <w:kern w:val="22"/>
                <w:szCs w:val="22"/>
                <w:lang w:val="fr-FR"/>
              </w:rPr>
            </w:pPr>
            <w:r w:rsidRPr="0072606D">
              <w:rPr>
                <w:kern w:val="22"/>
                <w:szCs w:val="22"/>
                <w:lang w:val="fr-FR"/>
              </w:rPr>
              <w:t>L’augmentation du nombre de ratifications du Protocole additionnel de Nagoya – Kuala Lumpur sur la responsabilité et la réparation fait progresser l’élaboration de règles et procédures nationales sur la responsabilité et la réparation pour les domma</w:t>
            </w:r>
            <w:r w:rsidR="00687730">
              <w:rPr>
                <w:kern w:val="22"/>
                <w:szCs w:val="22"/>
                <w:lang w:val="fr-FR"/>
              </w:rPr>
              <w:t xml:space="preserve">ges résultant d’OVM qui trouvent leur origine dans </w:t>
            </w:r>
            <w:r w:rsidRPr="0072606D">
              <w:rPr>
                <w:kern w:val="22"/>
                <w:szCs w:val="22"/>
                <w:lang w:val="fr-FR"/>
              </w:rPr>
              <w:t>un mouvement transfrontière.</w:t>
            </w:r>
          </w:p>
          <w:p w14:paraId="5110677C"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p>
        </w:tc>
      </w:tr>
      <w:tr w:rsidR="0072606D" w:rsidRPr="0072606D" w14:paraId="5D40CD49" w14:textId="77777777" w:rsidTr="00DE74F9">
        <w:trPr>
          <w:jc w:val="center"/>
        </w:trPr>
        <w:tc>
          <w:tcPr>
            <w:tcW w:w="11065" w:type="dxa"/>
            <w:gridSpan w:val="4"/>
            <w:tcBorders>
              <w:top w:val="single" w:sz="4" w:space="0" w:color="auto"/>
              <w:left w:val="single" w:sz="4" w:space="0" w:color="auto"/>
              <w:bottom w:val="single" w:sz="4" w:space="0" w:color="auto"/>
              <w:right w:val="single" w:sz="4" w:space="0" w:color="auto"/>
            </w:tcBorders>
            <w:shd w:val="clear" w:color="auto" w:fill="auto"/>
          </w:tcPr>
          <w:p w14:paraId="3AD6CB44" w14:textId="62D411C0" w:rsidR="0072606D" w:rsidRPr="0072606D" w:rsidRDefault="00F84F06" w:rsidP="00F253CE">
            <w:pPr>
              <w:keepNext/>
              <w:suppressLineNumbers/>
              <w:suppressAutoHyphens/>
              <w:spacing w:before="60" w:after="60"/>
              <w:ind w:left="714" w:hanging="357"/>
              <w:jc w:val="center"/>
              <w:rPr>
                <w:rFonts w:asciiTheme="majorBidi" w:eastAsia="MS Mincho" w:hAnsiTheme="majorBidi" w:cstheme="majorBidi"/>
                <w:kern w:val="22"/>
                <w:szCs w:val="22"/>
              </w:rPr>
            </w:pPr>
            <w:r>
              <w:rPr>
                <w:b/>
                <w:bCs/>
                <w:kern w:val="22"/>
                <w:szCs w:val="22"/>
                <w:lang w:val="fr-FR"/>
              </w:rPr>
              <w:t>B. Conditions</w:t>
            </w:r>
            <w:r w:rsidR="0072606D" w:rsidRPr="0072606D">
              <w:rPr>
                <w:b/>
                <w:bCs/>
                <w:kern w:val="22"/>
                <w:szCs w:val="22"/>
                <w:lang w:val="fr-FR"/>
              </w:rPr>
              <w:t xml:space="preserve"> favorable</w:t>
            </w:r>
            <w:r>
              <w:rPr>
                <w:b/>
                <w:bCs/>
                <w:kern w:val="22"/>
                <w:szCs w:val="22"/>
                <w:lang w:val="fr-FR"/>
              </w:rPr>
              <w:t>s</w:t>
            </w:r>
          </w:p>
        </w:tc>
      </w:tr>
      <w:tr w:rsidR="0072606D" w:rsidRPr="00E8551B" w14:paraId="1953BF2C" w14:textId="77777777" w:rsidTr="00DE74F9">
        <w:trPr>
          <w:jc w:val="center"/>
        </w:trPr>
        <w:tc>
          <w:tcPr>
            <w:tcW w:w="1800" w:type="dxa"/>
            <w:tcBorders>
              <w:top w:val="single" w:sz="4" w:space="0" w:color="auto"/>
            </w:tcBorders>
            <w:shd w:val="clear" w:color="auto" w:fill="auto"/>
          </w:tcPr>
          <w:p w14:paraId="1A1064B4" w14:textId="55627A30" w:rsidR="0072606D" w:rsidRPr="0072606D" w:rsidRDefault="00687730" w:rsidP="00F253CE">
            <w:pPr>
              <w:suppressLineNumbers/>
              <w:suppressAutoHyphens/>
              <w:spacing w:before="60" w:after="60"/>
              <w:jc w:val="left"/>
              <w:rPr>
                <w:rFonts w:asciiTheme="majorBidi" w:eastAsia="MS Mincho" w:hAnsiTheme="majorBidi" w:cstheme="majorBidi"/>
                <w:b/>
                <w:kern w:val="22"/>
                <w:szCs w:val="22"/>
                <w:lang w:val="fr-CA"/>
              </w:rPr>
            </w:pPr>
            <w:r>
              <w:rPr>
                <w:b/>
                <w:bCs/>
                <w:kern w:val="22"/>
                <w:szCs w:val="22"/>
                <w:lang w:val="fr-FR"/>
              </w:rPr>
              <w:t>B.1. Les Parties entreprennent</w:t>
            </w:r>
            <w:r w:rsidR="0072606D" w:rsidRPr="0072606D">
              <w:rPr>
                <w:b/>
                <w:bCs/>
                <w:kern w:val="22"/>
                <w:szCs w:val="22"/>
                <w:lang w:val="fr-FR"/>
              </w:rPr>
              <w:t xml:space="preserve"> des activité</w:t>
            </w:r>
            <w:r w:rsidR="00F84F06">
              <w:rPr>
                <w:b/>
                <w:bCs/>
                <w:kern w:val="22"/>
                <w:szCs w:val="22"/>
                <w:lang w:val="fr-FR"/>
              </w:rPr>
              <w:t>s de renforcement des capacités</w:t>
            </w:r>
          </w:p>
        </w:tc>
        <w:tc>
          <w:tcPr>
            <w:tcW w:w="2785" w:type="dxa"/>
            <w:tcBorders>
              <w:top w:val="single" w:sz="4" w:space="0" w:color="auto"/>
            </w:tcBorders>
          </w:tcPr>
          <w:p w14:paraId="01F4188C" w14:textId="4BCBA298" w:rsidR="0072606D" w:rsidRPr="0072606D" w:rsidRDefault="0072606D" w:rsidP="00F253CE">
            <w:pPr>
              <w:spacing w:before="60" w:after="60"/>
              <w:jc w:val="left"/>
              <w:rPr>
                <w:rFonts w:eastAsia="MS Mincho"/>
                <w:kern w:val="22"/>
                <w:szCs w:val="22"/>
                <w:lang w:val="fr-FR"/>
              </w:rPr>
            </w:pPr>
            <w:r w:rsidRPr="0072606D">
              <w:rPr>
                <w:kern w:val="22"/>
                <w:szCs w:val="22"/>
                <w:lang w:val="fr-FR"/>
              </w:rPr>
              <w:t>B.1.1. Les Parties ont identifié et hiérarchisé leurs besoins en matière de renforcement des capacités</w:t>
            </w:r>
            <w:r w:rsidR="00F84F06">
              <w:rPr>
                <w:kern w:val="22"/>
                <w:szCs w:val="22"/>
                <w:lang w:val="fr-FR"/>
              </w:rPr>
              <w:t>;</w:t>
            </w:r>
          </w:p>
          <w:p w14:paraId="0C5E6D75" w14:textId="0883B346" w:rsidR="0072606D" w:rsidRPr="0072606D" w:rsidRDefault="0072606D" w:rsidP="00F253CE">
            <w:pPr>
              <w:spacing w:before="60" w:after="60"/>
              <w:jc w:val="left"/>
              <w:rPr>
                <w:rFonts w:eastAsia="MS Mincho"/>
                <w:kern w:val="22"/>
                <w:szCs w:val="22"/>
                <w:lang w:val="fr-FR"/>
              </w:rPr>
            </w:pPr>
            <w:r w:rsidRPr="0072606D">
              <w:rPr>
                <w:kern w:val="22"/>
                <w:szCs w:val="22"/>
                <w:lang w:val="fr-FR"/>
              </w:rPr>
              <w:t>B.1.2. Les Parties entreprennent des activités de renforcement des capacités, comme indiqué dans le Plan d’action pour le renforcement des capacités</w:t>
            </w:r>
            <w:r w:rsidR="00F84F06">
              <w:rPr>
                <w:kern w:val="22"/>
                <w:szCs w:val="22"/>
                <w:lang w:val="fr-FR"/>
              </w:rPr>
              <w:t xml:space="preserve"> du Protocole de Cartagena sur la prévention des risques biotechnologiques;</w:t>
            </w:r>
          </w:p>
          <w:p w14:paraId="1D99D6A2" w14:textId="32D94046" w:rsidR="0072606D" w:rsidRPr="0072606D" w:rsidRDefault="0072606D" w:rsidP="00F253CE">
            <w:pPr>
              <w:spacing w:before="60" w:after="60"/>
              <w:jc w:val="left"/>
              <w:rPr>
                <w:rFonts w:eastAsia="MS Mincho"/>
                <w:kern w:val="22"/>
                <w:szCs w:val="22"/>
                <w:lang w:val="fr-FR"/>
              </w:rPr>
            </w:pPr>
            <w:r w:rsidRPr="0072606D">
              <w:rPr>
                <w:kern w:val="22"/>
                <w:szCs w:val="22"/>
                <w:lang w:val="fr-FR"/>
              </w:rPr>
              <w:t xml:space="preserve">B.1.3. Les </w:t>
            </w:r>
            <w:r w:rsidR="00687730">
              <w:rPr>
                <w:kern w:val="22"/>
                <w:szCs w:val="22"/>
                <w:lang w:val="fr-FR"/>
              </w:rPr>
              <w:t>Parties utilisent du matériel sur le</w:t>
            </w:r>
            <w:r w:rsidRPr="0072606D">
              <w:rPr>
                <w:kern w:val="22"/>
                <w:szCs w:val="22"/>
                <w:lang w:val="fr-FR"/>
              </w:rPr>
              <w:t xml:space="preserve"> renforcement des capacités, y compris des ressources en ligne</w:t>
            </w:r>
            <w:r w:rsidR="00F84F06">
              <w:rPr>
                <w:kern w:val="22"/>
                <w:szCs w:val="22"/>
                <w:lang w:val="fr-FR"/>
              </w:rPr>
              <w:t>;</w:t>
            </w:r>
          </w:p>
          <w:p w14:paraId="31CBC701"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B.1.4. Les Parties coopèrent pour renforcer les capacités de mise en œuvre du Protocole.</w:t>
            </w:r>
          </w:p>
        </w:tc>
        <w:tc>
          <w:tcPr>
            <w:tcW w:w="3510" w:type="dxa"/>
            <w:tcBorders>
              <w:top w:val="single" w:sz="4" w:space="0" w:color="auto"/>
            </w:tcBorders>
            <w:shd w:val="clear" w:color="auto" w:fill="auto"/>
          </w:tcPr>
          <w:p w14:paraId="719E4ADD" w14:textId="301CFEDF" w:rsidR="0072606D" w:rsidRPr="0072606D" w:rsidRDefault="0072606D" w:rsidP="00F253CE">
            <w:pPr>
              <w:spacing w:before="60" w:after="60"/>
              <w:jc w:val="left"/>
              <w:rPr>
                <w:kern w:val="22"/>
                <w:szCs w:val="22"/>
                <w:lang w:val="fr-FR"/>
              </w:rPr>
            </w:pPr>
            <w:r w:rsidRPr="0072606D">
              <w:rPr>
                <w:kern w:val="22"/>
                <w:szCs w:val="22"/>
                <w:lang w:val="fr-FR"/>
              </w:rPr>
              <w:t>a) Pourcentage de Parties ayant identifié et hiérarchisé leurs besoins en matière de renforcement des capacités</w:t>
            </w:r>
            <w:r w:rsidR="00F84F06">
              <w:rPr>
                <w:kern w:val="22"/>
                <w:szCs w:val="22"/>
                <w:lang w:val="fr-FR"/>
              </w:rPr>
              <w:t>;</w:t>
            </w:r>
          </w:p>
          <w:p w14:paraId="60AAEC25" w14:textId="04F3F1B2" w:rsidR="0072606D" w:rsidRPr="0072606D" w:rsidRDefault="0072606D" w:rsidP="00F253CE">
            <w:pPr>
              <w:spacing w:before="60" w:after="60"/>
              <w:jc w:val="left"/>
              <w:rPr>
                <w:kern w:val="22"/>
                <w:szCs w:val="22"/>
                <w:lang w:val="fr-FR"/>
              </w:rPr>
            </w:pPr>
            <w:r w:rsidRPr="0072606D">
              <w:rPr>
                <w:kern w:val="22"/>
                <w:szCs w:val="22"/>
                <w:lang w:val="fr-FR"/>
              </w:rPr>
              <w:t>b) Pourcentage de Parties ayant entrepris des activités de renforcement des capacités</w:t>
            </w:r>
            <w:r w:rsidR="00F84F06">
              <w:rPr>
                <w:kern w:val="22"/>
                <w:szCs w:val="22"/>
                <w:lang w:val="fr-FR"/>
              </w:rPr>
              <w:t>;</w:t>
            </w:r>
          </w:p>
          <w:p w14:paraId="1832203C" w14:textId="7A6322D4" w:rsidR="0072606D" w:rsidRPr="0072606D" w:rsidRDefault="0072606D" w:rsidP="00F253CE">
            <w:pPr>
              <w:spacing w:before="60" w:after="60"/>
              <w:jc w:val="left"/>
              <w:rPr>
                <w:kern w:val="22"/>
                <w:szCs w:val="22"/>
                <w:lang w:val="fr-FR"/>
              </w:rPr>
            </w:pPr>
            <w:r w:rsidRPr="0072606D">
              <w:rPr>
                <w:kern w:val="22"/>
                <w:szCs w:val="22"/>
                <w:lang w:val="fr-FR"/>
              </w:rPr>
              <w:t>c) Pourcentage de Parties ayant des besoins de renforcement des capacités</w:t>
            </w:r>
            <w:r w:rsidR="00687730">
              <w:rPr>
                <w:kern w:val="22"/>
                <w:szCs w:val="22"/>
                <w:lang w:val="fr-FR"/>
              </w:rPr>
              <w:t xml:space="preserve"> et qui utilisent du matériel sur le</w:t>
            </w:r>
            <w:r w:rsidRPr="0072606D">
              <w:rPr>
                <w:kern w:val="22"/>
                <w:szCs w:val="22"/>
                <w:lang w:val="fr-FR"/>
              </w:rPr>
              <w:t xml:space="preserve"> renforcement des capacités, y compris des ressources en ligne</w:t>
            </w:r>
            <w:r w:rsidR="00F84F06">
              <w:rPr>
                <w:kern w:val="22"/>
                <w:szCs w:val="22"/>
                <w:lang w:val="fr-FR"/>
              </w:rPr>
              <w:t>;</w:t>
            </w:r>
          </w:p>
          <w:p w14:paraId="560B5AA3"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d) Pourcentage de Parties qui coopèrent pour renforcer les capacités de mise en œuvre du Protocole.</w:t>
            </w:r>
          </w:p>
        </w:tc>
        <w:tc>
          <w:tcPr>
            <w:tcW w:w="2970" w:type="dxa"/>
            <w:tcBorders>
              <w:top w:val="single" w:sz="4" w:space="0" w:color="auto"/>
            </w:tcBorders>
            <w:shd w:val="clear" w:color="auto" w:fill="auto"/>
          </w:tcPr>
          <w:p w14:paraId="0CA10BF0"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Les Parties ont les capacités nécessaires à la mise en œuvre du Protocole.</w:t>
            </w:r>
          </w:p>
        </w:tc>
      </w:tr>
      <w:tr w:rsidR="0072606D" w:rsidRPr="00E8551B" w14:paraId="5F86C811" w14:textId="77777777" w:rsidTr="00DE74F9">
        <w:trPr>
          <w:jc w:val="center"/>
        </w:trPr>
        <w:tc>
          <w:tcPr>
            <w:tcW w:w="1800" w:type="dxa"/>
            <w:shd w:val="clear" w:color="auto" w:fill="auto"/>
          </w:tcPr>
          <w:p w14:paraId="3CD9AB50" w14:textId="21F7803B" w:rsidR="0072606D" w:rsidRPr="0072606D" w:rsidRDefault="0072606D" w:rsidP="00F253CE">
            <w:pPr>
              <w:suppressLineNumbers/>
              <w:suppressAutoHyphens/>
              <w:spacing w:before="60" w:after="60"/>
              <w:jc w:val="left"/>
              <w:rPr>
                <w:rFonts w:asciiTheme="majorBidi" w:eastAsia="MS Mincho" w:hAnsiTheme="majorBidi" w:cstheme="majorBidi"/>
                <w:b/>
                <w:bCs/>
                <w:kern w:val="22"/>
                <w:szCs w:val="22"/>
                <w:lang w:val="fr-CA"/>
              </w:rPr>
            </w:pPr>
            <w:r w:rsidRPr="0072606D">
              <w:rPr>
                <w:b/>
                <w:bCs/>
                <w:kern w:val="22"/>
                <w:szCs w:val="22"/>
                <w:lang w:val="fr-FR"/>
              </w:rPr>
              <w:t xml:space="preserve">B.2. Les Parties mobilisent des ressources adéquates </w:t>
            </w:r>
            <w:r w:rsidR="00687730">
              <w:rPr>
                <w:b/>
                <w:bCs/>
                <w:kern w:val="22"/>
                <w:szCs w:val="22"/>
                <w:lang w:val="fr-FR"/>
              </w:rPr>
              <w:t>de toutes</w:t>
            </w:r>
            <w:r w:rsidRPr="0072606D">
              <w:rPr>
                <w:b/>
                <w:bCs/>
                <w:kern w:val="22"/>
                <w:szCs w:val="22"/>
                <w:lang w:val="fr-FR"/>
              </w:rPr>
              <w:t xml:space="preserve"> sources pour soutenir l’application du Protocole, conformément à l’article 28 du Protocole</w:t>
            </w:r>
          </w:p>
        </w:tc>
        <w:tc>
          <w:tcPr>
            <w:tcW w:w="2785" w:type="dxa"/>
          </w:tcPr>
          <w:p w14:paraId="058DFBF9" w14:textId="3A25E298" w:rsidR="0072606D" w:rsidRPr="0072606D" w:rsidRDefault="0072606D" w:rsidP="00F253CE">
            <w:pPr>
              <w:spacing w:before="60" w:after="60"/>
              <w:jc w:val="left"/>
              <w:rPr>
                <w:rFonts w:eastAsia="MS Mincho"/>
                <w:kern w:val="22"/>
                <w:szCs w:val="22"/>
                <w:lang w:val="fr-FR"/>
              </w:rPr>
            </w:pPr>
            <w:r w:rsidRPr="0072606D">
              <w:rPr>
                <w:kern w:val="22"/>
                <w:szCs w:val="22"/>
                <w:lang w:val="fr-FR"/>
              </w:rPr>
              <w:t>B.2.1. Des ressources adéquates sont allouées à la prévention des risques biotechnologiques par l’intermédiaire des budgets nationaux</w:t>
            </w:r>
            <w:r w:rsidR="00F84F06">
              <w:rPr>
                <w:kern w:val="22"/>
                <w:szCs w:val="22"/>
                <w:lang w:val="fr-FR"/>
              </w:rPr>
              <w:t>;</w:t>
            </w:r>
          </w:p>
          <w:p w14:paraId="3308461E" w14:textId="7E766081" w:rsidR="0072606D" w:rsidRPr="0072606D" w:rsidRDefault="0072606D" w:rsidP="00F253CE">
            <w:pPr>
              <w:jc w:val="left"/>
              <w:rPr>
                <w:kern w:val="22"/>
                <w:szCs w:val="22"/>
                <w:lang w:val="fr-FR"/>
              </w:rPr>
            </w:pPr>
            <w:r w:rsidRPr="0072606D">
              <w:rPr>
                <w:kern w:val="22"/>
                <w:szCs w:val="22"/>
                <w:lang w:val="fr-FR"/>
              </w:rPr>
              <w:t>B.2.2. Les Parties allouent aux activités de prévention des risques biotechnologiques une part des ressources allouées à la biodiversité au niveau national à travers le Système transparent d’allocation des ressources (STAR)</w:t>
            </w:r>
            <w:r w:rsidR="00F84F06">
              <w:rPr>
                <w:kern w:val="22"/>
                <w:szCs w:val="22"/>
                <w:lang w:val="fr-FR"/>
              </w:rPr>
              <w:t>;</w:t>
            </w:r>
          </w:p>
          <w:p w14:paraId="5F76AB63" w14:textId="77777777" w:rsidR="0072606D" w:rsidRPr="0072606D" w:rsidRDefault="0072606D" w:rsidP="00F253CE">
            <w:pPr>
              <w:jc w:val="left"/>
              <w:rPr>
                <w:rFonts w:eastAsia="MS Mincho"/>
                <w:kern w:val="22"/>
                <w:szCs w:val="22"/>
                <w:lang w:val="fr-FR"/>
              </w:rPr>
            </w:pPr>
            <w:r w:rsidRPr="0072606D">
              <w:rPr>
                <w:kern w:val="22"/>
                <w:szCs w:val="22"/>
                <w:lang w:val="fr-FR"/>
              </w:rPr>
              <w:t>B.2.3. Les Parties mobilisent des ressources provenant d’autres sources.</w:t>
            </w:r>
          </w:p>
        </w:tc>
        <w:tc>
          <w:tcPr>
            <w:tcW w:w="3510" w:type="dxa"/>
            <w:shd w:val="clear" w:color="auto" w:fill="auto"/>
          </w:tcPr>
          <w:p w14:paraId="6699E189" w14:textId="1406AA70" w:rsidR="0072606D" w:rsidRPr="0072606D" w:rsidRDefault="0072606D" w:rsidP="00F253CE">
            <w:pPr>
              <w:spacing w:before="60" w:after="60"/>
              <w:jc w:val="left"/>
              <w:rPr>
                <w:rFonts w:eastAsia="MS Mincho"/>
                <w:kern w:val="22"/>
                <w:szCs w:val="22"/>
                <w:lang w:val="fr-FR"/>
              </w:rPr>
            </w:pPr>
            <w:r w:rsidRPr="0072606D">
              <w:rPr>
                <w:kern w:val="22"/>
                <w:szCs w:val="22"/>
                <w:lang w:val="fr-FR"/>
              </w:rPr>
              <w:t>a) Pourcentage de Parties disposant dans les budgets nationaux de ressources suffisantes pour la prévention des risques biotechnologiques</w:t>
            </w:r>
            <w:r w:rsidR="00F84F06">
              <w:rPr>
                <w:kern w:val="22"/>
                <w:szCs w:val="22"/>
                <w:lang w:val="fr-FR"/>
              </w:rPr>
              <w:t>;</w:t>
            </w:r>
          </w:p>
          <w:p w14:paraId="386E262D" w14:textId="517E30F4" w:rsidR="0072606D" w:rsidRPr="0072606D" w:rsidRDefault="0072606D" w:rsidP="00687730">
            <w:pPr>
              <w:spacing w:after="120"/>
              <w:jc w:val="left"/>
              <w:rPr>
                <w:rFonts w:eastAsia="MS Mincho"/>
                <w:kern w:val="22"/>
                <w:szCs w:val="22"/>
                <w:lang w:val="fr-FR"/>
              </w:rPr>
            </w:pPr>
            <w:r w:rsidRPr="0072606D">
              <w:rPr>
                <w:kern w:val="22"/>
                <w:szCs w:val="22"/>
                <w:lang w:val="fr-FR"/>
              </w:rPr>
              <w:t>b) Pourcentage de Parties admissibles qui utilisent les allocations nationales STAR pour des activités de prévention des risques biotechnologiques</w:t>
            </w:r>
            <w:r w:rsidR="00F84F06">
              <w:rPr>
                <w:kern w:val="22"/>
                <w:szCs w:val="22"/>
                <w:lang w:val="fr-FR"/>
              </w:rPr>
              <w:t>;</w:t>
            </w:r>
          </w:p>
          <w:p w14:paraId="74BB6B47" w14:textId="47A5CE9B" w:rsidR="0072606D" w:rsidRPr="0072606D" w:rsidRDefault="0072606D" w:rsidP="00F253CE">
            <w:pPr>
              <w:jc w:val="left"/>
              <w:rPr>
                <w:rFonts w:eastAsia="MS Mincho"/>
                <w:kern w:val="22"/>
                <w:szCs w:val="22"/>
                <w:lang w:val="fr-FR"/>
              </w:rPr>
            </w:pPr>
            <w:r w:rsidRPr="0072606D">
              <w:rPr>
                <w:kern w:val="22"/>
                <w:szCs w:val="22"/>
                <w:lang w:val="fr-FR"/>
              </w:rPr>
              <w:t>c) Pourcentage de Parties ayant obtenu des ressources supplémentaires</w:t>
            </w:r>
            <w:r w:rsidR="00F84F06">
              <w:rPr>
                <w:kern w:val="22"/>
                <w:szCs w:val="22"/>
                <w:lang w:val="fr-FR"/>
              </w:rPr>
              <w:t>;</w:t>
            </w:r>
          </w:p>
          <w:p w14:paraId="550F8850"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p>
        </w:tc>
        <w:tc>
          <w:tcPr>
            <w:tcW w:w="2970" w:type="dxa"/>
            <w:shd w:val="clear" w:color="auto" w:fill="auto"/>
          </w:tcPr>
          <w:p w14:paraId="4FED5947"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La pleine mise en œuvre du Protocole est rendue possible par des ressources adéquates.</w:t>
            </w:r>
          </w:p>
        </w:tc>
      </w:tr>
      <w:tr w:rsidR="0072606D" w:rsidRPr="00E8551B" w14:paraId="0B213CAE" w14:textId="77777777" w:rsidTr="00DE74F9">
        <w:trPr>
          <w:jc w:val="center"/>
        </w:trPr>
        <w:tc>
          <w:tcPr>
            <w:tcW w:w="1800" w:type="dxa"/>
            <w:shd w:val="clear" w:color="auto" w:fill="auto"/>
          </w:tcPr>
          <w:p w14:paraId="50B614C2" w14:textId="62C05B87" w:rsidR="0072606D" w:rsidRPr="0072606D" w:rsidRDefault="0072606D" w:rsidP="00F253CE">
            <w:pPr>
              <w:suppressLineNumbers/>
              <w:suppressAutoHyphens/>
              <w:spacing w:before="60" w:after="60"/>
              <w:jc w:val="left"/>
              <w:rPr>
                <w:rFonts w:asciiTheme="majorBidi" w:eastAsia="MS Mincho" w:hAnsiTheme="majorBidi" w:cstheme="majorBidi"/>
                <w:b/>
                <w:kern w:val="22"/>
                <w:szCs w:val="22"/>
                <w:lang w:val="fr-CA"/>
              </w:rPr>
            </w:pPr>
            <w:r w:rsidRPr="0072606D">
              <w:rPr>
                <w:b/>
                <w:bCs/>
                <w:kern w:val="22"/>
                <w:szCs w:val="22"/>
                <w:lang w:val="fr-FR"/>
              </w:rPr>
              <w:t xml:space="preserve">B.3. Les Parties promeuvent et facilitent la </w:t>
            </w:r>
            <w:r w:rsidRPr="0072606D">
              <w:rPr>
                <w:b/>
                <w:bCs/>
                <w:kern w:val="22"/>
                <w:szCs w:val="22"/>
                <w:lang w:val="fr-FR"/>
              </w:rPr>
              <w:lastRenderedPageBreak/>
              <w:t>sensibilisation, l’éducation et la participation du public sur le transfert, la manipulation et l’utilisation sans danger des OVM, conformém</w:t>
            </w:r>
            <w:r w:rsidR="00F253CE">
              <w:rPr>
                <w:b/>
                <w:bCs/>
                <w:kern w:val="22"/>
                <w:szCs w:val="22"/>
                <w:lang w:val="fr-FR"/>
              </w:rPr>
              <w:t>ent à l’article 23 du Protocole</w:t>
            </w:r>
          </w:p>
        </w:tc>
        <w:tc>
          <w:tcPr>
            <w:tcW w:w="2785" w:type="dxa"/>
          </w:tcPr>
          <w:p w14:paraId="7447357C" w14:textId="2DB28DC1" w:rsidR="0072606D" w:rsidRPr="0072606D" w:rsidRDefault="0072606D" w:rsidP="00F253CE">
            <w:pPr>
              <w:spacing w:before="60" w:after="60"/>
              <w:jc w:val="left"/>
              <w:rPr>
                <w:rFonts w:eastAsia="MS Mincho"/>
                <w:kern w:val="22"/>
                <w:szCs w:val="22"/>
                <w:lang w:val="fr-FR"/>
              </w:rPr>
            </w:pPr>
            <w:r w:rsidRPr="0072606D">
              <w:rPr>
                <w:kern w:val="22"/>
                <w:szCs w:val="22"/>
                <w:lang w:val="fr-FR"/>
              </w:rPr>
              <w:lastRenderedPageBreak/>
              <w:t xml:space="preserve">B.3.1. Les Parties ont développé des mécanismes pour promouvoir et faciliter </w:t>
            </w:r>
            <w:r w:rsidRPr="0072606D">
              <w:rPr>
                <w:kern w:val="22"/>
                <w:szCs w:val="22"/>
                <w:lang w:val="fr-FR"/>
              </w:rPr>
              <w:lastRenderedPageBreak/>
              <w:t>la sensibilisation, l’éducation et la participation du public à la prévention des risques biotechnologiques</w:t>
            </w:r>
            <w:r w:rsidR="00F84F06">
              <w:rPr>
                <w:kern w:val="22"/>
                <w:szCs w:val="22"/>
                <w:lang w:val="fr-FR"/>
              </w:rPr>
              <w:t>;</w:t>
            </w:r>
          </w:p>
          <w:p w14:paraId="2088D5E2" w14:textId="77777777" w:rsidR="00A35266" w:rsidRDefault="0072606D" w:rsidP="00F253CE">
            <w:pPr>
              <w:jc w:val="left"/>
              <w:rPr>
                <w:rFonts w:eastAsia="MS Mincho"/>
                <w:kern w:val="22"/>
                <w:szCs w:val="22"/>
                <w:lang w:val="fr-FR"/>
              </w:rPr>
            </w:pPr>
            <w:r w:rsidRPr="0072606D">
              <w:rPr>
                <w:kern w:val="22"/>
                <w:szCs w:val="22"/>
                <w:lang w:val="fr-FR"/>
              </w:rPr>
              <w:t>B.3.2. Les Parties ont accès à du matériel ressource pour promouvoir et faciliter la sensibilisation, l’éducation et la participation du public à la prévention des risques biotechnologiques</w:t>
            </w:r>
            <w:r w:rsidR="00F84F06">
              <w:rPr>
                <w:kern w:val="22"/>
                <w:szCs w:val="22"/>
                <w:lang w:val="fr-FR"/>
              </w:rPr>
              <w:t>;</w:t>
            </w:r>
          </w:p>
          <w:p w14:paraId="0ACED401" w14:textId="3C820FCD" w:rsidR="0072606D" w:rsidRPr="0072606D" w:rsidRDefault="0072606D" w:rsidP="00A35266">
            <w:pPr>
              <w:spacing w:before="60"/>
              <w:jc w:val="left"/>
              <w:rPr>
                <w:rFonts w:eastAsia="MS Mincho"/>
                <w:kern w:val="22"/>
                <w:szCs w:val="22"/>
                <w:lang w:val="fr-FR"/>
              </w:rPr>
            </w:pPr>
            <w:r w:rsidRPr="0072606D">
              <w:rPr>
                <w:kern w:val="22"/>
                <w:szCs w:val="22"/>
                <w:lang w:val="fr-FR"/>
              </w:rPr>
              <w:t>B.3.3. Les Parties consultent le public pour prendre des décisions sur les OVM, conformément à leurs lois et réglementations respectives, et mettent les résultats des décisions à la disposition du public</w:t>
            </w:r>
            <w:r w:rsidR="00F84F06">
              <w:rPr>
                <w:kern w:val="22"/>
                <w:szCs w:val="22"/>
                <w:lang w:val="fr-FR"/>
              </w:rPr>
              <w:t>;</w:t>
            </w:r>
          </w:p>
          <w:p w14:paraId="3BA7F31F"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B.3.4. Les Parties informent le public sur les moyens d’accès au CEPRB.</w:t>
            </w:r>
          </w:p>
        </w:tc>
        <w:tc>
          <w:tcPr>
            <w:tcW w:w="3510" w:type="dxa"/>
            <w:shd w:val="clear" w:color="auto" w:fill="auto"/>
          </w:tcPr>
          <w:p w14:paraId="3526AE0D" w14:textId="2E48E185" w:rsidR="0072606D" w:rsidRPr="0072606D" w:rsidRDefault="0072606D" w:rsidP="00687730">
            <w:pPr>
              <w:spacing w:before="60"/>
              <w:jc w:val="left"/>
              <w:rPr>
                <w:rFonts w:eastAsia="MS Mincho"/>
                <w:kern w:val="22"/>
                <w:szCs w:val="22"/>
                <w:lang w:val="fr-FR"/>
              </w:rPr>
            </w:pPr>
            <w:r w:rsidRPr="0072606D">
              <w:rPr>
                <w:kern w:val="22"/>
                <w:szCs w:val="22"/>
                <w:lang w:val="fr-FR"/>
              </w:rPr>
              <w:lastRenderedPageBreak/>
              <w:t xml:space="preserve">a) Pourcentage de Parties ayant obtenu du matériel ressource pour faciliter et promouvoir la </w:t>
            </w:r>
            <w:r w:rsidRPr="0072606D">
              <w:rPr>
                <w:kern w:val="22"/>
                <w:szCs w:val="22"/>
                <w:lang w:val="fr-FR"/>
              </w:rPr>
              <w:lastRenderedPageBreak/>
              <w:t>sensibilisation, l’éducation et la participation du public à la prévention des risques biotechnologiques</w:t>
            </w:r>
            <w:r w:rsidR="00F84F06">
              <w:rPr>
                <w:kern w:val="22"/>
                <w:szCs w:val="22"/>
                <w:lang w:val="fr-FR"/>
              </w:rPr>
              <w:t>;</w:t>
            </w:r>
          </w:p>
          <w:p w14:paraId="27EFEEA2" w14:textId="57B384B2" w:rsidR="0072606D" w:rsidRPr="0072606D" w:rsidRDefault="0072606D" w:rsidP="00A35266">
            <w:pPr>
              <w:spacing w:before="60"/>
              <w:jc w:val="left"/>
              <w:rPr>
                <w:rFonts w:eastAsia="MS Mincho"/>
                <w:kern w:val="22"/>
                <w:szCs w:val="22"/>
                <w:lang w:val="fr-FR"/>
              </w:rPr>
            </w:pPr>
            <w:r w:rsidRPr="0072606D">
              <w:rPr>
                <w:kern w:val="22"/>
                <w:szCs w:val="22"/>
                <w:lang w:val="fr-FR"/>
              </w:rPr>
              <w:t>b) Pourcentage de Parties ayant intégré la prévention des risques biotechnologiques dans les programmes d’éducation et de formation pertinents</w:t>
            </w:r>
            <w:r w:rsidR="00F84F06">
              <w:rPr>
                <w:kern w:val="22"/>
                <w:szCs w:val="22"/>
                <w:lang w:val="fr-FR"/>
              </w:rPr>
              <w:t>;</w:t>
            </w:r>
          </w:p>
          <w:p w14:paraId="4D53C7A5" w14:textId="77777777" w:rsidR="00A35266" w:rsidRDefault="0072606D" w:rsidP="00A35266">
            <w:pPr>
              <w:spacing w:before="60"/>
              <w:jc w:val="left"/>
              <w:rPr>
                <w:rFonts w:eastAsia="MS Mincho"/>
                <w:kern w:val="22"/>
                <w:szCs w:val="22"/>
                <w:lang w:val="fr-FR"/>
              </w:rPr>
            </w:pPr>
            <w:r w:rsidRPr="0072606D">
              <w:rPr>
                <w:kern w:val="22"/>
                <w:szCs w:val="22"/>
                <w:lang w:val="fr-FR"/>
              </w:rPr>
              <w:t>c) Pourcentage de Parties ayant mis en place un mécanisme facilitant et encourageant la participation du public à la prise de décisions concernant les OVM</w:t>
            </w:r>
            <w:r w:rsidR="00F84F06">
              <w:rPr>
                <w:kern w:val="22"/>
                <w:szCs w:val="22"/>
                <w:lang w:val="fr-FR"/>
              </w:rPr>
              <w:t>;</w:t>
            </w:r>
          </w:p>
          <w:p w14:paraId="431B01AF" w14:textId="77777777" w:rsidR="00A35266" w:rsidRDefault="0072606D" w:rsidP="00A35266">
            <w:pPr>
              <w:spacing w:before="60"/>
              <w:jc w:val="left"/>
              <w:rPr>
                <w:rFonts w:eastAsia="MS Mincho"/>
                <w:kern w:val="22"/>
                <w:szCs w:val="22"/>
                <w:lang w:val="fr-FR"/>
              </w:rPr>
            </w:pPr>
            <w:r w:rsidRPr="0072606D">
              <w:rPr>
                <w:kern w:val="22"/>
                <w:szCs w:val="22"/>
                <w:lang w:val="fr-FR"/>
              </w:rPr>
              <w:t>d) Pourcentage de Parties ayant informé le public des moyens de participer à la prise de décisions</w:t>
            </w:r>
            <w:r w:rsidR="00F84F06">
              <w:rPr>
                <w:kern w:val="22"/>
                <w:szCs w:val="22"/>
                <w:lang w:val="fr-FR"/>
              </w:rPr>
              <w:t>;</w:t>
            </w:r>
          </w:p>
          <w:p w14:paraId="31262607" w14:textId="77777777" w:rsidR="00A35266" w:rsidRDefault="0072606D" w:rsidP="00A35266">
            <w:pPr>
              <w:spacing w:before="60"/>
              <w:jc w:val="left"/>
              <w:rPr>
                <w:rFonts w:eastAsia="MS Mincho"/>
                <w:kern w:val="22"/>
                <w:szCs w:val="22"/>
                <w:lang w:val="fr-FR"/>
              </w:rPr>
            </w:pPr>
            <w:r w:rsidRPr="0072606D">
              <w:rPr>
                <w:kern w:val="22"/>
                <w:szCs w:val="22"/>
                <w:lang w:val="fr-FR"/>
              </w:rPr>
              <w:t>e) Pourcentage de Parties ayant consulté le public au cours du processus décisionnel conformément à leurs lois et réglementations respectives</w:t>
            </w:r>
            <w:r w:rsidR="00F84F06">
              <w:rPr>
                <w:kern w:val="22"/>
                <w:szCs w:val="22"/>
                <w:lang w:val="fr-FR"/>
              </w:rPr>
              <w:t>;</w:t>
            </w:r>
          </w:p>
          <w:p w14:paraId="032E8E1D" w14:textId="1F8D9630" w:rsidR="0072606D" w:rsidRPr="0072606D" w:rsidRDefault="0072606D" w:rsidP="00A35266">
            <w:pPr>
              <w:spacing w:before="60"/>
              <w:jc w:val="left"/>
              <w:rPr>
                <w:rFonts w:eastAsia="MS Mincho"/>
                <w:kern w:val="22"/>
                <w:szCs w:val="22"/>
                <w:lang w:val="fr-FR"/>
              </w:rPr>
            </w:pPr>
            <w:r w:rsidRPr="0072606D">
              <w:rPr>
                <w:kern w:val="22"/>
                <w:szCs w:val="22"/>
                <w:lang w:val="fr-FR"/>
              </w:rPr>
              <w:t>f) Pourcentage de Parties ayant rendu les résultats des décisions accessibles au public</w:t>
            </w:r>
            <w:r w:rsidR="00F84F06">
              <w:rPr>
                <w:kern w:val="22"/>
                <w:szCs w:val="22"/>
                <w:lang w:val="fr-FR"/>
              </w:rPr>
              <w:t>;</w:t>
            </w:r>
          </w:p>
          <w:p w14:paraId="2C0E8F35"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g) Pourcentage de Parties ayant informé le public des moyens d’accès au CEPRB.</w:t>
            </w:r>
          </w:p>
        </w:tc>
        <w:tc>
          <w:tcPr>
            <w:tcW w:w="2970" w:type="dxa"/>
            <w:shd w:val="clear" w:color="auto" w:fill="auto"/>
          </w:tcPr>
          <w:p w14:paraId="45989F3A"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lastRenderedPageBreak/>
              <w:t xml:space="preserve">Grâce à la sensibilisation, à l’éducation et à la participation du public, les Parties veillent à </w:t>
            </w:r>
            <w:r w:rsidRPr="0072606D">
              <w:rPr>
                <w:kern w:val="22"/>
                <w:szCs w:val="22"/>
                <w:lang w:val="fr-FR"/>
              </w:rPr>
              <w:lastRenderedPageBreak/>
              <w:t>ce que le public soit correctement informé du transfert, de la manipulation et de l’utilisation en toute sécurité des OVM et participe à la prise de décisions sur le transfert, la manipulation et l’utilisation en toute sécurité des OVM.</w:t>
            </w:r>
          </w:p>
        </w:tc>
      </w:tr>
      <w:tr w:rsidR="0072606D" w:rsidRPr="00E8551B" w14:paraId="237672FE" w14:textId="77777777" w:rsidTr="00DE74F9">
        <w:trPr>
          <w:jc w:val="center"/>
        </w:trPr>
        <w:tc>
          <w:tcPr>
            <w:tcW w:w="1800" w:type="dxa"/>
            <w:shd w:val="clear" w:color="auto" w:fill="auto"/>
          </w:tcPr>
          <w:p w14:paraId="15219310" w14:textId="535B2FF7" w:rsidR="0072606D" w:rsidRPr="0072606D" w:rsidRDefault="0072606D" w:rsidP="00F253CE">
            <w:pPr>
              <w:suppressLineNumbers/>
              <w:suppressAutoHyphens/>
              <w:spacing w:before="60" w:after="60"/>
              <w:jc w:val="left"/>
              <w:rPr>
                <w:rFonts w:asciiTheme="majorBidi" w:eastAsia="MS Mincho" w:hAnsiTheme="majorBidi" w:cstheme="majorBidi"/>
                <w:b/>
                <w:strike/>
                <w:kern w:val="22"/>
                <w:szCs w:val="22"/>
                <w:lang w:val="fr-CA"/>
              </w:rPr>
            </w:pPr>
            <w:r w:rsidRPr="0072606D">
              <w:rPr>
                <w:b/>
                <w:bCs/>
                <w:kern w:val="22"/>
                <w:szCs w:val="22"/>
                <w:lang w:val="fr-FR"/>
              </w:rPr>
              <w:lastRenderedPageBreak/>
              <w:t xml:space="preserve">B.4. Les Parties renforcent la coopération et la coordination sur les questions de prévention des risques biotechnologi-ques aux niveaux national, </w:t>
            </w:r>
            <w:r w:rsidR="00F253CE">
              <w:rPr>
                <w:b/>
                <w:bCs/>
                <w:kern w:val="22"/>
                <w:szCs w:val="22"/>
                <w:lang w:val="fr-FR"/>
              </w:rPr>
              <w:t>régional et international</w:t>
            </w:r>
          </w:p>
        </w:tc>
        <w:tc>
          <w:tcPr>
            <w:tcW w:w="2785" w:type="dxa"/>
          </w:tcPr>
          <w:p w14:paraId="44139AF6" w14:textId="0C8F36B8" w:rsidR="0072606D" w:rsidRPr="0072606D" w:rsidRDefault="0072606D" w:rsidP="00F253CE">
            <w:pPr>
              <w:spacing w:before="60" w:after="60"/>
              <w:jc w:val="left"/>
              <w:rPr>
                <w:rFonts w:eastAsia="MS Mincho"/>
                <w:kern w:val="22"/>
                <w:szCs w:val="22"/>
                <w:lang w:val="fr-FR"/>
              </w:rPr>
            </w:pPr>
            <w:r w:rsidRPr="0072606D">
              <w:rPr>
                <w:kern w:val="22"/>
                <w:szCs w:val="22"/>
                <w:lang w:val="fr-FR"/>
              </w:rPr>
              <w:t>B.4.1. Les Parties coopèrent pour soutenir l’application du Protocole, y compris par l’échange de connaissances scientifiques, techniques et institutionnelles</w:t>
            </w:r>
            <w:r w:rsidR="00F84F06">
              <w:rPr>
                <w:kern w:val="22"/>
                <w:szCs w:val="22"/>
                <w:lang w:val="fr-FR"/>
              </w:rPr>
              <w:t>;</w:t>
            </w:r>
          </w:p>
          <w:p w14:paraId="3F2CBA84" w14:textId="557383B1" w:rsidR="0072606D" w:rsidRPr="0072606D" w:rsidRDefault="0072606D" w:rsidP="00F253CE">
            <w:pPr>
              <w:jc w:val="left"/>
              <w:rPr>
                <w:rFonts w:eastAsia="MS Mincho"/>
                <w:kern w:val="22"/>
                <w:szCs w:val="22"/>
                <w:lang w:val="fr-FR"/>
              </w:rPr>
            </w:pPr>
            <w:r w:rsidRPr="0072606D">
              <w:rPr>
                <w:kern w:val="22"/>
                <w:szCs w:val="22"/>
                <w:lang w:val="fr-FR"/>
              </w:rPr>
              <w:t>B.4.2. Les Parties ont mis en place des mécanismes efficaces pour assurer la participation des peuples autochtones et des communautés locales, ainsi que des parties prenantes concernées de différents secteurs à l’application du Protocole</w:t>
            </w:r>
            <w:r w:rsidR="00F84F06">
              <w:rPr>
                <w:kern w:val="22"/>
                <w:szCs w:val="22"/>
                <w:lang w:val="fr-FR"/>
              </w:rPr>
              <w:t>;</w:t>
            </w:r>
          </w:p>
          <w:p w14:paraId="31FC2A0D"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 xml:space="preserve">B.4.3. Les Parties facilitent la coordination et la </w:t>
            </w:r>
            <w:r w:rsidRPr="0072606D">
              <w:rPr>
                <w:kern w:val="22"/>
                <w:szCs w:val="22"/>
                <w:lang w:val="fr-FR"/>
              </w:rPr>
              <w:lastRenderedPageBreak/>
              <w:t>coopération sectorielles et intersectorielles au niveau national pour intégrer la prévention des risques biotechnologiques.</w:t>
            </w:r>
          </w:p>
        </w:tc>
        <w:tc>
          <w:tcPr>
            <w:tcW w:w="3510" w:type="dxa"/>
            <w:shd w:val="clear" w:color="auto" w:fill="auto"/>
          </w:tcPr>
          <w:p w14:paraId="31E6153B" w14:textId="6E452386" w:rsidR="0072606D" w:rsidRPr="0072606D" w:rsidRDefault="0072606D" w:rsidP="00F253CE">
            <w:pPr>
              <w:spacing w:before="60" w:after="60"/>
              <w:jc w:val="left"/>
              <w:rPr>
                <w:rFonts w:eastAsia="MS Mincho"/>
                <w:kern w:val="22"/>
                <w:szCs w:val="22"/>
                <w:lang w:val="fr-FR"/>
              </w:rPr>
            </w:pPr>
            <w:r w:rsidRPr="0072606D">
              <w:rPr>
                <w:kern w:val="22"/>
                <w:szCs w:val="22"/>
                <w:lang w:val="fr-FR"/>
              </w:rPr>
              <w:lastRenderedPageBreak/>
              <w:t>a) Pourcentage de Parties coopérant pour échanger des connaissances scientifiques, techniques et institutionnelles</w:t>
            </w:r>
            <w:r w:rsidR="00F84F06">
              <w:rPr>
                <w:kern w:val="22"/>
                <w:szCs w:val="22"/>
                <w:lang w:val="fr-FR"/>
              </w:rPr>
              <w:t>;</w:t>
            </w:r>
          </w:p>
          <w:p w14:paraId="62C95079" w14:textId="1687A5AF" w:rsidR="0072606D" w:rsidRPr="0072606D" w:rsidRDefault="0072606D" w:rsidP="00F253CE">
            <w:pPr>
              <w:jc w:val="left"/>
              <w:rPr>
                <w:rFonts w:eastAsia="MS Mincho"/>
                <w:kern w:val="22"/>
                <w:szCs w:val="22"/>
                <w:lang w:val="fr-FR"/>
              </w:rPr>
            </w:pPr>
            <w:r w:rsidRPr="0072606D">
              <w:rPr>
                <w:kern w:val="22"/>
                <w:szCs w:val="22"/>
                <w:lang w:val="fr-FR"/>
              </w:rPr>
              <w:t>b) Pourcentage de Parties engagées dans des activités bilatérales, régionales ou multilatérales pour l’application du Protocole</w:t>
            </w:r>
            <w:r w:rsidR="00F84F06">
              <w:rPr>
                <w:kern w:val="22"/>
                <w:szCs w:val="22"/>
                <w:lang w:val="fr-FR"/>
              </w:rPr>
              <w:t>;</w:t>
            </w:r>
          </w:p>
          <w:p w14:paraId="60211C34" w14:textId="33D43ACE" w:rsidR="0072606D" w:rsidRPr="0072606D" w:rsidRDefault="0072606D" w:rsidP="00A35266">
            <w:pPr>
              <w:spacing w:before="60"/>
              <w:jc w:val="left"/>
              <w:rPr>
                <w:rFonts w:eastAsia="MS Mincho"/>
                <w:kern w:val="22"/>
                <w:szCs w:val="22"/>
                <w:lang w:val="fr-FR"/>
              </w:rPr>
            </w:pPr>
            <w:r w:rsidRPr="0072606D">
              <w:rPr>
                <w:kern w:val="22"/>
                <w:szCs w:val="22"/>
                <w:lang w:val="fr-FR"/>
              </w:rPr>
              <w:t>c) Pourcentage de Parties disposant de mécanismes pour associer les peuples autochtones et les communautés locales ainsi que les parties prenantes concernées de différents secteurs à l’application du Protocole</w:t>
            </w:r>
            <w:r w:rsidR="00F84F06">
              <w:rPr>
                <w:kern w:val="22"/>
                <w:szCs w:val="22"/>
                <w:lang w:val="fr-FR"/>
              </w:rPr>
              <w:t>;</w:t>
            </w:r>
          </w:p>
          <w:p w14:paraId="7143E675"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t xml:space="preserve">d) Pourcentage de Parties ayant intégré la prévention des risques biotechnologiques dans des </w:t>
            </w:r>
            <w:r w:rsidRPr="0072606D">
              <w:rPr>
                <w:kern w:val="22"/>
                <w:szCs w:val="22"/>
                <w:lang w:val="fr-FR"/>
              </w:rPr>
              <w:lastRenderedPageBreak/>
              <w:t>stratégies, plans d’action, programmes, politiques ou législations sectoriels et intersectoriels nationaux.</w:t>
            </w:r>
          </w:p>
        </w:tc>
        <w:tc>
          <w:tcPr>
            <w:tcW w:w="2970" w:type="dxa"/>
            <w:shd w:val="clear" w:color="auto" w:fill="auto"/>
          </w:tcPr>
          <w:p w14:paraId="54ED021A" w14:textId="77777777" w:rsidR="0072606D" w:rsidRPr="0072606D" w:rsidRDefault="0072606D" w:rsidP="00F253CE">
            <w:pPr>
              <w:suppressLineNumbers/>
              <w:suppressAutoHyphens/>
              <w:spacing w:before="60" w:after="60"/>
              <w:jc w:val="left"/>
              <w:rPr>
                <w:rFonts w:asciiTheme="majorBidi" w:eastAsia="MS Mincho" w:hAnsiTheme="majorBidi" w:cstheme="majorBidi"/>
                <w:kern w:val="22"/>
                <w:szCs w:val="22"/>
                <w:lang w:val="fr-CA"/>
              </w:rPr>
            </w:pPr>
            <w:r w:rsidRPr="0072606D">
              <w:rPr>
                <w:kern w:val="22"/>
                <w:szCs w:val="22"/>
                <w:lang w:val="fr-FR"/>
              </w:rPr>
              <w:lastRenderedPageBreak/>
              <w:t>Grâce à la coopération aux niveaux national, régional et international et à la participation des parties prenantes, l’application du Protocole par les Parties est plus efficace.</w:t>
            </w:r>
          </w:p>
        </w:tc>
      </w:tr>
    </w:tbl>
    <w:p w14:paraId="1226420F" w14:textId="77777777" w:rsidR="0072606D" w:rsidRPr="00244133" w:rsidRDefault="0072606D" w:rsidP="0072606D">
      <w:pPr>
        <w:suppressLineNumbers/>
        <w:suppressAutoHyphens/>
        <w:kinsoku w:val="0"/>
        <w:overflowPunct w:val="0"/>
        <w:autoSpaceDE w:val="0"/>
        <w:autoSpaceDN w:val="0"/>
        <w:spacing w:before="120" w:after="120"/>
        <w:jc w:val="center"/>
      </w:pPr>
      <w:r>
        <w:rPr>
          <w:rFonts w:asciiTheme="majorBidi" w:eastAsia="MS Mincho" w:hAnsiTheme="majorBidi" w:cstheme="majorBidi"/>
          <w:snapToGrid w:val="0"/>
          <w:color w:val="000000"/>
          <w:kern w:val="22"/>
          <w:szCs w:val="18"/>
        </w:rPr>
        <w:t xml:space="preserve">__________ </w:t>
      </w:r>
    </w:p>
    <w:sectPr w:rsidR="0072606D" w:rsidRPr="00244133" w:rsidSect="002B6280">
      <w:headerReference w:type="even" r:id="rId21"/>
      <w:headerReference w:type="default" r:id="rId22"/>
      <w:pgSz w:w="12240" w:h="15840" w:code="1"/>
      <w:pgMar w:top="1152" w:right="1440" w:bottom="113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F769" w14:textId="77777777" w:rsidR="00571B42" w:rsidRDefault="00571B42" w:rsidP="00CF1848">
      <w:r>
        <w:separator/>
      </w:r>
    </w:p>
  </w:endnote>
  <w:endnote w:type="continuationSeparator" w:id="0">
    <w:p w14:paraId="58FDB6FE" w14:textId="77777777" w:rsidR="00571B42" w:rsidRDefault="00571B42" w:rsidP="00CF1848">
      <w:r>
        <w:continuationSeparator/>
      </w:r>
    </w:p>
  </w:endnote>
  <w:endnote w:type="continuationNotice" w:id="1">
    <w:p w14:paraId="07F74302" w14:textId="77777777" w:rsidR="00571B42" w:rsidRDefault="00571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FCC9" w14:textId="77777777" w:rsidR="00C054E8" w:rsidRDefault="00C05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3187" w14:textId="77777777" w:rsidR="00C054E8" w:rsidRDefault="00C05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E68C" w14:textId="77777777" w:rsidR="00C054E8" w:rsidRDefault="00C05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052A" w14:textId="77777777" w:rsidR="00571B42" w:rsidRDefault="00571B42" w:rsidP="00CF1848">
      <w:r>
        <w:separator/>
      </w:r>
    </w:p>
  </w:footnote>
  <w:footnote w:type="continuationSeparator" w:id="0">
    <w:p w14:paraId="2AB3E572" w14:textId="77777777" w:rsidR="00571B42" w:rsidRDefault="00571B42" w:rsidP="00CF1848">
      <w:r>
        <w:continuationSeparator/>
      </w:r>
    </w:p>
  </w:footnote>
  <w:footnote w:type="continuationNotice" w:id="1">
    <w:p w14:paraId="147620B1" w14:textId="77777777" w:rsidR="00571B42" w:rsidRDefault="00571B42"/>
  </w:footnote>
  <w:footnote w:id="2">
    <w:p w14:paraId="211D657B" w14:textId="55C57BC5" w:rsidR="00523B3C" w:rsidRDefault="00523B3C" w:rsidP="0072606D">
      <w:pPr>
        <w:pStyle w:val="FootnoteText"/>
        <w:spacing w:after="0"/>
        <w:ind w:firstLine="0"/>
        <w:jc w:val="left"/>
        <w:rPr>
          <w:szCs w:val="18"/>
          <w:lang w:val="fr-CA"/>
        </w:rPr>
      </w:pPr>
      <w:r w:rsidRPr="00523B3C">
        <w:rPr>
          <w:szCs w:val="18"/>
          <w:lang w:val="fr-CA"/>
        </w:rPr>
        <w:t>* Réédité pour des raisons techniques le 6 juillet 2023 (correction du paragraphe 9).</w:t>
      </w:r>
    </w:p>
    <w:p w14:paraId="60C0ED5F" w14:textId="520B9343" w:rsidR="00F253CE" w:rsidRPr="00232A4F" w:rsidRDefault="00F253CE" w:rsidP="0072606D">
      <w:pPr>
        <w:pStyle w:val="FootnoteText"/>
        <w:spacing w:after="0"/>
        <w:ind w:firstLine="0"/>
        <w:jc w:val="left"/>
        <w:rPr>
          <w:szCs w:val="18"/>
          <w:lang w:val="fr-CA"/>
        </w:rPr>
      </w:pPr>
      <w:r w:rsidRPr="00F93BF1">
        <w:rPr>
          <w:rStyle w:val="FootnoteReference"/>
          <w:szCs w:val="18"/>
          <w:lang w:val="fr-CA"/>
        </w:rPr>
        <w:footnoteRef/>
      </w:r>
      <w:r w:rsidRPr="00232A4F">
        <w:rPr>
          <w:szCs w:val="18"/>
          <w:lang w:val="fr-CA"/>
        </w:rPr>
        <w:t xml:space="preserve"> Décision</w:t>
      </w:r>
      <w:r>
        <w:rPr>
          <w:szCs w:val="18"/>
          <w:lang w:val="fr-CA"/>
        </w:rPr>
        <w:t xml:space="preserve"> </w:t>
      </w:r>
      <w:hyperlink r:id="rId1" w:history="1">
        <w:r w:rsidRPr="004920D1">
          <w:rPr>
            <w:rStyle w:val="Hyperlink"/>
            <w:szCs w:val="18"/>
            <w:lang w:val="fr-CA"/>
          </w:rPr>
          <w:t>BS/V/16</w:t>
        </w:r>
      </w:hyperlink>
      <w:r>
        <w:rPr>
          <w:szCs w:val="18"/>
          <w:lang w:val="fr-CA"/>
        </w:rPr>
        <w:t>.</w:t>
      </w:r>
    </w:p>
  </w:footnote>
  <w:footnote w:id="3">
    <w:p w14:paraId="4ED68F26" w14:textId="3E1347C8" w:rsidR="00F253CE" w:rsidRPr="00D62635" w:rsidRDefault="00F253CE" w:rsidP="00D62635">
      <w:pPr>
        <w:pStyle w:val="FootnoteText"/>
        <w:tabs>
          <w:tab w:val="left" w:pos="1429"/>
        </w:tabs>
        <w:ind w:firstLine="0"/>
        <w:rPr>
          <w:lang w:val="fr-FR"/>
        </w:rPr>
      </w:pPr>
      <w:r>
        <w:rPr>
          <w:rStyle w:val="FootnoteReference"/>
        </w:rPr>
        <w:footnoteRef/>
      </w:r>
      <w:r w:rsidRPr="00DE74F9">
        <w:rPr>
          <w:lang w:val="fr-FR"/>
        </w:rPr>
        <w:t xml:space="preserve"> Décision CP-10/4.</w:t>
      </w:r>
    </w:p>
  </w:footnote>
  <w:footnote w:id="4">
    <w:p w14:paraId="645F50FE" w14:textId="77777777" w:rsidR="00F253CE" w:rsidRPr="00DA533E" w:rsidRDefault="00F253CE" w:rsidP="0072606D">
      <w:pPr>
        <w:pStyle w:val="FootnoteText"/>
        <w:ind w:firstLine="0"/>
        <w:jc w:val="left"/>
        <w:rPr>
          <w:szCs w:val="18"/>
          <w:lang w:val="fr-CA"/>
        </w:rPr>
      </w:pPr>
      <w:r w:rsidRPr="00DA533E">
        <w:rPr>
          <w:rStyle w:val="FootnoteReference"/>
          <w:szCs w:val="18"/>
        </w:rPr>
        <w:footnoteRef/>
      </w:r>
      <w:r w:rsidRPr="00DA533E">
        <w:rPr>
          <w:szCs w:val="18"/>
          <w:lang w:val="fr-CA"/>
        </w:rPr>
        <w:t xml:space="preserve"> CBD/SBI/3/3/Add.1.</w:t>
      </w:r>
    </w:p>
  </w:footnote>
  <w:footnote w:id="5">
    <w:p w14:paraId="056CBE76" w14:textId="20A49D3E" w:rsidR="00F253CE" w:rsidRPr="006B3144" w:rsidRDefault="00F253CE" w:rsidP="006B3144">
      <w:pPr>
        <w:pStyle w:val="FootnoteText"/>
        <w:ind w:firstLine="0"/>
        <w:rPr>
          <w:lang w:val="fr-FR"/>
        </w:rPr>
      </w:pPr>
      <w:r>
        <w:rPr>
          <w:rStyle w:val="FootnoteReference"/>
        </w:rPr>
        <w:footnoteRef/>
      </w:r>
      <w:r w:rsidRPr="00DE74F9">
        <w:rPr>
          <w:lang w:val="fr-FR"/>
        </w:rPr>
        <w:t xml:space="preserve"> Décision CP-10/4.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2F635DBAB4524DC8B3348A7758D5E739"/>
      </w:placeholder>
      <w:dataBinding w:prefixMappings="xmlns:ns0='http://purl.org/dc/elements/1.1/' xmlns:ns1='http://schemas.openxmlformats.org/package/2006/metadata/core-properties' " w:xpath="/ns1:coreProperties[1]/ns0:subject[1]" w:storeItemID="{6C3C8BC8-F283-45AE-878A-BAB7291924A1}"/>
      <w:text/>
    </w:sdtPr>
    <w:sdtEndPr/>
    <w:sdtContent>
      <w:p w14:paraId="37B3074D" w14:textId="4B3F237E" w:rsidR="00F253CE" w:rsidRPr="00442EED" w:rsidRDefault="00523B3C" w:rsidP="00F253CE">
        <w:pPr>
          <w:pStyle w:val="Cornernotation"/>
          <w:ind w:right="-36"/>
          <w:rPr>
            <w:i/>
            <w:iCs/>
          </w:rPr>
        </w:pPr>
        <w:r>
          <w:t>CBD/CP/MOP/DEC/10/3</w:t>
        </w:r>
      </w:p>
    </w:sdtContent>
  </w:sdt>
  <w:p w14:paraId="6A2BE572" w14:textId="77777777" w:rsidR="00F253CE" w:rsidRPr="00DF1739" w:rsidRDefault="00F253CE" w:rsidP="00F253CE">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F44684" w:rsidRPr="00F44684">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0670E9DB" w14:textId="07463375" w:rsidR="00F253CE" w:rsidRPr="00CC76D7" w:rsidRDefault="00523B3C" w:rsidP="009505C9">
        <w:pPr>
          <w:pStyle w:val="Header"/>
          <w:jc w:val="right"/>
          <w:rPr>
            <w:lang w:val="fr-FR"/>
          </w:rPr>
        </w:pPr>
        <w:r>
          <w:rPr>
            <w:lang w:val="fr-FR"/>
          </w:rPr>
          <w:t>CBD/CP/MOP/DEC/10/3</w:t>
        </w:r>
      </w:p>
    </w:sdtContent>
  </w:sdt>
  <w:p w14:paraId="34C83C51" w14:textId="77777777" w:rsidR="00F253CE" w:rsidRPr="00CC76D7" w:rsidRDefault="00F253CE" w:rsidP="00F253CE">
    <w:pPr>
      <w:pStyle w:val="Header"/>
      <w:jc w:val="right"/>
      <w:rPr>
        <w:lang w:val="fr-FR"/>
      </w:rPr>
    </w:pPr>
    <w:r w:rsidRPr="00CC76D7">
      <w:rPr>
        <w:lang w:val="fr-FR"/>
      </w:rPr>
      <w:t xml:space="preserve">Page </w:t>
    </w:r>
    <w:r>
      <w:fldChar w:fldCharType="begin"/>
    </w:r>
    <w:r w:rsidRPr="00CC76D7">
      <w:rPr>
        <w:lang w:val="fr-FR"/>
      </w:rPr>
      <w:instrText xml:space="preserve"> PAGE   \* MERGEFORMAT </w:instrText>
    </w:r>
    <w:r>
      <w:fldChar w:fldCharType="separate"/>
    </w:r>
    <w:r w:rsidR="00F44684">
      <w:rPr>
        <w:noProof/>
        <w:lang w:val="fr-FR"/>
      </w:rPr>
      <w:t>5</w:t>
    </w:r>
    <w:r>
      <w:rPr>
        <w:noProof/>
      </w:rPr>
      <w:fldChar w:fldCharType="end"/>
    </w:r>
  </w:p>
  <w:p w14:paraId="00BECD64" w14:textId="77777777" w:rsidR="00F253CE" w:rsidRPr="00CC76D7" w:rsidRDefault="00F253CE">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604C" w14:textId="77777777" w:rsidR="00C054E8" w:rsidRDefault="00C054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1798828556"/>
      <w:dataBinding w:prefixMappings="xmlns:ns0='http://purl.org/dc/elements/1.1/' xmlns:ns1='http://schemas.openxmlformats.org/package/2006/metadata/core-properties' " w:xpath="/ns1:coreProperties[1]/ns0:subject[1]" w:storeItemID="{6C3C8BC8-F283-45AE-878A-BAB7291924A1}"/>
      <w:text/>
    </w:sdtPr>
    <w:sdtEndPr/>
    <w:sdtContent>
      <w:p w14:paraId="4CDF369A" w14:textId="433EF2E6" w:rsidR="00F253CE" w:rsidRPr="00455324" w:rsidRDefault="00E8551B" w:rsidP="00A44160">
        <w:pPr>
          <w:pStyle w:val="Header"/>
          <w:rPr>
            <w:lang w:val="nl-NL"/>
          </w:rPr>
        </w:pPr>
        <w:r>
          <w:rPr>
            <w:lang w:val="nl-NL"/>
          </w:rPr>
          <w:t>CBD/CP/MOP/DEC/10/3</w:t>
        </w:r>
      </w:p>
    </w:sdtContent>
  </w:sdt>
  <w:p w14:paraId="2A3EA1E4" w14:textId="77777777" w:rsidR="00F253CE" w:rsidRPr="00455324" w:rsidRDefault="00F253CE" w:rsidP="00A44160">
    <w:pPr>
      <w:pStyle w:val="Header"/>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44684" w:rsidRPr="00F44684">
      <w:rPr>
        <w:noProof/>
        <w:lang w:val="fr-CA"/>
      </w:rPr>
      <w:t>12</w:t>
    </w:r>
    <w:r>
      <w:rPr>
        <w:noProof/>
      </w:rPr>
      <w:fldChar w:fldCharType="end"/>
    </w:r>
  </w:p>
  <w:p w14:paraId="7A038B66" w14:textId="77777777" w:rsidR="00F253CE" w:rsidRPr="00E00FF6" w:rsidRDefault="00F253CE">
    <w:pPr>
      <w:pStyle w:val="Header"/>
      <w:rPr>
        <w:lang w:val="fr-C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1049032960"/>
      <w:dataBinding w:prefixMappings="xmlns:ns0='http://purl.org/dc/elements/1.1/' xmlns:ns1='http://schemas.openxmlformats.org/package/2006/metadata/core-properties' " w:xpath="/ns1:coreProperties[1]/ns0:subject[1]" w:storeItemID="{6C3C8BC8-F283-45AE-878A-BAB7291924A1}"/>
      <w:text/>
    </w:sdtPr>
    <w:sdtEndPr/>
    <w:sdtContent>
      <w:p w14:paraId="6CC5A4EF" w14:textId="546E231B" w:rsidR="00F253CE" w:rsidRPr="00455324" w:rsidRDefault="00E8551B" w:rsidP="00637967">
        <w:pPr>
          <w:pStyle w:val="Header"/>
          <w:jc w:val="right"/>
          <w:rPr>
            <w:lang w:val="nl-NL"/>
          </w:rPr>
        </w:pPr>
        <w:r>
          <w:rPr>
            <w:lang w:val="nl-NL"/>
          </w:rPr>
          <w:t>CBD/CP/MOP/DEC/10/3</w:t>
        </w:r>
      </w:p>
    </w:sdtContent>
  </w:sdt>
  <w:p w14:paraId="75554F72" w14:textId="77777777" w:rsidR="00F253CE" w:rsidRPr="00455324" w:rsidRDefault="00F253CE" w:rsidP="00637967">
    <w:pPr>
      <w:pStyle w:val="Header"/>
      <w:jc w:val="right"/>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44684" w:rsidRPr="00F44684">
      <w:rPr>
        <w:noProof/>
        <w:lang w:val="fr-CA"/>
      </w:rPr>
      <w:t>11</w:t>
    </w:r>
    <w:r>
      <w:rPr>
        <w:noProof/>
      </w:rPr>
      <w:fldChar w:fldCharType="end"/>
    </w:r>
  </w:p>
  <w:p w14:paraId="6EF9D57F" w14:textId="77777777" w:rsidR="00F253CE" w:rsidRPr="00E00FF6" w:rsidRDefault="00F253CE" w:rsidP="00637967">
    <w:pPr>
      <w:pStyle w:val="Header"/>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33356"/>
    <w:multiLevelType w:val="hybridMultilevel"/>
    <w:tmpl w:val="818A0116"/>
    <w:lvl w:ilvl="0" w:tplc="9BEC5666">
      <w:start w:val="1"/>
      <w:numFmt w:val="decimal"/>
      <w:lvlText w:val="%1."/>
      <w:lvlJc w:val="left"/>
      <w:pPr>
        <w:ind w:left="720" w:hanging="360"/>
      </w:pPr>
      <w:rPr>
        <w:rFonts w:hint="default"/>
        <w:b w:val="0"/>
      </w:rPr>
    </w:lvl>
    <w:lvl w:ilvl="1" w:tplc="DEACFC66" w:tentative="1">
      <w:start w:val="1"/>
      <w:numFmt w:val="lowerLetter"/>
      <w:lvlText w:val="%2."/>
      <w:lvlJc w:val="left"/>
      <w:pPr>
        <w:ind w:left="1440" w:hanging="360"/>
      </w:pPr>
    </w:lvl>
    <w:lvl w:ilvl="2" w:tplc="A0545D06" w:tentative="1">
      <w:start w:val="1"/>
      <w:numFmt w:val="lowerRoman"/>
      <w:lvlText w:val="%3."/>
      <w:lvlJc w:val="right"/>
      <w:pPr>
        <w:ind w:left="2160" w:hanging="180"/>
      </w:pPr>
    </w:lvl>
    <w:lvl w:ilvl="3" w:tplc="197065CA" w:tentative="1">
      <w:start w:val="1"/>
      <w:numFmt w:val="decimal"/>
      <w:lvlText w:val="%4."/>
      <w:lvlJc w:val="left"/>
      <w:pPr>
        <w:ind w:left="2880" w:hanging="360"/>
      </w:pPr>
    </w:lvl>
    <w:lvl w:ilvl="4" w:tplc="716826CA" w:tentative="1">
      <w:start w:val="1"/>
      <w:numFmt w:val="lowerLetter"/>
      <w:lvlText w:val="%5."/>
      <w:lvlJc w:val="left"/>
      <w:pPr>
        <w:ind w:left="3600" w:hanging="360"/>
      </w:pPr>
    </w:lvl>
    <w:lvl w:ilvl="5" w:tplc="835E515E" w:tentative="1">
      <w:start w:val="1"/>
      <w:numFmt w:val="lowerRoman"/>
      <w:lvlText w:val="%6."/>
      <w:lvlJc w:val="right"/>
      <w:pPr>
        <w:ind w:left="4320" w:hanging="180"/>
      </w:pPr>
    </w:lvl>
    <w:lvl w:ilvl="6" w:tplc="E826886C" w:tentative="1">
      <w:start w:val="1"/>
      <w:numFmt w:val="decimal"/>
      <w:lvlText w:val="%7."/>
      <w:lvlJc w:val="left"/>
      <w:pPr>
        <w:ind w:left="5040" w:hanging="360"/>
      </w:pPr>
    </w:lvl>
    <w:lvl w:ilvl="7" w:tplc="FB1CFB7E" w:tentative="1">
      <w:start w:val="1"/>
      <w:numFmt w:val="lowerLetter"/>
      <w:lvlText w:val="%8."/>
      <w:lvlJc w:val="left"/>
      <w:pPr>
        <w:ind w:left="5760" w:hanging="360"/>
      </w:pPr>
    </w:lvl>
    <w:lvl w:ilvl="8" w:tplc="BA142D46"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BA0738"/>
    <w:multiLevelType w:val="hybridMultilevel"/>
    <w:tmpl w:val="7AF21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13B701B"/>
    <w:multiLevelType w:val="hybridMultilevel"/>
    <w:tmpl w:val="42341A90"/>
    <w:lvl w:ilvl="0" w:tplc="9C446BB4">
      <w:start w:val="5"/>
      <w:numFmt w:val="upp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C2E11"/>
    <w:multiLevelType w:val="hybridMultilevel"/>
    <w:tmpl w:val="63DC4DAC"/>
    <w:lvl w:ilvl="0" w:tplc="D924D330">
      <w:start w:val="6"/>
      <w:numFmt w:val="upp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49038">
    <w:abstractNumId w:val="5"/>
  </w:num>
  <w:num w:numId="2" w16cid:durableId="1325821397">
    <w:abstractNumId w:val="9"/>
  </w:num>
  <w:num w:numId="3" w16cid:durableId="805858993">
    <w:abstractNumId w:val="7"/>
  </w:num>
  <w:num w:numId="4" w16cid:durableId="1781491991">
    <w:abstractNumId w:val="9"/>
  </w:num>
  <w:num w:numId="5" w16cid:durableId="285235912">
    <w:abstractNumId w:val="8"/>
  </w:num>
  <w:num w:numId="6" w16cid:durableId="387269721">
    <w:abstractNumId w:val="0"/>
  </w:num>
  <w:num w:numId="7" w16cid:durableId="1147281709">
    <w:abstractNumId w:val="3"/>
  </w:num>
  <w:num w:numId="8" w16cid:durableId="382949954">
    <w:abstractNumId w:val="7"/>
    <w:lvlOverride w:ilvl="0">
      <w:startOverride w:val="1"/>
    </w:lvlOverride>
  </w:num>
  <w:num w:numId="9" w16cid:durableId="1844930149">
    <w:abstractNumId w:val="12"/>
  </w:num>
  <w:num w:numId="10" w16cid:durableId="1877502984">
    <w:abstractNumId w:val="7"/>
    <w:lvlOverride w:ilvl="0">
      <w:startOverride w:val="1"/>
    </w:lvlOverride>
  </w:num>
  <w:num w:numId="11" w16cid:durableId="718019582">
    <w:abstractNumId w:val="7"/>
    <w:lvlOverride w:ilvl="0">
      <w:startOverride w:val="1"/>
    </w:lvlOverride>
  </w:num>
  <w:num w:numId="12" w16cid:durableId="479661520">
    <w:abstractNumId w:val="7"/>
    <w:lvlOverride w:ilvl="0">
      <w:startOverride w:val="1"/>
    </w:lvlOverride>
  </w:num>
  <w:num w:numId="13" w16cid:durableId="243882100">
    <w:abstractNumId w:val="7"/>
    <w:lvlOverride w:ilvl="0">
      <w:startOverride w:val="1"/>
    </w:lvlOverride>
  </w:num>
  <w:num w:numId="14" w16cid:durableId="1193038442">
    <w:abstractNumId w:val="11"/>
  </w:num>
  <w:num w:numId="15" w16cid:durableId="473763858">
    <w:abstractNumId w:val="10"/>
  </w:num>
  <w:num w:numId="16" w16cid:durableId="276103774">
    <w:abstractNumId w:val="1"/>
  </w:num>
  <w:num w:numId="17" w16cid:durableId="1507746209">
    <w:abstractNumId w:val="13"/>
  </w:num>
  <w:num w:numId="18" w16cid:durableId="1323775235">
    <w:abstractNumId w:val="15"/>
  </w:num>
  <w:num w:numId="19" w16cid:durableId="1389647631">
    <w:abstractNumId w:val="2"/>
  </w:num>
  <w:num w:numId="20" w16cid:durableId="1869563858">
    <w:abstractNumId w:val="6"/>
  </w:num>
  <w:num w:numId="21" w16cid:durableId="417680461">
    <w:abstractNumId w:val="14"/>
  </w:num>
  <w:num w:numId="22" w16cid:durableId="72317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DBF"/>
    <w:rsid w:val="0000595A"/>
    <w:rsid w:val="00005D2B"/>
    <w:rsid w:val="000065CC"/>
    <w:rsid w:val="0001408F"/>
    <w:rsid w:val="00015379"/>
    <w:rsid w:val="00020A25"/>
    <w:rsid w:val="000214CD"/>
    <w:rsid w:val="0004210B"/>
    <w:rsid w:val="0004440C"/>
    <w:rsid w:val="000507D1"/>
    <w:rsid w:val="000675BD"/>
    <w:rsid w:val="000712CD"/>
    <w:rsid w:val="0007171B"/>
    <w:rsid w:val="00076BCA"/>
    <w:rsid w:val="00076C58"/>
    <w:rsid w:val="00082409"/>
    <w:rsid w:val="0008525C"/>
    <w:rsid w:val="000866D3"/>
    <w:rsid w:val="00086AA2"/>
    <w:rsid w:val="000909FC"/>
    <w:rsid w:val="00092430"/>
    <w:rsid w:val="000A1E3F"/>
    <w:rsid w:val="000A35C0"/>
    <w:rsid w:val="000B4B42"/>
    <w:rsid w:val="000B4B94"/>
    <w:rsid w:val="000B5581"/>
    <w:rsid w:val="000B67B1"/>
    <w:rsid w:val="000B6D6F"/>
    <w:rsid w:val="000C49C8"/>
    <w:rsid w:val="000C64C2"/>
    <w:rsid w:val="000D7308"/>
    <w:rsid w:val="000D79F8"/>
    <w:rsid w:val="000E465A"/>
    <w:rsid w:val="000E673A"/>
    <w:rsid w:val="000E6C52"/>
    <w:rsid w:val="000F4870"/>
    <w:rsid w:val="000F74F5"/>
    <w:rsid w:val="00102C45"/>
    <w:rsid w:val="00105372"/>
    <w:rsid w:val="00122A9E"/>
    <w:rsid w:val="001309D8"/>
    <w:rsid w:val="001312AD"/>
    <w:rsid w:val="00131CBB"/>
    <w:rsid w:val="00131E7A"/>
    <w:rsid w:val="00134846"/>
    <w:rsid w:val="00136356"/>
    <w:rsid w:val="0014059D"/>
    <w:rsid w:val="00145828"/>
    <w:rsid w:val="00154692"/>
    <w:rsid w:val="001603B9"/>
    <w:rsid w:val="00161719"/>
    <w:rsid w:val="00166B7E"/>
    <w:rsid w:val="001713C3"/>
    <w:rsid w:val="001727B5"/>
    <w:rsid w:val="00172AF6"/>
    <w:rsid w:val="00175885"/>
    <w:rsid w:val="001763BE"/>
    <w:rsid w:val="00176CEE"/>
    <w:rsid w:val="0018309F"/>
    <w:rsid w:val="001832B6"/>
    <w:rsid w:val="00186DD8"/>
    <w:rsid w:val="001953B5"/>
    <w:rsid w:val="00196099"/>
    <w:rsid w:val="001A1226"/>
    <w:rsid w:val="001A51CF"/>
    <w:rsid w:val="001B13FE"/>
    <w:rsid w:val="001C1A3B"/>
    <w:rsid w:val="001C1FD3"/>
    <w:rsid w:val="001D08BC"/>
    <w:rsid w:val="001D7BAE"/>
    <w:rsid w:val="001E098D"/>
    <w:rsid w:val="001E17C2"/>
    <w:rsid w:val="001E1D5A"/>
    <w:rsid w:val="001E5919"/>
    <w:rsid w:val="001E7074"/>
    <w:rsid w:val="001F7BB3"/>
    <w:rsid w:val="00201591"/>
    <w:rsid w:val="00203971"/>
    <w:rsid w:val="00205880"/>
    <w:rsid w:val="00207897"/>
    <w:rsid w:val="0021256B"/>
    <w:rsid w:val="002216A8"/>
    <w:rsid w:val="00234933"/>
    <w:rsid w:val="002371DD"/>
    <w:rsid w:val="00241410"/>
    <w:rsid w:val="002424B3"/>
    <w:rsid w:val="00244DA0"/>
    <w:rsid w:val="00254D8D"/>
    <w:rsid w:val="00271B84"/>
    <w:rsid w:val="00276058"/>
    <w:rsid w:val="00276354"/>
    <w:rsid w:val="0027643E"/>
    <w:rsid w:val="00281A84"/>
    <w:rsid w:val="002821AB"/>
    <w:rsid w:val="00284B0A"/>
    <w:rsid w:val="002921CD"/>
    <w:rsid w:val="00294688"/>
    <w:rsid w:val="00296811"/>
    <w:rsid w:val="002977FD"/>
    <w:rsid w:val="002A3C9E"/>
    <w:rsid w:val="002A4803"/>
    <w:rsid w:val="002A6B4C"/>
    <w:rsid w:val="002B6280"/>
    <w:rsid w:val="002B6604"/>
    <w:rsid w:val="002C28F7"/>
    <w:rsid w:val="002C4F17"/>
    <w:rsid w:val="002C6163"/>
    <w:rsid w:val="002C786C"/>
    <w:rsid w:val="002C7BF2"/>
    <w:rsid w:val="002D0235"/>
    <w:rsid w:val="002E0963"/>
    <w:rsid w:val="002E28B7"/>
    <w:rsid w:val="002E49F9"/>
    <w:rsid w:val="002E70DC"/>
    <w:rsid w:val="002F00F7"/>
    <w:rsid w:val="002F4A63"/>
    <w:rsid w:val="0030169D"/>
    <w:rsid w:val="0030454F"/>
    <w:rsid w:val="003060EB"/>
    <w:rsid w:val="003153EB"/>
    <w:rsid w:val="003214AF"/>
    <w:rsid w:val="00321985"/>
    <w:rsid w:val="003241D1"/>
    <w:rsid w:val="00324DD2"/>
    <w:rsid w:val="00327590"/>
    <w:rsid w:val="00330DBC"/>
    <w:rsid w:val="00333F0C"/>
    <w:rsid w:val="0033459B"/>
    <w:rsid w:val="0033462D"/>
    <w:rsid w:val="003400EB"/>
    <w:rsid w:val="0034156F"/>
    <w:rsid w:val="00347508"/>
    <w:rsid w:val="00350C2A"/>
    <w:rsid w:val="00351205"/>
    <w:rsid w:val="0035702C"/>
    <w:rsid w:val="0036103E"/>
    <w:rsid w:val="0036202D"/>
    <w:rsid w:val="00372655"/>
    <w:rsid w:val="00372F74"/>
    <w:rsid w:val="0038223A"/>
    <w:rsid w:val="003875AB"/>
    <w:rsid w:val="00390129"/>
    <w:rsid w:val="00392A4D"/>
    <w:rsid w:val="003A214E"/>
    <w:rsid w:val="003B076E"/>
    <w:rsid w:val="003B1F59"/>
    <w:rsid w:val="003B3269"/>
    <w:rsid w:val="003B5A0C"/>
    <w:rsid w:val="003B7BB2"/>
    <w:rsid w:val="003C4705"/>
    <w:rsid w:val="003D3E96"/>
    <w:rsid w:val="003D58E7"/>
    <w:rsid w:val="003E2E67"/>
    <w:rsid w:val="003E3203"/>
    <w:rsid w:val="003E67CC"/>
    <w:rsid w:val="003F052A"/>
    <w:rsid w:val="003F1981"/>
    <w:rsid w:val="003F7224"/>
    <w:rsid w:val="003F7C4A"/>
    <w:rsid w:val="00400EDC"/>
    <w:rsid w:val="004212DD"/>
    <w:rsid w:val="004217B3"/>
    <w:rsid w:val="00422075"/>
    <w:rsid w:val="004233EE"/>
    <w:rsid w:val="00423DFA"/>
    <w:rsid w:val="00427A3E"/>
    <w:rsid w:val="00427D21"/>
    <w:rsid w:val="004302D3"/>
    <w:rsid w:val="00431AAC"/>
    <w:rsid w:val="004321B2"/>
    <w:rsid w:val="004447E3"/>
    <w:rsid w:val="00444DC4"/>
    <w:rsid w:val="00455324"/>
    <w:rsid w:val="00462820"/>
    <w:rsid w:val="00462FC4"/>
    <w:rsid w:val="004644C2"/>
    <w:rsid w:val="00467F9C"/>
    <w:rsid w:val="00471295"/>
    <w:rsid w:val="0047478E"/>
    <w:rsid w:val="00480E7E"/>
    <w:rsid w:val="00491289"/>
    <w:rsid w:val="004921C1"/>
    <w:rsid w:val="00495AF8"/>
    <w:rsid w:val="004A0551"/>
    <w:rsid w:val="004A6D11"/>
    <w:rsid w:val="004A7D2F"/>
    <w:rsid w:val="004B64BE"/>
    <w:rsid w:val="004B7F87"/>
    <w:rsid w:val="004C1BEF"/>
    <w:rsid w:val="004C3B3C"/>
    <w:rsid w:val="004C3C44"/>
    <w:rsid w:val="004C4D19"/>
    <w:rsid w:val="004D0040"/>
    <w:rsid w:val="004D2E04"/>
    <w:rsid w:val="004F0189"/>
    <w:rsid w:val="004F59F2"/>
    <w:rsid w:val="00502BC9"/>
    <w:rsid w:val="00510643"/>
    <w:rsid w:val="005200FD"/>
    <w:rsid w:val="00523415"/>
    <w:rsid w:val="00523579"/>
    <w:rsid w:val="00523B3C"/>
    <w:rsid w:val="00531EEE"/>
    <w:rsid w:val="00532683"/>
    <w:rsid w:val="00534681"/>
    <w:rsid w:val="005403BC"/>
    <w:rsid w:val="005427E5"/>
    <w:rsid w:val="00542D1A"/>
    <w:rsid w:val="005527EE"/>
    <w:rsid w:val="005609C6"/>
    <w:rsid w:val="00563442"/>
    <w:rsid w:val="0056368F"/>
    <w:rsid w:val="00565B42"/>
    <w:rsid w:val="00571B42"/>
    <w:rsid w:val="00573E14"/>
    <w:rsid w:val="0057633C"/>
    <w:rsid w:val="00583855"/>
    <w:rsid w:val="00585244"/>
    <w:rsid w:val="005913E1"/>
    <w:rsid w:val="005A309B"/>
    <w:rsid w:val="005A37EE"/>
    <w:rsid w:val="005A7933"/>
    <w:rsid w:val="005B0AF3"/>
    <w:rsid w:val="005B3B9D"/>
    <w:rsid w:val="005B4ADC"/>
    <w:rsid w:val="005B586D"/>
    <w:rsid w:val="005C4CE6"/>
    <w:rsid w:val="005C66A3"/>
    <w:rsid w:val="005D0963"/>
    <w:rsid w:val="005E0ED3"/>
    <w:rsid w:val="005F0BBD"/>
    <w:rsid w:val="005F426D"/>
    <w:rsid w:val="0060198F"/>
    <w:rsid w:val="00610245"/>
    <w:rsid w:val="00611683"/>
    <w:rsid w:val="006121DC"/>
    <w:rsid w:val="006122BA"/>
    <w:rsid w:val="006225EB"/>
    <w:rsid w:val="006317B8"/>
    <w:rsid w:val="006345F3"/>
    <w:rsid w:val="0063588C"/>
    <w:rsid w:val="00637179"/>
    <w:rsid w:val="00637967"/>
    <w:rsid w:val="00642750"/>
    <w:rsid w:val="00646E1C"/>
    <w:rsid w:val="00647BB2"/>
    <w:rsid w:val="00657728"/>
    <w:rsid w:val="006578EE"/>
    <w:rsid w:val="00660159"/>
    <w:rsid w:val="00664593"/>
    <w:rsid w:val="00664B83"/>
    <w:rsid w:val="006810EE"/>
    <w:rsid w:val="006823F3"/>
    <w:rsid w:val="00682434"/>
    <w:rsid w:val="00683510"/>
    <w:rsid w:val="00687730"/>
    <w:rsid w:val="00687ADC"/>
    <w:rsid w:val="006A30F9"/>
    <w:rsid w:val="006B2290"/>
    <w:rsid w:val="006B3144"/>
    <w:rsid w:val="006B531C"/>
    <w:rsid w:val="006C3885"/>
    <w:rsid w:val="006C5F57"/>
    <w:rsid w:val="006C5FDE"/>
    <w:rsid w:val="006C6350"/>
    <w:rsid w:val="006D0B2A"/>
    <w:rsid w:val="006D2B7E"/>
    <w:rsid w:val="006D3548"/>
    <w:rsid w:val="006D3B12"/>
    <w:rsid w:val="006D3EE4"/>
    <w:rsid w:val="006D4205"/>
    <w:rsid w:val="006D554C"/>
    <w:rsid w:val="006D58D7"/>
    <w:rsid w:val="006E4130"/>
    <w:rsid w:val="006E49B3"/>
    <w:rsid w:val="006E7055"/>
    <w:rsid w:val="006F1143"/>
    <w:rsid w:val="006F2BDC"/>
    <w:rsid w:val="006F3EC8"/>
    <w:rsid w:val="006F4C72"/>
    <w:rsid w:val="00701D1D"/>
    <w:rsid w:val="00702676"/>
    <w:rsid w:val="007049D5"/>
    <w:rsid w:val="00717D88"/>
    <w:rsid w:val="007205DB"/>
    <w:rsid w:val="00725937"/>
    <w:rsid w:val="0072606D"/>
    <w:rsid w:val="0073422A"/>
    <w:rsid w:val="0075248D"/>
    <w:rsid w:val="007552CE"/>
    <w:rsid w:val="00756B08"/>
    <w:rsid w:val="00763CFA"/>
    <w:rsid w:val="00765B3B"/>
    <w:rsid w:val="00770AE2"/>
    <w:rsid w:val="0077674C"/>
    <w:rsid w:val="00777479"/>
    <w:rsid w:val="00780328"/>
    <w:rsid w:val="007815C9"/>
    <w:rsid w:val="00782A81"/>
    <w:rsid w:val="00784AD2"/>
    <w:rsid w:val="00786056"/>
    <w:rsid w:val="007861BB"/>
    <w:rsid w:val="00786743"/>
    <w:rsid w:val="0079020E"/>
    <w:rsid w:val="00793880"/>
    <w:rsid w:val="007942D3"/>
    <w:rsid w:val="00796129"/>
    <w:rsid w:val="007A0D1A"/>
    <w:rsid w:val="007A245B"/>
    <w:rsid w:val="007B2099"/>
    <w:rsid w:val="007B6C09"/>
    <w:rsid w:val="007B7741"/>
    <w:rsid w:val="007D324E"/>
    <w:rsid w:val="007D7943"/>
    <w:rsid w:val="007E09DA"/>
    <w:rsid w:val="007E4CB8"/>
    <w:rsid w:val="00800E95"/>
    <w:rsid w:val="00803173"/>
    <w:rsid w:val="00807BE0"/>
    <w:rsid w:val="0081121C"/>
    <w:rsid w:val="0081540C"/>
    <w:rsid w:val="008178B6"/>
    <w:rsid w:val="00822797"/>
    <w:rsid w:val="008426D6"/>
    <w:rsid w:val="00844C81"/>
    <w:rsid w:val="00847C00"/>
    <w:rsid w:val="00847D57"/>
    <w:rsid w:val="00847E2F"/>
    <w:rsid w:val="00850D48"/>
    <w:rsid w:val="00855D78"/>
    <w:rsid w:val="00855E79"/>
    <w:rsid w:val="00865B74"/>
    <w:rsid w:val="008704C4"/>
    <w:rsid w:val="00870756"/>
    <w:rsid w:val="0088092E"/>
    <w:rsid w:val="00890A17"/>
    <w:rsid w:val="00893E37"/>
    <w:rsid w:val="0089538C"/>
    <w:rsid w:val="00896D04"/>
    <w:rsid w:val="008974F0"/>
    <w:rsid w:val="008A0DAD"/>
    <w:rsid w:val="008A3014"/>
    <w:rsid w:val="008A45D2"/>
    <w:rsid w:val="008A5484"/>
    <w:rsid w:val="008B012A"/>
    <w:rsid w:val="008B1E66"/>
    <w:rsid w:val="008C38C6"/>
    <w:rsid w:val="008D2866"/>
    <w:rsid w:val="008D3780"/>
    <w:rsid w:val="008D541C"/>
    <w:rsid w:val="008D6012"/>
    <w:rsid w:val="008D6737"/>
    <w:rsid w:val="008E38BC"/>
    <w:rsid w:val="008F215A"/>
    <w:rsid w:val="008F4E9D"/>
    <w:rsid w:val="008F7262"/>
    <w:rsid w:val="00902966"/>
    <w:rsid w:val="00904E60"/>
    <w:rsid w:val="00906E17"/>
    <w:rsid w:val="00913D7A"/>
    <w:rsid w:val="00916101"/>
    <w:rsid w:val="00917375"/>
    <w:rsid w:val="00923AE0"/>
    <w:rsid w:val="00926CDA"/>
    <w:rsid w:val="00930BA1"/>
    <w:rsid w:val="0093169E"/>
    <w:rsid w:val="00932060"/>
    <w:rsid w:val="00937130"/>
    <w:rsid w:val="009412AD"/>
    <w:rsid w:val="00942A2D"/>
    <w:rsid w:val="009505C9"/>
    <w:rsid w:val="00950752"/>
    <w:rsid w:val="009544F1"/>
    <w:rsid w:val="00966424"/>
    <w:rsid w:val="00966778"/>
    <w:rsid w:val="00967FFE"/>
    <w:rsid w:val="0097200F"/>
    <w:rsid w:val="0097437E"/>
    <w:rsid w:val="00981FF9"/>
    <w:rsid w:val="009832EA"/>
    <w:rsid w:val="009867BD"/>
    <w:rsid w:val="009901AD"/>
    <w:rsid w:val="00991D16"/>
    <w:rsid w:val="00994C0A"/>
    <w:rsid w:val="00997482"/>
    <w:rsid w:val="009A1517"/>
    <w:rsid w:val="009A42A1"/>
    <w:rsid w:val="009A4EA6"/>
    <w:rsid w:val="009A5089"/>
    <w:rsid w:val="009A66B6"/>
    <w:rsid w:val="009B2995"/>
    <w:rsid w:val="009B5202"/>
    <w:rsid w:val="009B6EDE"/>
    <w:rsid w:val="009B7334"/>
    <w:rsid w:val="009C2DE6"/>
    <w:rsid w:val="009D7C3F"/>
    <w:rsid w:val="009E0CFB"/>
    <w:rsid w:val="009E4CDA"/>
    <w:rsid w:val="009E4F1A"/>
    <w:rsid w:val="00A1229B"/>
    <w:rsid w:val="00A1252A"/>
    <w:rsid w:val="00A13D90"/>
    <w:rsid w:val="00A1456A"/>
    <w:rsid w:val="00A17880"/>
    <w:rsid w:val="00A20769"/>
    <w:rsid w:val="00A20852"/>
    <w:rsid w:val="00A21059"/>
    <w:rsid w:val="00A21D2A"/>
    <w:rsid w:val="00A30119"/>
    <w:rsid w:val="00A31358"/>
    <w:rsid w:val="00A321C0"/>
    <w:rsid w:val="00A325AC"/>
    <w:rsid w:val="00A35266"/>
    <w:rsid w:val="00A35D7F"/>
    <w:rsid w:val="00A37143"/>
    <w:rsid w:val="00A37DEE"/>
    <w:rsid w:val="00A4218D"/>
    <w:rsid w:val="00A439A8"/>
    <w:rsid w:val="00A44160"/>
    <w:rsid w:val="00A4428E"/>
    <w:rsid w:val="00A5172D"/>
    <w:rsid w:val="00A51AE3"/>
    <w:rsid w:val="00A54589"/>
    <w:rsid w:val="00A564CF"/>
    <w:rsid w:val="00A6347B"/>
    <w:rsid w:val="00A67402"/>
    <w:rsid w:val="00A67F17"/>
    <w:rsid w:val="00A71995"/>
    <w:rsid w:val="00A76280"/>
    <w:rsid w:val="00A76CD7"/>
    <w:rsid w:val="00A771E9"/>
    <w:rsid w:val="00A836DC"/>
    <w:rsid w:val="00A868E1"/>
    <w:rsid w:val="00A9220F"/>
    <w:rsid w:val="00A92512"/>
    <w:rsid w:val="00A97D83"/>
    <w:rsid w:val="00AA17C8"/>
    <w:rsid w:val="00AA193B"/>
    <w:rsid w:val="00AA31BC"/>
    <w:rsid w:val="00AA4514"/>
    <w:rsid w:val="00AA6F92"/>
    <w:rsid w:val="00AB2689"/>
    <w:rsid w:val="00AB6934"/>
    <w:rsid w:val="00AC677A"/>
    <w:rsid w:val="00AC75C2"/>
    <w:rsid w:val="00AD0D90"/>
    <w:rsid w:val="00AD6244"/>
    <w:rsid w:val="00AD7FFC"/>
    <w:rsid w:val="00AE05B5"/>
    <w:rsid w:val="00AE7E5E"/>
    <w:rsid w:val="00AF024E"/>
    <w:rsid w:val="00AF42DE"/>
    <w:rsid w:val="00AF5D2C"/>
    <w:rsid w:val="00B03077"/>
    <w:rsid w:val="00B05419"/>
    <w:rsid w:val="00B06854"/>
    <w:rsid w:val="00B0709A"/>
    <w:rsid w:val="00B079AB"/>
    <w:rsid w:val="00B10DF1"/>
    <w:rsid w:val="00B125DB"/>
    <w:rsid w:val="00B178D8"/>
    <w:rsid w:val="00B22415"/>
    <w:rsid w:val="00B26ACD"/>
    <w:rsid w:val="00B277FD"/>
    <w:rsid w:val="00B314EE"/>
    <w:rsid w:val="00B31F5C"/>
    <w:rsid w:val="00B333AE"/>
    <w:rsid w:val="00B3369F"/>
    <w:rsid w:val="00B337DD"/>
    <w:rsid w:val="00B36EFE"/>
    <w:rsid w:val="00B47240"/>
    <w:rsid w:val="00B50D09"/>
    <w:rsid w:val="00B64DC3"/>
    <w:rsid w:val="00B65AD6"/>
    <w:rsid w:val="00B66237"/>
    <w:rsid w:val="00B7141A"/>
    <w:rsid w:val="00B833CB"/>
    <w:rsid w:val="00B8589F"/>
    <w:rsid w:val="00B90BB3"/>
    <w:rsid w:val="00B94E6C"/>
    <w:rsid w:val="00B96496"/>
    <w:rsid w:val="00B97F4F"/>
    <w:rsid w:val="00BA0205"/>
    <w:rsid w:val="00BA0218"/>
    <w:rsid w:val="00BA1C28"/>
    <w:rsid w:val="00BB4606"/>
    <w:rsid w:val="00BB5EFA"/>
    <w:rsid w:val="00BC280F"/>
    <w:rsid w:val="00BC580C"/>
    <w:rsid w:val="00BC6A80"/>
    <w:rsid w:val="00BD50A5"/>
    <w:rsid w:val="00BD58E6"/>
    <w:rsid w:val="00BD6147"/>
    <w:rsid w:val="00BE3DA5"/>
    <w:rsid w:val="00BF11F9"/>
    <w:rsid w:val="00C0469C"/>
    <w:rsid w:val="00C054E8"/>
    <w:rsid w:val="00C10269"/>
    <w:rsid w:val="00C10EF8"/>
    <w:rsid w:val="00C118BC"/>
    <w:rsid w:val="00C11A8C"/>
    <w:rsid w:val="00C11F37"/>
    <w:rsid w:val="00C1506F"/>
    <w:rsid w:val="00C23D2F"/>
    <w:rsid w:val="00C32AA3"/>
    <w:rsid w:val="00C3335A"/>
    <w:rsid w:val="00C338CE"/>
    <w:rsid w:val="00C3667E"/>
    <w:rsid w:val="00C41F87"/>
    <w:rsid w:val="00C422DD"/>
    <w:rsid w:val="00C443BD"/>
    <w:rsid w:val="00C44FC4"/>
    <w:rsid w:val="00C451C5"/>
    <w:rsid w:val="00C47FE3"/>
    <w:rsid w:val="00C5474E"/>
    <w:rsid w:val="00C606EE"/>
    <w:rsid w:val="00C61F1E"/>
    <w:rsid w:val="00C81A5E"/>
    <w:rsid w:val="00C83F41"/>
    <w:rsid w:val="00C84897"/>
    <w:rsid w:val="00C87312"/>
    <w:rsid w:val="00C9161D"/>
    <w:rsid w:val="00C9190C"/>
    <w:rsid w:val="00C930CE"/>
    <w:rsid w:val="00C9682E"/>
    <w:rsid w:val="00CA00C3"/>
    <w:rsid w:val="00CA0C1D"/>
    <w:rsid w:val="00CA1177"/>
    <w:rsid w:val="00CA1E31"/>
    <w:rsid w:val="00CA431A"/>
    <w:rsid w:val="00CA6DE8"/>
    <w:rsid w:val="00CB33C9"/>
    <w:rsid w:val="00CB4714"/>
    <w:rsid w:val="00CB5342"/>
    <w:rsid w:val="00CB681E"/>
    <w:rsid w:val="00CC1407"/>
    <w:rsid w:val="00CC321F"/>
    <w:rsid w:val="00CC3EB6"/>
    <w:rsid w:val="00CD0A1B"/>
    <w:rsid w:val="00CD6B93"/>
    <w:rsid w:val="00CD6F43"/>
    <w:rsid w:val="00CE392A"/>
    <w:rsid w:val="00CE5C77"/>
    <w:rsid w:val="00CF05F4"/>
    <w:rsid w:val="00CF1848"/>
    <w:rsid w:val="00D12044"/>
    <w:rsid w:val="00D1555C"/>
    <w:rsid w:val="00D2045B"/>
    <w:rsid w:val="00D30264"/>
    <w:rsid w:val="00D30B76"/>
    <w:rsid w:val="00D31D9E"/>
    <w:rsid w:val="00D33EFC"/>
    <w:rsid w:val="00D34CA0"/>
    <w:rsid w:val="00D34F81"/>
    <w:rsid w:val="00D36598"/>
    <w:rsid w:val="00D40DBC"/>
    <w:rsid w:val="00D504A6"/>
    <w:rsid w:val="00D50D8C"/>
    <w:rsid w:val="00D57135"/>
    <w:rsid w:val="00D57E86"/>
    <w:rsid w:val="00D62018"/>
    <w:rsid w:val="00D62635"/>
    <w:rsid w:val="00D67682"/>
    <w:rsid w:val="00D67904"/>
    <w:rsid w:val="00D70EC8"/>
    <w:rsid w:val="00D71034"/>
    <w:rsid w:val="00D727B7"/>
    <w:rsid w:val="00D7543F"/>
    <w:rsid w:val="00D7599F"/>
    <w:rsid w:val="00D76A18"/>
    <w:rsid w:val="00D80849"/>
    <w:rsid w:val="00D82E8F"/>
    <w:rsid w:val="00D919AC"/>
    <w:rsid w:val="00D93C65"/>
    <w:rsid w:val="00D94758"/>
    <w:rsid w:val="00D96807"/>
    <w:rsid w:val="00D97C3E"/>
    <w:rsid w:val="00DA3DEC"/>
    <w:rsid w:val="00DB1D32"/>
    <w:rsid w:val="00DB588B"/>
    <w:rsid w:val="00DC0A0E"/>
    <w:rsid w:val="00DC77B8"/>
    <w:rsid w:val="00DD01AF"/>
    <w:rsid w:val="00DD118C"/>
    <w:rsid w:val="00DD5C4F"/>
    <w:rsid w:val="00DE74F9"/>
    <w:rsid w:val="00DF1938"/>
    <w:rsid w:val="00E00FF6"/>
    <w:rsid w:val="00E03075"/>
    <w:rsid w:val="00E05C76"/>
    <w:rsid w:val="00E068CC"/>
    <w:rsid w:val="00E11B12"/>
    <w:rsid w:val="00E123FC"/>
    <w:rsid w:val="00E12F2F"/>
    <w:rsid w:val="00E17AA7"/>
    <w:rsid w:val="00E21469"/>
    <w:rsid w:val="00E342E1"/>
    <w:rsid w:val="00E35FF0"/>
    <w:rsid w:val="00E536B5"/>
    <w:rsid w:val="00E54C44"/>
    <w:rsid w:val="00E619FA"/>
    <w:rsid w:val="00E62B73"/>
    <w:rsid w:val="00E66235"/>
    <w:rsid w:val="00E70E39"/>
    <w:rsid w:val="00E724D8"/>
    <w:rsid w:val="00E72C1A"/>
    <w:rsid w:val="00E73B5F"/>
    <w:rsid w:val="00E75C04"/>
    <w:rsid w:val="00E835FA"/>
    <w:rsid w:val="00E83C24"/>
    <w:rsid w:val="00E8551B"/>
    <w:rsid w:val="00E87D19"/>
    <w:rsid w:val="00E9247E"/>
    <w:rsid w:val="00E9318D"/>
    <w:rsid w:val="00EA1358"/>
    <w:rsid w:val="00EB16C3"/>
    <w:rsid w:val="00EB61B3"/>
    <w:rsid w:val="00EC1F46"/>
    <w:rsid w:val="00EC2E7F"/>
    <w:rsid w:val="00EC2F92"/>
    <w:rsid w:val="00EC49A1"/>
    <w:rsid w:val="00EC4E71"/>
    <w:rsid w:val="00EC659E"/>
    <w:rsid w:val="00ED0585"/>
    <w:rsid w:val="00ED2DC4"/>
    <w:rsid w:val="00ED70ED"/>
    <w:rsid w:val="00EE0AE5"/>
    <w:rsid w:val="00EE5068"/>
    <w:rsid w:val="00EF567C"/>
    <w:rsid w:val="00F044E9"/>
    <w:rsid w:val="00F253CE"/>
    <w:rsid w:val="00F31156"/>
    <w:rsid w:val="00F34436"/>
    <w:rsid w:val="00F34D6D"/>
    <w:rsid w:val="00F37534"/>
    <w:rsid w:val="00F377AC"/>
    <w:rsid w:val="00F40858"/>
    <w:rsid w:val="00F40DC5"/>
    <w:rsid w:val="00F435FE"/>
    <w:rsid w:val="00F44684"/>
    <w:rsid w:val="00F53193"/>
    <w:rsid w:val="00F5357E"/>
    <w:rsid w:val="00F6586C"/>
    <w:rsid w:val="00F67F46"/>
    <w:rsid w:val="00F71C35"/>
    <w:rsid w:val="00F80D14"/>
    <w:rsid w:val="00F84F06"/>
    <w:rsid w:val="00F93498"/>
    <w:rsid w:val="00F94774"/>
    <w:rsid w:val="00F951FD"/>
    <w:rsid w:val="00FA0E9A"/>
    <w:rsid w:val="00FA26B7"/>
    <w:rsid w:val="00FA663B"/>
    <w:rsid w:val="00FA7FD9"/>
    <w:rsid w:val="00FB05E0"/>
    <w:rsid w:val="00FC25F8"/>
    <w:rsid w:val="00FC53DB"/>
    <w:rsid w:val="00FD16FF"/>
    <w:rsid w:val="00FD7AEE"/>
    <w:rsid w:val="00FE0C47"/>
    <w:rsid w:val="00FE2131"/>
    <w:rsid w:val="00FE29CC"/>
    <w:rsid w:val="00FE3635"/>
    <w:rsid w:val="00FF5C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796129"/>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E73B5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73B5F"/>
    <w:rPr>
      <w:rFonts w:ascii="Times New Roman" w:eastAsia="Times New Roman" w:hAnsi="Times New Roman" w:cs="Times New Roman"/>
      <w:b/>
      <w:bCs/>
      <w:sz w:val="20"/>
      <w:szCs w:val="20"/>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72606D"/>
    <w:pPr>
      <w:spacing w:before="120"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72606D"/>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39B0"/>
    <w:rsid w:val="000F294F"/>
    <w:rsid w:val="000F4E70"/>
    <w:rsid w:val="00100928"/>
    <w:rsid w:val="00122905"/>
    <w:rsid w:val="00124933"/>
    <w:rsid w:val="0016789F"/>
    <w:rsid w:val="00233713"/>
    <w:rsid w:val="00261697"/>
    <w:rsid w:val="00283228"/>
    <w:rsid w:val="002D7BBE"/>
    <w:rsid w:val="0033716E"/>
    <w:rsid w:val="00354006"/>
    <w:rsid w:val="003C2E9C"/>
    <w:rsid w:val="0040682F"/>
    <w:rsid w:val="00437858"/>
    <w:rsid w:val="0046422C"/>
    <w:rsid w:val="004760CF"/>
    <w:rsid w:val="004D3666"/>
    <w:rsid w:val="004E092F"/>
    <w:rsid w:val="00500A2B"/>
    <w:rsid w:val="005063A1"/>
    <w:rsid w:val="00556F9E"/>
    <w:rsid w:val="0058288D"/>
    <w:rsid w:val="00591E93"/>
    <w:rsid w:val="005E6D4E"/>
    <w:rsid w:val="0065689E"/>
    <w:rsid w:val="00665C6B"/>
    <w:rsid w:val="0068006C"/>
    <w:rsid w:val="006801B3"/>
    <w:rsid w:val="00691080"/>
    <w:rsid w:val="006B7378"/>
    <w:rsid w:val="006E58DA"/>
    <w:rsid w:val="00703497"/>
    <w:rsid w:val="00713488"/>
    <w:rsid w:val="00721D0F"/>
    <w:rsid w:val="00747003"/>
    <w:rsid w:val="00762202"/>
    <w:rsid w:val="00783C74"/>
    <w:rsid w:val="0078413A"/>
    <w:rsid w:val="00810A55"/>
    <w:rsid w:val="008635A0"/>
    <w:rsid w:val="00873DC6"/>
    <w:rsid w:val="00894492"/>
    <w:rsid w:val="008C6619"/>
    <w:rsid w:val="008D420E"/>
    <w:rsid w:val="008D7A79"/>
    <w:rsid w:val="008F2F05"/>
    <w:rsid w:val="009236C6"/>
    <w:rsid w:val="00937AB4"/>
    <w:rsid w:val="0098642F"/>
    <w:rsid w:val="00990411"/>
    <w:rsid w:val="009C74EF"/>
    <w:rsid w:val="00A205E3"/>
    <w:rsid w:val="00A2613D"/>
    <w:rsid w:val="00A3212C"/>
    <w:rsid w:val="00A35EAF"/>
    <w:rsid w:val="00AD2A2E"/>
    <w:rsid w:val="00B07524"/>
    <w:rsid w:val="00B27D2C"/>
    <w:rsid w:val="00C57A6E"/>
    <w:rsid w:val="00C6445E"/>
    <w:rsid w:val="00C8104B"/>
    <w:rsid w:val="00CA09E4"/>
    <w:rsid w:val="00CA45D4"/>
    <w:rsid w:val="00D137B4"/>
    <w:rsid w:val="00D31D12"/>
    <w:rsid w:val="00D82C33"/>
    <w:rsid w:val="00DB2249"/>
    <w:rsid w:val="00DC61A3"/>
    <w:rsid w:val="00DC6761"/>
    <w:rsid w:val="00E307F7"/>
    <w:rsid w:val="00EB5821"/>
    <w:rsid w:val="00ED5FEC"/>
    <w:rsid w:val="00F03857"/>
    <w:rsid w:val="00F11C78"/>
    <w:rsid w:val="00F61296"/>
    <w:rsid w:val="00F7720E"/>
    <w:rsid w:val="00F80FAB"/>
    <w:rsid w:val="00FE2294"/>
    <w:rsid w:val="00FF03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9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0D9AD5D0-A285-44B3-AE44-B3B53256FAD2}">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A4AC7E81-41F8-4420-90DF-58B24668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12</Pages>
  <Words>4991</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CP-10/3. 	Plan de mise en œuvre du Protocole de Cartagena sur la prévention des risques biotechnologiques</vt:lpstr>
    </vt:vector>
  </TitlesOfParts>
  <Company>SCBD</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CP-10/3. 	Plan de mise en œuvre du Protocole de Cartagena sur la prévention des risques biotechnologiques</dc:title>
  <dc:subject>CBD/CP/MOP/DEC/10/3</dc:subject>
  <dc:creator>SCBD</dc:creator>
  <cp:keywords>Decision adopted by the Parties to the Cartagena Protocol on Biosafety</cp:keywords>
  <cp:lastModifiedBy>Tatiana Zavarzina</cp:lastModifiedBy>
  <cp:revision>27</cp:revision>
  <cp:lastPrinted>2023-02-14T15:29:00Z</cp:lastPrinted>
  <dcterms:created xsi:type="dcterms:W3CDTF">2023-03-15T16:29:00Z</dcterms:created>
  <dcterms:modified xsi:type="dcterms:W3CDTF">2023-07-17T14:01:00Z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93a38055b7d7b6fe7a0c84fdab0edea863ec90524af29bbda4c28aae7879fe4e</vt:lpwstr>
  </property>
</Properties>
</file>