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666"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
        <w:gridCol w:w="5141"/>
        <w:gridCol w:w="4549"/>
      </w:tblGrid>
      <w:tr w:rsidR="00C9161D" w:rsidRPr="00EE5612" w14:paraId="07F6750D" w14:textId="77777777" w:rsidTr="005D3FAA">
        <w:trPr>
          <w:trHeight w:val="851"/>
        </w:trPr>
        <w:tc>
          <w:tcPr>
            <w:tcW w:w="976" w:type="dxa"/>
            <w:tcBorders>
              <w:bottom w:val="single" w:sz="12" w:space="0" w:color="auto"/>
            </w:tcBorders>
          </w:tcPr>
          <w:p w14:paraId="1DEFF495" w14:textId="77777777" w:rsidR="00C9161D" w:rsidRPr="00EE5612" w:rsidRDefault="00C9161D" w:rsidP="00321985">
            <w:pPr>
              <w:rPr>
                <w:lang w:val="es-UY"/>
              </w:rPr>
            </w:pPr>
            <w:r w:rsidRPr="00EE5612">
              <w:rPr>
                <w:lang w:val="es-UY"/>
              </w:rPr>
              <w:drawing>
                <wp:inline distT="0" distB="0" distL="0" distR="0" wp14:anchorId="33099486" wp14:editId="1193B5AB">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1986B63F" w14:textId="438FF6D6" w:rsidR="00FA663B" w:rsidRPr="00EE5612" w:rsidRDefault="001403AE" w:rsidP="00321985">
            <w:pPr>
              <w:rPr>
                <w:lang w:val="es-UY"/>
              </w:rPr>
            </w:pPr>
            <w:r w:rsidRPr="00EE5612">
              <w:rPr>
                <w:lang w:val="es-UY"/>
              </w:rPr>
              <w:drawing>
                <wp:inline distT="0" distB="0" distL="0" distR="0" wp14:anchorId="04FD3C79" wp14:editId="0205A170">
                  <wp:extent cx="704215" cy="401320"/>
                  <wp:effectExtent l="0" t="0" r="63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4215" cy="401320"/>
                          </a:xfrm>
                          <a:prstGeom prst="rect">
                            <a:avLst/>
                          </a:prstGeom>
                          <a:noFill/>
                          <a:ln>
                            <a:noFill/>
                          </a:ln>
                        </pic:spPr>
                      </pic:pic>
                    </a:graphicData>
                  </a:graphic>
                </wp:inline>
              </w:drawing>
            </w:r>
          </w:p>
        </w:tc>
        <w:tc>
          <w:tcPr>
            <w:tcW w:w="4549" w:type="dxa"/>
            <w:tcBorders>
              <w:bottom w:val="single" w:sz="12" w:space="0" w:color="auto"/>
            </w:tcBorders>
          </w:tcPr>
          <w:p w14:paraId="600A589D" w14:textId="77777777" w:rsidR="00C9161D" w:rsidRPr="00EE5612" w:rsidRDefault="00C9161D" w:rsidP="005D3FAA">
            <w:pPr>
              <w:ind w:right="176"/>
              <w:jc w:val="right"/>
              <w:rPr>
                <w:rFonts w:ascii="Arial" w:hAnsi="Arial" w:cs="Arial"/>
                <w:b/>
                <w:sz w:val="32"/>
                <w:szCs w:val="32"/>
                <w:lang w:val="es-UY"/>
              </w:rPr>
            </w:pPr>
            <w:proofErr w:type="spellStart"/>
            <w:r w:rsidRPr="00EE5612">
              <w:rPr>
                <w:rFonts w:ascii="Arial" w:hAnsi="Arial" w:cs="Arial"/>
                <w:b/>
                <w:sz w:val="32"/>
                <w:szCs w:val="32"/>
                <w:lang w:val="es-UY"/>
              </w:rPr>
              <w:t>CBD</w:t>
            </w:r>
            <w:proofErr w:type="spellEnd"/>
          </w:p>
        </w:tc>
      </w:tr>
      <w:tr w:rsidR="00C9161D" w:rsidRPr="00EE5612" w14:paraId="6F751905" w14:textId="77777777" w:rsidTr="005D3FAA">
        <w:tc>
          <w:tcPr>
            <w:tcW w:w="6117" w:type="dxa"/>
            <w:gridSpan w:val="2"/>
            <w:tcBorders>
              <w:top w:val="single" w:sz="12" w:space="0" w:color="auto"/>
              <w:bottom w:val="single" w:sz="36" w:space="0" w:color="auto"/>
            </w:tcBorders>
            <w:vAlign w:val="center"/>
          </w:tcPr>
          <w:p w14:paraId="14F52A6C" w14:textId="0DB7B4E7" w:rsidR="00C9161D" w:rsidRPr="00EE5612" w:rsidRDefault="001403AE" w:rsidP="00C9161D">
            <w:pPr>
              <w:rPr>
                <w:lang w:val="es-UY"/>
              </w:rPr>
            </w:pPr>
            <w:r w:rsidRPr="00EE5612">
              <w:rPr>
                <w:color w:val="000000"/>
                <w:sz w:val="20"/>
                <w:szCs w:val="20"/>
                <w:lang w:val="es-UY"/>
              </w:rPr>
              <w:drawing>
                <wp:inline distT="0" distB="0" distL="0" distR="0" wp14:anchorId="5BA3B5EB" wp14:editId="3286D476">
                  <wp:extent cx="2906395" cy="1059180"/>
                  <wp:effectExtent l="0" t="0" r="8255" b="762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06395" cy="1059180"/>
                          </a:xfrm>
                          <a:prstGeom prst="rect">
                            <a:avLst/>
                          </a:prstGeom>
                          <a:noFill/>
                          <a:ln>
                            <a:noFill/>
                          </a:ln>
                        </pic:spPr>
                      </pic:pic>
                    </a:graphicData>
                  </a:graphic>
                </wp:inline>
              </w:drawing>
            </w:r>
          </w:p>
        </w:tc>
        <w:tc>
          <w:tcPr>
            <w:tcW w:w="4549" w:type="dxa"/>
            <w:tcBorders>
              <w:top w:val="single" w:sz="12" w:space="0" w:color="auto"/>
              <w:bottom w:val="single" w:sz="36" w:space="0" w:color="auto"/>
            </w:tcBorders>
          </w:tcPr>
          <w:p w14:paraId="1C693BA4" w14:textId="77777777" w:rsidR="00C9161D" w:rsidRPr="00EE5612" w:rsidRDefault="00C9161D" w:rsidP="00176CEE">
            <w:pPr>
              <w:ind w:left="1215"/>
              <w:rPr>
                <w:szCs w:val="22"/>
                <w:lang w:val="es-UY"/>
              </w:rPr>
            </w:pPr>
            <w:proofErr w:type="spellStart"/>
            <w:r w:rsidRPr="00EE5612">
              <w:rPr>
                <w:szCs w:val="22"/>
                <w:lang w:val="es-UY"/>
              </w:rPr>
              <w:t>Distr</w:t>
            </w:r>
            <w:proofErr w:type="spellEnd"/>
            <w:r w:rsidRPr="00EE5612">
              <w:rPr>
                <w:szCs w:val="22"/>
                <w:lang w:val="es-UY"/>
              </w:rPr>
              <w:t>.</w:t>
            </w:r>
          </w:p>
          <w:p w14:paraId="54861A46" w14:textId="47699642" w:rsidR="001403AE" w:rsidRPr="00EE5612" w:rsidRDefault="00767637" w:rsidP="001403AE">
            <w:pPr>
              <w:ind w:left="1215"/>
              <w:rPr>
                <w:szCs w:val="22"/>
                <w:lang w:val="es-UY"/>
              </w:rPr>
            </w:pPr>
            <w:r w:rsidRPr="00EE5612">
              <w:rPr>
                <w:caps/>
                <w:szCs w:val="22"/>
                <w:lang w:val="es-UY"/>
              </w:rPr>
              <w:t>GENERAL</w:t>
            </w:r>
          </w:p>
          <w:p w14:paraId="06715052" w14:textId="77777777" w:rsidR="00C9161D" w:rsidRPr="00EE5612" w:rsidRDefault="00C9161D" w:rsidP="00176CEE">
            <w:pPr>
              <w:ind w:left="1215"/>
              <w:rPr>
                <w:szCs w:val="22"/>
                <w:lang w:val="es-UY"/>
              </w:rPr>
            </w:pPr>
          </w:p>
          <w:p w14:paraId="44230134" w14:textId="4E602F46" w:rsidR="00C9161D" w:rsidRPr="00EE5612" w:rsidRDefault="00602843" w:rsidP="00176CEE">
            <w:pPr>
              <w:ind w:left="1215"/>
              <w:rPr>
                <w:szCs w:val="22"/>
                <w:lang w:val="es-UY"/>
              </w:rPr>
            </w:pPr>
            <w:sdt>
              <w:sdtPr>
                <w:rPr>
                  <w:lang w:val="es-UY"/>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proofErr w:type="spellStart"/>
                <w:r w:rsidR="00F2040E" w:rsidRPr="00EE5612">
                  <w:rPr>
                    <w:lang w:val="es-UY"/>
                  </w:rPr>
                  <w:t>CBD</w:t>
                </w:r>
                <w:proofErr w:type="spellEnd"/>
                <w:r w:rsidR="00F2040E" w:rsidRPr="00EE5612">
                  <w:rPr>
                    <w:lang w:val="es-UY"/>
                  </w:rPr>
                  <w:t>/</w:t>
                </w:r>
                <w:proofErr w:type="spellStart"/>
                <w:r w:rsidR="00F2040E" w:rsidRPr="00EE5612">
                  <w:rPr>
                    <w:lang w:val="es-UY"/>
                  </w:rPr>
                  <w:t>CP</w:t>
                </w:r>
                <w:proofErr w:type="spellEnd"/>
                <w:r w:rsidR="00F2040E" w:rsidRPr="00EE5612">
                  <w:rPr>
                    <w:lang w:val="es-UY"/>
                  </w:rPr>
                  <w:t>/</w:t>
                </w:r>
                <w:proofErr w:type="spellStart"/>
                <w:r w:rsidR="00F2040E" w:rsidRPr="00EE5612">
                  <w:rPr>
                    <w:lang w:val="es-UY"/>
                  </w:rPr>
                  <w:t>MOP</w:t>
                </w:r>
                <w:proofErr w:type="spellEnd"/>
                <w:r w:rsidR="00F2040E" w:rsidRPr="00EE5612">
                  <w:rPr>
                    <w:lang w:val="es-UY"/>
                  </w:rPr>
                  <w:t>/</w:t>
                </w:r>
                <w:r w:rsidR="00767637" w:rsidRPr="00EE5612">
                  <w:rPr>
                    <w:lang w:val="es-UY"/>
                  </w:rPr>
                  <w:t>DEC/</w:t>
                </w:r>
                <w:r w:rsidR="00F2040E" w:rsidRPr="00EE5612">
                  <w:rPr>
                    <w:lang w:val="es-UY"/>
                  </w:rPr>
                  <w:t>10/</w:t>
                </w:r>
                <w:r w:rsidR="00767637" w:rsidRPr="00EE5612">
                  <w:rPr>
                    <w:lang w:val="es-UY"/>
                  </w:rPr>
                  <w:t>6</w:t>
                </w:r>
              </w:sdtContent>
            </w:sdt>
          </w:p>
          <w:p w14:paraId="0DF1F033" w14:textId="6B876864" w:rsidR="00C9161D" w:rsidRPr="00EE5612" w:rsidRDefault="006C6350" w:rsidP="00176CEE">
            <w:pPr>
              <w:ind w:left="1215"/>
              <w:rPr>
                <w:szCs w:val="22"/>
                <w:lang w:val="es-UY"/>
              </w:rPr>
            </w:pPr>
            <w:r w:rsidRPr="00EE5612">
              <w:rPr>
                <w:szCs w:val="22"/>
                <w:lang w:val="es-UY"/>
              </w:rPr>
              <w:t>1</w:t>
            </w:r>
            <w:r w:rsidR="00F01F79" w:rsidRPr="00EE5612">
              <w:rPr>
                <w:szCs w:val="22"/>
                <w:lang w:val="es-UY"/>
              </w:rPr>
              <w:t>9</w:t>
            </w:r>
            <w:r w:rsidRPr="00EE5612">
              <w:rPr>
                <w:szCs w:val="22"/>
                <w:lang w:val="es-UY"/>
              </w:rPr>
              <w:t xml:space="preserve"> </w:t>
            </w:r>
            <w:r w:rsidR="001403AE" w:rsidRPr="00EE5612">
              <w:rPr>
                <w:szCs w:val="22"/>
                <w:lang w:val="es-UY"/>
              </w:rPr>
              <w:t>de diciembre de</w:t>
            </w:r>
            <w:r w:rsidR="00F6586C" w:rsidRPr="00EE5612">
              <w:rPr>
                <w:szCs w:val="22"/>
                <w:lang w:val="es-UY"/>
              </w:rPr>
              <w:t xml:space="preserve"> 20</w:t>
            </w:r>
            <w:r w:rsidR="00FC25F8" w:rsidRPr="00EE5612">
              <w:rPr>
                <w:szCs w:val="22"/>
                <w:lang w:val="es-UY"/>
              </w:rPr>
              <w:t>2</w:t>
            </w:r>
            <w:r w:rsidR="00B26ACD" w:rsidRPr="00EE5612">
              <w:rPr>
                <w:szCs w:val="22"/>
                <w:lang w:val="es-UY"/>
              </w:rPr>
              <w:t>2</w:t>
            </w:r>
          </w:p>
          <w:p w14:paraId="159892DF" w14:textId="77777777" w:rsidR="00C9161D" w:rsidRPr="00EE5612" w:rsidRDefault="00C9161D" w:rsidP="00176CEE">
            <w:pPr>
              <w:ind w:left="1215"/>
              <w:rPr>
                <w:szCs w:val="22"/>
                <w:lang w:val="es-UY"/>
              </w:rPr>
            </w:pPr>
          </w:p>
          <w:p w14:paraId="49AE2BA8" w14:textId="77777777" w:rsidR="001403AE" w:rsidRPr="00EE5612" w:rsidRDefault="001403AE" w:rsidP="001403AE">
            <w:pPr>
              <w:ind w:left="1215"/>
              <w:rPr>
                <w:szCs w:val="22"/>
                <w:lang w:val="es-UY"/>
              </w:rPr>
            </w:pPr>
            <w:r w:rsidRPr="00EE5612">
              <w:rPr>
                <w:szCs w:val="22"/>
                <w:lang w:val="es-UY"/>
              </w:rPr>
              <w:t>ESPAÑOL</w:t>
            </w:r>
          </w:p>
          <w:p w14:paraId="5AA10CCE" w14:textId="024AFCD7" w:rsidR="00C9161D" w:rsidRPr="00EE5612" w:rsidRDefault="001403AE" w:rsidP="001403AE">
            <w:pPr>
              <w:ind w:left="1215"/>
              <w:rPr>
                <w:szCs w:val="22"/>
                <w:lang w:val="es-UY"/>
              </w:rPr>
            </w:pPr>
            <w:r w:rsidRPr="00EE5612">
              <w:rPr>
                <w:szCs w:val="22"/>
                <w:lang w:val="es-UY"/>
              </w:rPr>
              <w:t>ORIGINAL: INGLÉS</w:t>
            </w:r>
          </w:p>
        </w:tc>
      </w:tr>
    </w:tbl>
    <w:p w14:paraId="02C067B7" w14:textId="1F3DC418" w:rsidR="001403AE" w:rsidRPr="00EE5612" w:rsidRDefault="001403AE" w:rsidP="001403AE">
      <w:pPr>
        <w:pStyle w:val="Cornernotation"/>
        <w:kinsoku w:val="0"/>
        <w:overflowPunct w:val="0"/>
        <w:autoSpaceDE w:val="0"/>
        <w:autoSpaceDN w:val="0"/>
        <w:spacing w:before="60"/>
        <w:ind w:left="227" w:right="3792" w:hanging="227"/>
        <w:rPr>
          <w:snapToGrid w:val="0"/>
          <w:kern w:val="22"/>
          <w:lang w:val="es-UY"/>
        </w:rPr>
      </w:pPr>
      <w:r w:rsidRPr="00EE5612">
        <w:rPr>
          <w:snapToGrid w:val="0"/>
          <w:lang w:val="es-UY"/>
        </w:rPr>
        <w:t xml:space="preserve">CONFERENCIA DE LAS PARTES EN EL CONVENIO SOBRE LA DIVERSIDAD BIOLÓGICA QUE ACTÚA COMO REUNIÓN DE LAS PARTES EN EL PROTOCOLO DE </w:t>
      </w:r>
      <w:r w:rsidR="00424864" w:rsidRPr="00EE5612">
        <w:rPr>
          <w:snapToGrid w:val="0"/>
          <w:lang w:val="es-UY"/>
        </w:rPr>
        <w:t>CARTAGENA</w:t>
      </w:r>
      <w:r w:rsidRPr="00EE5612">
        <w:rPr>
          <w:snapToGrid w:val="0"/>
          <w:lang w:val="es-UY"/>
        </w:rPr>
        <w:t xml:space="preserve"> </w:t>
      </w:r>
      <w:r w:rsidR="00F7381B" w:rsidRPr="00EE5612">
        <w:rPr>
          <w:snapToGrid w:val="0"/>
          <w:lang w:val="es-UY"/>
        </w:rPr>
        <w:t xml:space="preserve">SOBRE </w:t>
      </w:r>
      <w:r w:rsidR="00424864" w:rsidRPr="00EE5612">
        <w:rPr>
          <w:snapToGrid w:val="0"/>
          <w:lang w:val="es-UY"/>
        </w:rPr>
        <w:t>SEGURIDAD DE LA BIOTECNOLOGÍA</w:t>
      </w:r>
    </w:p>
    <w:p w14:paraId="2A5778AD" w14:textId="106B2EEA" w:rsidR="001403AE" w:rsidRPr="00EE5612" w:rsidRDefault="00424864" w:rsidP="001403AE">
      <w:pPr>
        <w:pStyle w:val="Cornernotation"/>
        <w:kinsoku w:val="0"/>
        <w:overflowPunct w:val="0"/>
        <w:autoSpaceDE w:val="0"/>
        <w:autoSpaceDN w:val="0"/>
        <w:ind w:left="0" w:right="3792" w:firstLine="0"/>
        <w:rPr>
          <w:snapToGrid w:val="0"/>
          <w:kern w:val="22"/>
          <w:lang w:val="es-UY"/>
        </w:rPr>
      </w:pPr>
      <w:r w:rsidRPr="00EE5612">
        <w:rPr>
          <w:snapToGrid w:val="0"/>
          <w:lang w:val="es-UY"/>
        </w:rPr>
        <w:t>Décima</w:t>
      </w:r>
      <w:r w:rsidR="001403AE" w:rsidRPr="00EE5612">
        <w:rPr>
          <w:snapToGrid w:val="0"/>
          <w:lang w:val="es-UY"/>
        </w:rPr>
        <w:t xml:space="preserve"> reunión – Parte II</w:t>
      </w:r>
    </w:p>
    <w:p w14:paraId="78BD4A3B" w14:textId="3BFCEC8D" w:rsidR="001403AE" w:rsidRPr="00EE5612" w:rsidRDefault="001403AE" w:rsidP="001403AE">
      <w:pPr>
        <w:pStyle w:val="Cornernotation"/>
        <w:kinsoku w:val="0"/>
        <w:overflowPunct w:val="0"/>
        <w:autoSpaceDE w:val="0"/>
        <w:autoSpaceDN w:val="0"/>
        <w:ind w:left="227" w:right="3792" w:hanging="227"/>
        <w:rPr>
          <w:snapToGrid w:val="0"/>
          <w:kern w:val="22"/>
          <w:szCs w:val="22"/>
          <w:lang w:val="es-UY"/>
        </w:rPr>
      </w:pPr>
      <w:r w:rsidRPr="00EE5612">
        <w:rPr>
          <w:snapToGrid w:val="0"/>
          <w:lang w:val="es-UY"/>
        </w:rPr>
        <w:t>Montreal (Canadá), 7</w:t>
      </w:r>
      <w:r w:rsidR="00094B61" w:rsidRPr="00EE5612">
        <w:rPr>
          <w:snapToGrid w:val="0"/>
          <w:lang w:val="es-UY"/>
        </w:rPr>
        <w:t xml:space="preserve"> a </w:t>
      </w:r>
      <w:r w:rsidRPr="00EE5612">
        <w:rPr>
          <w:snapToGrid w:val="0"/>
          <w:lang w:val="es-UY"/>
        </w:rPr>
        <w:t>19 de diciembre de 2022</w:t>
      </w:r>
    </w:p>
    <w:p w14:paraId="5ECF7635" w14:textId="016BF758" w:rsidR="00C9161D" w:rsidRPr="00EE5612" w:rsidRDefault="001403AE" w:rsidP="001403AE">
      <w:pPr>
        <w:rPr>
          <w:snapToGrid w:val="0"/>
          <w:kern w:val="22"/>
          <w:szCs w:val="22"/>
          <w:lang w:val="es-UY"/>
        </w:rPr>
      </w:pPr>
      <w:r w:rsidRPr="00EE5612">
        <w:rPr>
          <w:snapToGrid w:val="0"/>
          <w:lang w:val="es-UY"/>
        </w:rPr>
        <w:t>Tema 10 de</w:t>
      </w:r>
      <w:r w:rsidR="005B3184" w:rsidRPr="00EE5612">
        <w:rPr>
          <w:snapToGrid w:val="0"/>
          <w:lang w:val="es-UY"/>
        </w:rPr>
        <w:t>l</w:t>
      </w:r>
      <w:r w:rsidRPr="00EE5612">
        <w:rPr>
          <w:snapToGrid w:val="0"/>
          <w:lang w:val="es-UY"/>
        </w:rPr>
        <w:t xml:space="preserve"> programa</w:t>
      </w:r>
      <w:r w:rsidR="00134846" w:rsidRPr="00EE5612">
        <w:rPr>
          <w:snapToGrid w:val="0"/>
          <w:kern w:val="22"/>
          <w:szCs w:val="22"/>
          <w:lang w:val="es-UY"/>
        </w:rPr>
        <w:t xml:space="preserve"> </w:t>
      </w:r>
    </w:p>
    <w:p w14:paraId="5A30AA06" w14:textId="6FFBF4BB" w:rsidR="008535B4" w:rsidRPr="00EE5612" w:rsidRDefault="008535B4" w:rsidP="008535B4">
      <w:pPr>
        <w:spacing w:before="240" w:after="240"/>
        <w:ind w:right="-288"/>
        <w:jc w:val="center"/>
        <w:rPr>
          <w:rFonts w:ascii="Times New Roman Bold" w:hAnsi="Times New Roman Bold"/>
          <w:b/>
          <w:caps/>
          <w:lang w:val="es-UY"/>
        </w:rPr>
      </w:pPr>
      <w:r w:rsidRPr="00EE5612">
        <w:rPr>
          <w:rFonts w:ascii="Times New Roman Bold" w:hAnsi="Times New Roman Bold"/>
          <w:b/>
          <w:caps/>
          <w:lang w:val="es-UY"/>
        </w:rPr>
        <w:t>Decisi</w:t>
      </w:r>
      <w:r w:rsidR="009474E8" w:rsidRPr="00EE5612">
        <w:rPr>
          <w:rFonts w:ascii="Times New Roman Bold" w:hAnsi="Times New Roman Bold"/>
          <w:b/>
          <w:caps/>
          <w:lang w:val="es-UY"/>
        </w:rPr>
        <w:t>Ó</w:t>
      </w:r>
      <w:r w:rsidRPr="00EE5612">
        <w:rPr>
          <w:rFonts w:ascii="Times New Roman Bold" w:hAnsi="Times New Roman Bold"/>
          <w:b/>
          <w:caps/>
          <w:lang w:val="es-UY"/>
        </w:rPr>
        <w:t>n adopt</w:t>
      </w:r>
      <w:r w:rsidR="009474E8" w:rsidRPr="00EE5612">
        <w:rPr>
          <w:rFonts w:ascii="Times New Roman Bold" w:hAnsi="Times New Roman Bold"/>
          <w:b/>
          <w:caps/>
          <w:lang w:val="es-UY"/>
        </w:rPr>
        <w:t>ADA</w:t>
      </w:r>
      <w:r w:rsidRPr="00EE5612">
        <w:rPr>
          <w:rFonts w:ascii="Times New Roman Bold" w:hAnsi="Times New Roman Bold"/>
          <w:b/>
          <w:caps/>
          <w:lang w:val="es-UY"/>
        </w:rPr>
        <w:t xml:space="preserve"> </w:t>
      </w:r>
      <w:r w:rsidR="009474E8" w:rsidRPr="00EE5612">
        <w:rPr>
          <w:rFonts w:ascii="Times New Roman Bold" w:hAnsi="Times New Roman Bold"/>
          <w:b/>
          <w:caps/>
          <w:lang w:val="es-UY"/>
        </w:rPr>
        <w:t xml:space="preserve">POR LAS PARTES EN EL PROTOCOLO DE </w:t>
      </w:r>
      <w:r w:rsidRPr="00EE5612">
        <w:rPr>
          <w:rFonts w:ascii="Times New Roman Bold" w:hAnsi="Times New Roman Bold"/>
          <w:b/>
          <w:caps/>
          <w:lang w:val="es-UY"/>
        </w:rPr>
        <w:t xml:space="preserve">Cartagena </w:t>
      </w:r>
      <w:r w:rsidR="009474E8" w:rsidRPr="00EE5612">
        <w:rPr>
          <w:rFonts w:ascii="Times New Roman Bold" w:hAnsi="Times New Roman Bold"/>
          <w:b/>
          <w:caps/>
          <w:lang w:val="es-UY"/>
        </w:rPr>
        <w:t xml:space="preserve">SOBRE SEGURIDAD </w:t>
      </w:r>
      <w:r w:rsidR="00187CBC" w:rsidRPr="00EE5612">
        <w:rPr>
          <w:rFonts w:ascii="Times New Roman Bold" w:hAnsi="Times New Roman Bold"/>
          <w:b/>
          <w:caps/>
          <w:lang w:val="es-UY"/>
        </w:rPr>
        <w:t xml:space="preserve">DE LA </w:t>
      </w:r>
      <w:r w:rsidR="009474E8" w:rsidRPr="00EE5612">
        <w:rPr>
          <w:rFonts w:ascii="Times New Roman Bold" w:hAnsi="Times New Roman Bold"/>
          <w:b/>
          <w:caps/>
          <w:lang w:val="es-UY"/>
        </w:rPr>
        <w:t>BIO</w:t>
      </w:r>
      <w:r w:rsidR="00187CBC" w:rsidRPr="00EE5612">
        <w:rPr>
          <w:rFonts w:ascii="Times New Roman Bold" w:hAnsi="Times New Roman Bold"/>
          <w:b/>
          <w:caps/>
          <w:lang w:val="es-UY"/>
        </w:rPr>
        <w:t>TECNOLOGÍA</w:t>
      </w:r>
    </w:p>
    <w:p w14:paraId="57F6B7A1" w14:textId="017039AC" w:rsidR="00C9161D" w:rsidRPr="00EE5612" w:rsidRDefault="00602843" w:rsidP="00172AF6">
      <w:pPr>
        <w:spacing w:before="120" w:after="240"/>
        <w:jc w:val="center"/>
        <w:rPr>
          <w:b/>
          <w:caps/>
          <w:lang w:val="es-UY"/>
        </w:rPr>
      </w:pPr>
      <w:sdt>
        <w:sdtPr>
          <w:rPr>
            <w:rFonts w:asciiTheme="majorBidi" w:hAnsiTheme="majorBidi" w:cstheme="majorBidi"/>
            <w:b/>
            <w:bCs/>
            <w:snapToGrid w:val="0"/>
            <w:kern w:val="22"/>
            <w:lang w:val="es-UY"/>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F25FD7" w:rsidRPr="00EE5612">
            <w:rPr>
              <w:rFonts w:asciiTheme="majorBidi" w:hAnsiTheme="majorBidi" w:cstheme="majorBidi"/>
              <w:b/>
              <w:bCs/>
              <w:snapToGrid w:val="0"/>
              <w:kern w:val="22"/>
              <w:lang w:val="es-UY"/>
            </w:rPr>
            <w:t xml:space="preserve">CP-10/6.   </w:t>
          </w:r>
          <w:r w:rsidR="001403AE" w:rsidRPr="00EE5612">
            <w:rPr>
              <w:rFonts w:asciiTheme="majorBidi" w:hAnsiTheme="majorBidi" w:cstheme="majorBidi"/>
              <w:b/>
              <w:bCs/>
              <w:snapToGrid w:val="0"/>
              <w:kern w:val="22"/>
              <w:lang w:val="es-UY"/>
            </w:rPr>
            <w:t>Asuntos relacionados con el mecanismo financiero y los recursos financieros (artículo 28)</w:t>
          </w:r>
        </w:sdtContent>
      </w:sdt>
      <w:r w:rsidR="00105372" w:rsidRPr="00EE5612">
        <w:rPr>
          <w:b/>
          <w:caps/>
          <w:lang w:val="es-UY"/>
        </w:rPr>
        <w:t xml:space="preserve"> </w:t>
      </w:r>
    </w:p>
    <w:p w14:paraId="7DAB7BDF" w14:textId="54A4427A" w:rsidR="0077674C" w:rsidRPr="00EE5612" w:rsidRDefault="001403AE" w:rsidP="0077674C">
      <w:pPr>
        <w:spacing w:before="120" w:after="120"/>
        <w:ind w:firstLine="720"/>
        <w:rPr>
          <w:i/>
          <w:iCs/>
          <w:kern w:val="22"/>
          <w:szCs w:val="22"/>
          <w:lang w:val="es-UY"/>
        </w:rPr>
      </w:pPr>
      <w:r w:rsidRPr="00EE5612">
        <w:rPr>
          <w:i/>
          <w:iCs/>
          <w:szCs w:val="22"/>
          <w:lang w:val="es-UY"/>
        </w:rPr>
        <w:t>La Conferencia de las Partes que actúa como reunión de las Partes en el Protocolo de Cartagena sobre Seguridad de la Biotecnología</w:t>
      </w:r>
    </w:p>
    <w:p w14:paraId="36DD82BD" w14:textId="19ED9197" w:rsidR="009657F9" w:rsidRPr="00EE5612" w:rsidRDefault="000C63E7" w:rsidP="009657F9">
      <w:pPr>
        <w:shd w:val="clear" w:color="auto" w:fill="FFFFFF" w:themeFill="background1"/>
        <w:spacing w:before="120" w:after="120"/>
        <w:ind w:firstLine="709"/>
        <w:rPr>
          <w:szCs w:val="22"/>
          <w:lang w:val="es-UY" w:eastAsia="en-GB"/>
        </w:rPr>
      </w:pPr>
      <w:r w:rsidRPr="00EE5612">
        <w:rPr>
          <w:szCs w:val="22"/>
          <w:lang w:val="es-UY" w:eastAsia="en-GB"/>
        </w:rPr>
        <w:t>1.</w:t>
      </w:r>
      <w:r w:rsidRPr="00EE5612">
        <w:rPr>
          <w:i/>
          <w:iCs/>
          <w:szCs w:val="22"/>
          <w:lang w:val="es-UY" w:eastAsia="en-GB"/>
        </w:rPr>
        <w:tab/>
      </w:r>
      <w:r w:rsidR="001403AE" w:rsidRPr="00EE5612">
        <w:rPr>
          <w:i/>
          <w:iCs/>
          <w:szCs w:val="22"/>
          <w:lang w:val="es-UY" w:eastAsia="en-GB"/>
        </w:rPr>
        <w:t xml:space="preserve">Acoge con beneplácito </w:t>
      </w:r>
      <w:r w:rsidR="001403AE" w:rsidRPr="00EE5612">
        <w:rPr>
          <w:szCs w:val="22"/>
          <w:lang w:val="es-UY" w:eastAsia="en-GB"/>
        </w:rPr>
        <w:t>la octava reposición del Fondo Fiduciario del Fondo para el Medio Ambiente Mundial y sus orientaciones programáticas, y el apoyo que ello proporciona a las Partes para la aplicación del Protocolo de Cartagena</w:t>
      </w:r>
      <w:r w:rsidR="00AA7F3A" w:rsidRPr="00EE5612">
        <w:rPr>
          <w:szCs w:val="22"/>
          <w:lang w:val="es-UY" w:eastAsia="en-GB"/>
        </w:rPr>
        <w:t xml:space="preserve"> sobre Seguridad de la Biotecnología</w:t>
      </w:r>
      <w:r w:rsidR="009657F9" w:rsidRPr="00EE5612">
        <w:rPr>
          <w:szCs w:val="22"/>
          <w:lang w:val="es-UY" w:eastAsia="en-GB"/>
        </w:rPr>
        <w:t xml:space="preserve">; </w:t>
      </w:r>
    </w:p>
    <w:p w14:paraId="6AED5676" w14:textId="30F7B9D6" w:rsidR="009657F9" w:rsidRPr="00EE5612" w:rsidRDefault="009657F9" w:rsidP="009657F9">
      <w:pPr>
        <w:shd w:val="clear" w:color="auto" w:fill="FFFFFF" w:themeFill="background1"/>
        <w:spacing w:before="120" w:after="120"/>
        <w:ind w:firstLine="709"/>
        <w:rPr>
          <w:szCs w:val="22"/>
          <w:lang w:val="es-UY" w:eastAsia="en-GB"/>
        </w:rPr>
      </w:pPr>
      <w:r w:rsidRPr="00EE5612">
        <w:rPr>
          <w:szCs w:val="22"/>
          <w:lang w:val="es-UY" w:eastAsia="en-GB"/>
        </w:rPr>
        <w:t>2</w:t>
      </w:r>
      <w:r w:rsidRPr="00EE5612">
        <w:rPr>
          <w:i/>
          <w:iCs/>
          <w:szCs w:val="22"/>
          <w:lang w:val="es-UY" w:eastAsia="en-GB"/>
        </w:rPr>
        <w:t>.</w:t>
      </w:r>
      <w:r w:rsidRPr="00EE5612">
        <w:rPr>
          <w:i/>
          <w:iCs/>
          <w:szCs w:val="22"/>
          <w:lang w:val="es-UY" w:eastAsia="en-GB"/>
        </w:rPr>
        <w:tab/>
      </w:r>
      <w:r w:rsidR="001403AE" w:rsidRPr="00EE5612">
        <w:rPr>
          <w:i/>
          <w:iCs/>
          <w:szCs w:val="22"/>
          <w:lang w:val="es-UY" w:eastAsia="en-GB"/>
        </w:rPr>
        <w:t>Observa con preocupación</w:t>
      </w:r>
      <w:r w:rsidR="001403AE" w:rsidRPr="00EE5612">
        <w:rPr>
          <w:szCs w:val="22"/>
          <w:lang w:val="es-UY" w:eastAsia="en-GB"/>
        </w:rPr>
        <w:t xml:space="preserve"> que </w:t>
      </w:r>
      <w:r w:rsidR="001403AE" w:rsidRPr="00EE5612">
        <w:rPr>
          <w:rFonts w:eastAsia="MS Mincho"/>
          <w:iCs/>
          <w:szCs w:val="22"/>
          <w:lang w:val="es-UY"/>
        </w:rPr>
        <w:t>se presentaron muy pocos proyectos para apoyar la aplicación del Protocolo de Cartagena durante el séptimo período de reposición del Fondo Fiduciario del Fondo para el Medio Ambiente Mundial</w:t>
      </w:r>
      <w:r w:rsidRPr="00EE5612">
        <w:rPr>
          <w:rFonts w:eastAsia="MS Mincho"/>
          <w:iCs/>
          <w:szCs w:val="22"/>
          <w:lang w:val="es-UY"/>
        </w:rPr>
        <w:t>;</w:t>
      </w:r>
    </w:p>
    <w:p w14:paraId="2E1AE9D9" w14:textId="0CD604CC" w:rsidR="009657F9" w:rsidRPr="00EE5612" w:rsidRDefault="009657F9" w:rsidP="009657F9">
      <w:pPr>
        <w:shd w:val="clear" w:color="auto" w:fill="FFFFFF" w:themeFill="background1"/>
        <w:spacing w:before="120" w:after="120"/>
        <w:ind w:firstLine="709"/>
        <w:rPr>
          <w:szCs w:val="22"/>
          <w:lang w:val="es-UY"/>
        </w:rPr>
      </w:pPr>
      <w:r w:rsidRPr="00EE5612">
        <w:rPr>
          <w:szCs w:val="22"/>
          <w:lang w:val="es-UY"/>
        </w:rPr>
        <w:t>3.</w:t>
      </w:r>
      <w:r w:rsidRPr="00EE5612">
        <w:rPr>
          <w:i/>
          <w:iCs/>
          <w:szCs w:val="22"/>
          <w:lang w:val="es-UY"/>
        </w:rPr>
        <w:tab/>
      </w:r>
      <w:r w:rsidR="001403AE" w:rsidRPr="00EE5612">
        <w:rPr>
          <w:i/>
          <w:iCs/>
          <w:szCs w:val="22"/>
          <w:lang w:val="es-UY"/>
        </w:rPr>
        <w:t xml:space="preserve">Recomienda </w:t>
      </w:r>
      <w:r w:rsidR="001403AE" w:rsidRPr="00EE5612">
        <w:rPr>
          <w:szCs w:val="22"/>
          <w:lang w:val="es-UY"/>
        </w:rPr>
        <w:t xml:space="preserve">a la Conferencia de las Partes que, en la orientación que brinde al Fondo para el Medio Ambiente Mundial respecto del apoyo para la aplicación del Protocolo de Cartagena, invite al </w:t>
      </w:r>
      <w:r w:rsidR="00B629A6" w:rsidRPr="00EE5612">
        <w:rPr>
          <w:rFonts w:eastAsia="MS Mincho"/>
          <w:iCs/>
          <w:szCs w:val="22"/>
          <w:lang w:val="es-UY"/>
        </w:rPr>
        <w:t>Fondo para el Medio Ambiente Mundial</w:t>
      </w:r>
      <w:r w:rsidR="00B629A6" w:rsidRPr="00EE5612">
        <w:rPr>
          <w:szCs w:val="22"/>
          <w:lang w:val="es-UY"/>
        </w:rPr>
        <w:t xml:space="preserve"> </w:t>
      </w:r>
      <w:r w:rsidR="001403AE" w:rsidRPr="00EE5612">
        <w:rPr>
          <w:szCs w:val="22"/>
          <w:lang w:val="es-UY"/>
        </w:rPr>
        <w:t>a que</w:t>
      </w:r>
      <w:r w:rsidRPr="00EE5612">
        <w:rPr>
          <w:szCs w:val="22"/>
          <w:lang w:val="es-UY"/>
        </w:rPr>
        <w:t>:</w:t>
      </w:r>
    </w:p>
    <w:p w14:paraId="598A02C5" w14:textId="4D07778D" w:rsidR="009657F9" w:rsidRPr="00EE5612" w:rsidRDefault="009657F9" w:rsidP="009657F9">
      <w:pPr>
        <w:shd w:val="clear" w:color="auto" w:fill="FFFFFF" w:themeFill="background1"/>
        <w:spacing w:before="120" w:after="120"/>
        <w:ind w:firstLine="720"/>
        <w:rPr>
          <w:snapToGrid w:val="0"/>
          <w:kern w:val="22"/>
          <w:lang w:val="es-UY"/>
        </w:rPr>
      </w:pPr>
      <w:r w:rsidRPr="00EE5612">
        <w:rPr>
          <w:szCs w:val="22"/>
          <w:lang w:val="es-UY"/>
        </w:rPr>
        <w:t>a)</w:t>
      </w:r>
      <w:r w:rsidRPr="00EE5612">
        <w:rPr>
          <w:szCs w:val="22"/>
          <w:lang w:val="es-UY"/>
        </w:rPr>
        <w:tab/>
      </w:r>
      <w:r w:rsidR="001403AE" w:rsidRPr="00EE5612">
        <w:rPr>
          <w:szCs w:val="22"/>
          <w:lang w:val="es-UY"/>
        </w:rPr>
        <w:t>Refuerce su programa de financiación dedicado al Protocolo de Cartagena sobre Seguridad de la Biotecnología para ayudar a las Partes que reúnan los requisitos necesarios a aplicar</w:t>
      </w:r>
      <w:r w:rsidR="00AA6973" w:rsidRPr="00EE5612">
        <w:rPr>
          <w:szCs w:val="22"/>
          <w:lang w:val="es-UY"/>
        </w:rPr>
        <w:t xml:space="preserve"> el Protocolo, el Plan de Aplicación para el Protocolo de Cartagena sobre Seguridad de la Biotecnología</w:t>
      </w:r>
      <w:r w:rsidR="00AA6973" w:rsidRPr="00EE5612">
        <w:rPr>
          <w:rStyle w:val="FootnoteReference"/>
          <w:snapToGrid w:val="0"/>
          <w:kern w:val="22"/>
          <w:lang w:val="es-UY"/>
        </w:rPr>
        <w:footnoteReference w:id="1"/>
      </w:r>
      <w:r w:rsidR="00AA6973" w:rsidRPr="00EE5612">
        <w:rPr>
          <w:szCs w:val="22"/>
          <w:lang w:val="es-UY"/>
        </w:rPr>
        <w:t xml:space="preserve"> </w:t>
      </w:r>
      <w:r w:rsidR="001403AE" w:rsidRPr="00EE5612">
        <w:rPr>
          <w:szCs w:val="22"/>
          <w:lang w:val="es-UY"/>
        </w:rPr>
        <w:t xml:space="preserve">y </w:t>
      </w:r>
      <w:r w:rsidR="00AA6973" w:rsidRPr="00EE5612">
        <w:rPr>
          <w:szCs w:val="22"/>
          <w:lang w:val="es-UY"/>
        </w:rPr>
        <w:t>el Plan de Acción para la Creación de Capacidad para el Protocolo de Cartagena sobre Seguridad de la Biotecnología</w:t>
      </w:r>
      <w:r w:rsidR="00AA6973" w:rsidRPr="00EE5612">
        <w:rPr>
          <w:rStyle w:val="FootnoteReference"/>
          <w:snapToGrid w:val="0"/>
          <w:kern w:val="22"/>
          <w:lang w:val="es-UY"/>
        </w:rPr>
        <w:footnoteReference w:id="2"/>
      </w:r>
      <w:r w:rsidRPr="00EE5612">
        <w:rPr>
          <w:snapToGrid w:val="0"/>
          <w:kern w:val="22"/>
          <w:lang w:val="es-UY"/>
        </w:rPr>
        <w:t xml:space="preserve">; </w:t>
      </w:r>
    </w:p>
    <w:p w14:paraId="1E9930B6" w14:textId="76149972" w:rsidR="009657F9" w:rsidRPr="00EE5612" w:rsidRDefault="00B03D9E" w:rsidP="009657F9">
      <w:pPr>
        <w:shd w:val="clear" w:color="auto" w:fill="FFFFFF" w:themeFill="background1"/>
        <w:spacing w:before="120" w:after="120"/>
        <w:ind w:firstLine="720"/>
        <w:rPr>
          <w:snapToGrid w:val="0"/>
          <w:kern w:val="22"/>
          <w:lang w:val="es-UY"/>
        </w:rPr>
      </w:pPr>
      <w:r w:rsidRPr="00EE5612">
        <w:rPr>
          <w:snapToGrid w:val="0"/>
          <w:kern w:val="22"/>
          <w:lang w:val="es-UY"/>
        </w:rPr>
        <w:t>b)</w:t>
      </w:r>
      <w:r w:rsidRPr="00EE5612">
        <w:rPr>
          <w:snapToGrid w:val="0"/>
          <w:kern w:val="22"/>
          <w:lang w:val="es-UY"/>
        </w:rPr>
        <w:tab/>
      </w:r>
      <w:r w:rsidR="001403AE" w:rsidRPr="00EE5612">
        <w:rPr>
          <w:snapToGrid w:val="0"/>
          <w:kern w:val="22"/>
          <w:lang w:val="es-UY"/>
        </w:rPr>
        <w:t>Mejore y simplifique</w:t>
      </w:r>
      <w:r w:rsidR="009657F9" w:rsidRPr="00EE5612">
        <w:rPr>
          <w:snapToGrid w:val="0"/>
          <w:kern w:val="22"/>
          <w:lang w:val="es-UY"/>
        </w:rPr>
        <w:t xml:space="preserve"> </w:t>
      </w:r>
      <w:r w:rsidR="001403AE" w:rsidRPr="00EE5612">
        <w:rPr>
          <w:snapToGrid w:val="0"/>
          <w:kern w:val="22"/>
          <w:lang w:val="es-UY"/>
        </w:rPr>
        <w:t xml:space="preserve">las modalidades de acceso a su financiación para </w:t>
      </w:r>
      <w:r w:rsidR="00376400" w:rsidRPr="00EE5612">
        <w:rPr>
          <w:snapToGrid w:val="0"/>
          <w:kern w:val="22"/>
          <w:lang w:val="es-UY"/>
        </w:rPr>
        <w:t xml:space="preserve">el </w:t>
      </w:r>
      <w:r w:rsidR="001403AE" w:rsidRPr="00EE5612">
        <w:rPr>
          <w:rFonts w:eastAsia="MS Mincho"/>
          <w:iCs/>
          <w:szCs w:val="22"/>
          <w:lang w:val="es-UY"/>
        </w:rPr>
        <w:t xml:space="preserve">Protocolo de Cartagena sobre Seguridad de la Biotecnología con el fin de ayudar a las Partes que reúnan los requisitos a aplicar el </w:t>
      </w:r>
      <w:r w:rsidR="009657F9" w:rsidRPr="00EE5612">
        <w:rPr>
          <w:snapToGrid w:val="0"/>
          <w:kern w:val="22"/>
          <w:lang w:val="es-UY"/>
        </w:rPr>
        <w:t>Protocol</w:t>
      </w:r>
      <w:r w:rsidR="001403AE" w:rsidRPr="00EE5612">
        <w:rPr>
          <w:snapToGrid w:val="0"/>
          <w:kern w:val="22"/>
          <w:lang w:val="es-UY"/>
        </w:rPr>
        <w:t>o</w:t>
      </w:r>
      <w:r w:rsidR="009657F9" w:rsidRPr="00EE5612">
        <w:rPr>
          <w:snapToGrid w:val="0"/>
          <w:kern w:val="22"/>
          <w:lang w:val="es-UY"/>
        </w:rPr>
        <w:t xml:space="preserve">, </w:t>
      </w:r>
      <w:r w:rsidR="006C1BFD" w:rsidRPr="00EE5612">
        <w:rPr>
          <w:snapToGrid w:val="0"/>
          <w:kern w:val="22"/>
          <w:lang w:val="es-UY"/>
        </w:rPr>
        <w:t>el Plan de Aplicación y el Plan de Acción para la Creación de Capacidad</w:t>
      </w:r>
      <w:r w:rsidR="00653516" w:rsidRPr="00EE5612">
        <w:rPr>
          <w:snapToGrid w:val="0"/>
          <w:kern w:val="22"/>
          <w:lang w:val="es-UY"/>
        </w:rPr>
        <w:t>;</w:t>
      </w:r>
    </w:p>
    <w:p w14:paraId="75EE743B" w14:textId="06A3AB4A" w:rsidR="009657F9" w:rsidRPr="00EE5612" w:rsidRDefault="00B03D9E" w:rsidP="009657F9">
      <w:pPr>
        <w:shd w:val="clear" w:color="auto" w:fill="FFFFFF" w:themeFill="background1"/>
        <w:spacing w:before="120" w:after="120"/>
        <w:ind w:firstLine="720"/>
        <w:rPr>
          <w:szCs w:val="22"/>
          <w:lang w:val="es-UY"/>
        </w:rPr>
      </w:pPr>
      <w:r w:rsidRPr="00EE5612">
        <w:rPr>
          <w:szCs w:val="22"/>
          <w:lang w:val="es-UY"/>
        </w:rPr>
        <w:t>c</w:t>
      </w:r>
      <w:r w:rsidR="009657F9" w:rsidRPr="00EE5612">
        <w:rPr>
          <w:szCs w:val="22"/>
          <w:lang w:val="es-UY"/>
        </w:rPr>
        <w:t xml:space="preserve">) </w:t>
      </w:r>
      <w:r w:rsidR="009657F9" w:rsidRPr="00EE5612">
        <w:rPr>
          <w:szCs w:val="22"/>
          <w:lang w:val="es-UY"/>
        </w:rPr>
        <w:tab/>
      </w:r>
      <w:r w:rsidR="001403AE" w:rsidRPr="00EE5612">
        <w:rPr>
          <w:szCs w:val="22"/>
          <w:lang w:val="es-UY"/>
        </w:rPr>
        <w:t>Continúe proporcionando de manera oportuna fondos para apoyar a las Partes que reúnan los requisitos necesarios en la preparación y presentación de sus quintos informes nacionales</w:t>
      </w:r>
      <w:r w:rsidR="00376400" w:rsidRPr="00EE5612">
        <w:rPr>
          <w:szCs w:val="22"/>
          <w:lang w:val="es-UY"/>
        </w:rPr>
        <w:t xml:space="preserve"> en virtud del Protocolo de Cartagena</w:t>
      </w:r>
      <w:r w:rsidR="009657F9" w:rsidRPr="00EE5612">
        <w:rPr>
          <w:szCs w:val="22"/>
          <w:lang w:val="es-UY"/>
        </w:rPr>
        <w:t>;</w:t>
      </w:r>
    </w:p>
    <w:p w14:paraId="57EDEB86" w14:textId="6F0B4C71" w:rsidR="009657F9" w:rsidRPr="00EE5612" w:rsidRDefault="00B03D9E" w:rsidP="009657F9">
      <w:pPr>
        <w:shd w:val="clear" w:color="auto" w:fill="FFFFFF" w:themeFill="background1"/>
        <w:spacing w:before="120" w:after="120"/>
        <w:ind w:firstLine="720"/>
        <w:rPr>
          <w:lang w:val="es-UY"/>
        </w:rPr>
      </w:pPr>
      <w:r w:rsidRPr="00EE5612">
        <w:rPr>
          <w:lang w:val="es-UY"/>
        </w:rPr>
        <w:t>d</w:t>
      </w:r>
      <w:r w:rsidR="009657F9" w:rsidRPr="00EE5612">
        <w:rPr>
          <w:lang w:val="es-UY"/>
        </w:rPr>
        <w:t>)</w:t>
      </w:r>
      <w:r w:rsidR="009657F9" w:rsidRPr="00EE5612">
        <w:rPr>
          <w:lang w:val="es-UY"/>
        </w:rPr>
        <w:tab/>
      </w:r>
      <w:r w:rsidR="001403AE" w:rsidRPr="00EE5612">
        <w:rPr>
          <w:lang w:val="es-UY"/>
        </w:rPr>
        <w:t xml:space="preserve">Continúe ayudando a las Partes que reúnan los requisitos necesarios a realizar actividades en las siguientes áreas: elaboración y puesta en práctica de medidas jurídicas, administrativas y de otra </w:t>
      </w:r>
      <w:r w:rsidR="001403AE" w:rsidRPr="00EE5612">
        <w:rPr>
          <w:lang w:val="es-UY"/>
        </w:rPr>
        <w:lastRenderedPageBreak/>
        <w:t>índole para aplicar el Protocolo; evaluación del riesgo y gestión del riesgo; detección e identificación de organismos vivos modificados; concienciación, educación y participación del público; consideraciones socioeconómicas; responsabilidad y compensación; presentación de informes nacionales; intercambio de información y Centro de Intercambio de Información sobre Seguridad de la Biotecnología</w:t>
      </w:r>
      <w:r w:rsidR="00D22A60" w:rsidRPr="00EE5612">
        <w:rPr>
          <w:lang w:val="es-UY"/>
        </w:rPr>
        <w:t xml:space="preserve">; </w:t>
      </w:r>
      <w:r w:rsidR="001403AE" w:rsidRPr="00EE5612">
        <w:rPr>
          <w:lang w:val="es-UY"/>
        </w:rPr>
        <w:t xml:space="preserve">transferencia de conocimientos y tecnología, </w:t>
      </w:r>
      <w:r w:rsidR="00D22A60" w:rsidRPr="00EE5612">
        <w:rPr>
          <w:lang w:val="es-UY"/>
        </w:rPr>
        <w:t>e</w:t>
      </w:r>
      <w:r w:rsidR="001403AE" w:rsidRPr="00EE5612">
        <w:rPr>
          <w:lang w:val="es-UY"/>
        </w:rPr>
        <w:t xml:space="preserve"> implementa</w:t>
      </w:r>
      <w:r w:rsidR="00D22A60" w:rsidRPr="00EE5612">
        <w:rPr>
          <w:lang w:val="es-UY"/>
        </w:rPr>
        <w:t>ción de</w:t>
      </w:r>
      <w:r w:rsidR="001403AE" w:rsidRPr="00EE5612">
        <w:rPr>
          <w:lang w:val="es-UY"/>
        </w:rPr>
        <w:t xml:space="preserve"> planes de acción para el cumplimiento del Protocolo</w:t>
      </w:r>
      <w:r w:rsidR="009657F9" w:rsidRPr="00EE5612">
        <w:rPr>
          <w:lang w:val="es-UY"/>
        </w:rPr>
        <w:t>;</w:t>
      </w:r>
    </w:p>
    <w:p w14:paraId="5D7169B1" w14:textId="1F97DF67" w:rsidR="009657F9" w:rsidRPr="00EE5612" w:rsidRDefault="00EE013D" w:rsidP="009657F9">
      <w:pPr>
        <w:shd w:val="clear" w:color="auto" w:fill="FFFFFF" w:themeFill="background1"/>
        <w:spacing w:before="120" w:after="120"/>
        <w:ind w:firstLine="720"/>
        <w:rPr>
          <w:snapToGrid w:val="0"/>
          <w:kern w:val="22"/>
          <w:lang w:val="es-UY"/>
        </w:rPr>
      </w:pPr>
      <w:r w:rsidRPr="00EE5612">
        <w:rPr>
          <w:snapToGrid w:val="0"/>
          <w:kern w:val="22"/>
          <w:lang w:val="es-UY"/>
        </w:rPr>
        <w:t>4</w:t>
      </w:r>
      <w:r w:rsidR="00576540" w:rsidRPr="00EE5612">
        <w:rPr>
          <w:snapToGrid w:val="0"/>
          <w:kern w:val="22"/>
          <w:lang w:val="es-UY"/>
        </w:rPr>
        <w:t>.</w:t>
      </w:r>
      <w:r w:rsidR="006114A5" w:rsidRPr="00EE5612">
        <w:rPr>
          <w:snapToGrid w:val="0"/>
          <w:kern w:val="22"/>
          <w:lang w:val="es-UY"/>
        </w:rPr>
        <w:tab/>
      </w:r>
      <w:r w:rsidR="009657F9" w:rsidRPr="00EE5612">
        <w:rPr>
          <w:i/>
          <w:iCs/>
          <w:snapToGrid w:val="0"/>
          <w:kern w:val="22"/>
          <w:lang w:val="es-UY"/>
        </w:rPr>
        <w:t>Invit</w:t>
      </w:r>
      <w:r w:rsidR="001403AE" w:rsidRPr="00EE5612">
        <w:rPr>
          <w:i/>
          <w:iCs/>
          <w:snapToGrid w:val="0"/>
          <w:kern w:val="22"/>
          <w:lang w:val="es-UY"/>
        </w:rPr>
        <w:t>a</w:t>
      </w:r>
      <w:r w:rsidR="009657F9" w:rsidRPr="00EE5612">
        <w:rPr>
          <w:snapToGrid w:val="0"/>
          <w:kern w:val="22"/>
          <w:lang w:val="es-UY"/>
        </w:rPr>
        <w:t xml:space="preserve"> </w:t>
      </w:r>
      <w:r w:rsidR="001403AE" w:rsidRPr="00EE5612">
        <w:rPr>
          <w:snapToGrid w:val="0"/>
          <w:kern w:val="22"/>
          <w:lang w:val="es-UY"/>
        </w:rPr>
        <w:t>al</w:t>
      </w:r>
      <w:r w:rsidR="009657F9" w:rsidRPr="00EE5612">
        <w:rPr>
          <w:snapToGrid w:val="0"/>
          <w:kern w:val="22"/>
          <w:lang w:val="es-UY"/>
        </w:rPr>
        <w:t xml:space="preserve"> </w:t>
      </w:r>
      <w:r w:rsidR="001403AE" w:rsidRPr="00EE5612">
        <w:rPr>
          <w:snapToGrid w:val="0"/>
          <w:kern w:val="22"/>
          <w:lang w:val="es-UY"/>
        </w:rPr>
        <w:t xml:space="preserve">Consejo del Fondo para el Medio Ambiente Mundial a estudiar la posibilidad de crear </w:t>
      </w:r>
      <w:r w:rsidR="00B069A9" w:rsidRPr="00EE5612">
        <w:rPr>
          <w:snapToGrid w:val="0"/>
          <w:kern w:val="22"/>
          <w:lang w:val="es-UY"/>
        </w:rPr>
        <w:t xml:space="preserve">una dotación financiera específicamente para el </w:t>
      </w:r>
      <w:r w:rsidR="00B069A9" w:rsidRPr="00EE5612">
        <w:rPr>
          <w:rFonts w:eastAsia="MS Mincho"/>
          <w:iCs/>
          <w:szCs w:val="22"/>
          <w:lang w:val="es-UY"/>
        </w:rPr>
        <w:t>Protocolo de Cartagena sobre Seguridad de la Biotecnología</w:t>
      </w:r>
      <w:r w:rsidR="009657F9" w:rsidRPr="00EE5612">
        <w:rPr>
          <w:snapToGrid w:val="0"/>
          <w:kern w:val="22"/>
          <w:lang w:val="es-UY"/>
        </w:rPr>
        <w:t>;</w:t>
      </w:r>
    </w:p>
    <w:p w14:paraId="62F0885C" w14:textId="72A91222" w:rsidR="009657F9" w:rsidRPr="00EE5612" w:rsidRDefault="003A22DF" w:rsidP="009657F9">
      <w:pPr>
        <w:shd w:val="clear" w:color="auto" w:fill="FFFFFF" w:themeFill="background1"/>
        <w:spacing w:before="120" w:after="120"/>
        <w:ind w:firstLine="709"/>
        <w:rPr>
          <w:snapToGrid w:val="0"/>
          <w:kern w:val="22"/>
          <w:szCs w:val="22"/>
          <w:lang w:val="es-UY"/>
        </w:rPr>
      </w:pPr>
      <w:r w:rsidRPr="00EE5612">
        <w:rPr>
          <w:snapToGrid w:val="0"/>
          <w:kern w:val="22"/>
          <w:szCs w:val="22"/>
          <w:lang w:val="es-UY"/>
        </w:rPr>
        <w:t>5</w:t>
      </w:r>
      <w:r w:rsidR="009657F9" w:rsidRPr="00EE5612">
        <w:rPr>
          <w:snapToGrid w:val="0"/>
          <w:kern w:val="22"/>
          <w:szCs w:val="22"/>
          <w:lang w:val="es-UY"/>
        </w:rPr>
        <w:t>.</w:t>
      </w:r>
      <w:r w:rsidR="009657F9" w:rsidRPr="00EE5612">
        <w:rPr>
          <w:i/>
          <w:iCs/>
          <w:snapToGrid w:val="0"/>
          <w:kern w:val="22"/>
          <w:szCs w:val="22"/>
          <w:lang w:val="es-UY"/>
        </w:rPr>
        <w:tab/>
      </w:r>
      <w:r w:rsidR="00B069A9" w:rsidRPr="00EE5612">
        <w:rPr>
          <w:i/>
          <w:iCs/>
          <w:snapToGrid w:val="0"/>
          <w:kern w:val="22"/>
          <w:szCs w:val="22"/>
          <w:lang w:val="es-UY"/>
        </w:rPr>
        <w:t xml:space="preserve">Insta </w:t>
      </w:r>
      <w:r w:rsidR="00B069A9" w:rsidRPr="00EE5612">
        <w:rPr>
          <w:snapToGrid w:val="0"/>
          <w:kern w:val="22"/>
          <w:szCs w:val="22"/>
          <w:lang w:val="es-UY"/>
        </w:rPr>
        <w:t xml:space="preserve">a las Partes en el Convenio que también son Partes en el Protocolo de Cartagena a que incluyan proyectos de seguridad de la biotecnología en su utilización de los fondos asignados en el marco del Sistema para la Asignación Transparente de Recursos para el octavo período de reposición del Fondo Fiduciario del Fondo para el Medio Ambiente Mundial, teniendo en cuenta el </w:t>
      </w:r>
      <w:r w:rsidR="0068353A" w:rsidRPr="00EE5612">
        <w:rPr>
          <w:snapToGrid w:val="0"/>
          <w:kern w:val="22"/>
          <w:szCs w:val="22"/>
          <w:lang w:val="es-UY"/>
        </w:rPr>
        <w:t xml:space="preserve">Plan </w:t>
      </w:r>
      <w:r w:rsidR="00B069A9" w:rsidRPr="00EE5612">
        <w:rPr>
          <w:snapToGrid w:val="0"/>
          <w:kern w:val="22"/>
          <w:szCs w:val="22"/>
          <w:lang w:val="es-UY"/>
        </w:rPr>
        <w:t xml:space="preserve">de </w:t>
      </w:r>
      <w:r w:rsidR="0068353A" w:rsidRPr="00EE5612">
        <w:rPr>
          <w:snapToGrid w:val="0"/>
          <w:kern w:val="22"/>
          <w:szCs w:val="22"/>
          <w:lang w:val="es-UY"/>
        </w:rPr>
        <w:t xml:space="preserve">Aplicación para el Protocolo de Cartagena sobre Seguridad de la Biotecnología y el Plan de Acción para la Creación de Capacidad para el Protocolo de Cartagena sobre Seguridad de la Biotecnología, sus obligaciones contraídas en virtud del Protocolo de Cartagena sobre Seguridad de la Biotecnología </w:t>
      </w:r>
      <w:r w:rsidR="00B069A9" w:rsidRPr="00EE5612">
        <w:rPr>
          <w:snapToGrid w:val="0"/>
          <w:kern w:val="22"/>
          <w:szCs w:val="22"/>
          <w:lang w:val="es-UY"/>
        </w:rPr>
        <w:t>y la orientación de la Conferencia de las Partes al Fondo para el Medio Ambiente Mundial</w:t>
      </w:r>
      <w:r w:rsidR="009657F9" w:rsidRPr="00EE5612">
        <w:rPr>
          <w:lang w:val="es-UY"/>
        </w:rPr>
        <w:t>;</w:t>
      </w:r>
    </w:p>
    <w:p w14:paraId="40AC2230" w14:textId="5C0EC107" w:rsidR="009657F9" w:rsidRPr="00EE5612" w:rsidRDefault="003A22DF" w:rsidP="009657F9">
      <w:pPr>
        <w:shd w:val="clear" w:color="auto" w:fill="FFFFFF" w:themeFill="background1"/>
        <w:spacing w:before="120" w:after="120"/>
        <w:ind w:firstLine="709"/>
        <w:rPr>
          <w:rFonts w:asciiTheme="majorBidi" w:hAnsiTheme="majorBidi" w:cstheme="majorBidi"/>
          <w:lang w:val="es-UY"/>
        </w:rPr>
      </w:pPr>
      <w:r w:rsidRPr="00EE5612">
        <w:rPr>
          <w:rFonts w:asciiTheme="majorBidi" w:hAnsiTheme="majorBidi" w:cstheme="majorBidi"/>
          <w:lang w:val="es-UY"/>
        </w:rPr>
        <w:t>6</w:t>
      </w:r>
      <w:r w:rsidR="009657F9" w:rsidRPr="00EE5612">
        <w:rPr>
          <w:rFonts w:asciiTheme="majorBidi" w:hAnsiTheme="majorBidi" w:cstheme="majorBidi"/>
          <w:lang w:val="es-UY"/>
        </w:rPr>
        <w:t>.</w:t>
      </w:r>
      <w:r w:rsidR="009657F9" w:rsidRPr="00EE5612">
        <w:rPr>
          <w:rFonts w:asciiTheme="majorBidi" w:hAnsiTheme="majorBidi" w:cstheme="majorBidi"/>
          <w:i/>
          <w:iCs/>
          <w:lang w:val="es-UY"/>
        </w:rPr>
        <w:tab/>
      </w:r>
      <w:r w:rsidR="00B069A9" w:rsidRPr="00EE5612">
        <w:rPr>
          <w:rFonts w:asciiTheme="majorBidi" w:hAnsiTheme="majorBidi" w:cstheme="majorBidi"/>
          <w:i/>
          <w:iCs/>
          <w:lang w:val="es-UY"/>
        </w:rPr>
        <w:t>Alienta</w:t>
      </w:r>
      <w:r w:rsidR="00B069A9" w:rsidRPr="00EE5612">
        <w:rPr>
          <w:rFonts w:asciiTheme="majorBidi" w:hAnsiTheme="majorBidi" w:cstheme="majorBidi"/>
          <w:lang w:val="es-UY"/>
        </w:rPr>
        <w:t xml:space="preserve"> a las Partes a que incluyan las necesidades y disposiciones para la aplicación del Protocolo de Cartagena en sus planes nacionales de financiación de la diversidad biológica y en su aplicación nacional de la estrategia de movilización de recursos para el período posterior a 2020</w:t>
      </w:r>
      <w:r w:rsidR="00715836" w:rsidRPr="00EE5612">
        <w:rPr>
          <w:rStyle w:val="FootnoteReference"/>
          <w:rFonts w:asciiTheme="majorBidi" w:hAnsiTheme="majorBidi" w:cstheme="majorBidi"/>
          <w:lang w:val="es-UY"/>
        </w:rPr>
        <w:footnoteReference w:id="3"/>
      </w:r>
      <w:r w:rsidR="00DD31A0" w:rsidRPr="00EE5612">
        <w:rPr>
          <w:rFonts w:asciiTheme="majorBidi" w:hAnsiTheme="majorBidi" w:cstheme="majorBidi"/>
          <w:lang w:val="es-UY"/>
        </w:rPr>
        <w:t>;</w:t>
      </w:r>
    </w:p>
    <w:p w14:paraId="26A87371" w14:textId="439A8CF6" w:rsidR="009657F9" w:rsidRPr="00EE5612" w:rsidRDefault="003A22DF" w:rsidP="009657F9">
      <w:pPr>
        <w:shd w:val="clear" w:color="auto" w:fill="FFFFFF" w:themeFill="background1"/>
        <w:spacing w:before="120" w:after="120"/>
        <w:ind w:firstLine="709"/>
        <w:rPr>
          <w:lang w:val="es-UY"/>
        </w:rPr>
      </w:pPr>
      <w:r w:rsidRPr="00EE5612">
        <w:rPr>
          <w:lang w:val="es-UY"/>
        </w:rPr>
        <w:t>7</w:t>
      </w:r>
      <w:r w:rsidR="009657F9" w:rsidRPr="00EE5612">
        <w:rPr>
          <w:lang w:val="es-UY"/>
        </w:rPr>
        <w:t xml:space="preserve">. </w:t>
      </w:r>
      <w:r w:rsidR="009657F9" w:rsidRPr="00EE5612">
        <w:rPr>
          <w:lang w:val="es-UY"/>
        </w:rPr>
        <w:tab/>
      </w:r>
      <w:r w:rsidR="00B069A9" w:rsidRPr="00EE5612">
        <w:rPr>
          <w:rFonts w:asciiTheme="majorBidi" w:hAnsiTheme="majorBidi" w:cstheme="majorBidi"/>
          <w:i/>
          <w:iCs/>
          <w:lang w:val="es-UY"/>
        </w:rPr>
        <w:t>Pide</w:t>
      </w:r>
      <w:r w:rsidR="00B069A9" w:rsidRPr="00EE5612">
        <w:rPr>
          <w:rFonts w:asciiTheme="majorBidi" w:hAnsiTheme="majorBidi" w:cstheme="majorBidi"/>
          <w:lang w:val="es-UY"/>
        </w:rPr>
        <w:t xml:space="preserve"> a la Secretaria Ejecutiva que</w:t>
      </w:r>
      <w:r w:rsidR="009657F9" w:rsidRPr="00EE5612">
        <w:rPr>
          <w:lang w:val="es-UY"/>
        </w:rPr>
        <w:t>:</w:t>
      </w:r>
    </w:p>
    <w:p w14:paraId="27616E06" w14:textId="01B34456" w:rsidR="009657F9" w:rsidRPr="00EE5612" w:rsidRDefault="009657F9" w:rsidP="009657F9">
      <w:pPr>
        <w:shd w:val="clear" w:color="auto" w:fill="FFFFFF" w:themeFill="background1"/>
        <w:spacing w:before="120" w:after="120"/>
        <w:ind w:firstLine="709"/>
        <w:rPr>
          <w:lang w:val="es-UY"/>
        </w:rPr>
      </w:pPr>
      <w:r w:rsidRPr="00EE5612">
        <w:rPr>
          <w:lang w:val="es-UY"/>
        </w:rPr>
        <w:t>a)</w:t>
      </w:r>
      <w:r w:rsidRPr="00EE5612">
        <w:rPr>
          <w:lang w:val="es-UY"/>
        </w:rPr>
        <w:tab/>
      </w:r>
      <w:r w:rsidR="00A33206" w:rsidRPr="00EE5612">
        <w:rPr>
          <w:rFonts w:asciiTheme="majorBidi" w:hAnsiTheme="majorBidi" w:cstheme="majorBidi"/>
          <w:lang w:val="es-UY"/>
        </w:rPr>
        <w:t>I</w:t>
      </w:r>
      <w:r w:rsidR="00B069A9" w:rsidRPr="00EE5612">
        <w:rPr>
          <w:rFonts w:asciiTheme="majorBidi" w:hAnsiTheme="majorBidi" w:cstheme="majorBidi"/>
          <w:lang w:val="es-UY"/>
        </w:rPr>
        <w:t>dentifique y comunique fuentes de financiación de la seguridad de la biotecnología para apoyar a las Partes</w:t>
      </w:r>
      <w:r w:rsidRPr="00EE5612">
        <w:rPr>
          <w:lang w:val="es-UY"/>
        </w:rPr>
        <w:t>;</w:t>
      </w:r>
    </w:p>
    <w:p w14:paraId="71ABCE86" w14:textId="5565E80D" w:rsidR="009657F9" w:rsidRPr="00EE5612" w:rsidRDefault="009657F9" w:rsidP="00485738">
      <w:pPr>
        <w:shd w:val="clear" w:color="auto" w:fill="FFFFFF" w:themeFill="background1"/>
        <w:spacing w:before="120" w:after="120"/>
        <w:ind w:firstLine="709"/>
        <w:rPr>
          <w:i/>
          <w:iCs/>
          <w:szCs w:val="22"/>
          <w:lang w:val="es-UY" w:eastAsia="en-GB"/>
        </w:rPr>
      </w:pPr>
      <w:r w:rsidRPr="00EE5612">
        <w:rPr>
          <w:lang w:val="es-UY"/>
        </w:rPr>
        <w:t>b)</w:t>
      </w:r>
      <w:r w:rsidRPr="00EE5612">
        <w:rPr>
          <w:lang w:val="es-UY"/>
        </w:rPr>
        <w:tab/>
      </w:r>
      <w:r w:rsidR="00A33206" w:rsidRPr="00EE5612">
        <w:rPr>
          <w:lang w:val="es-UY"/>
        </w:rPr>
        <w:t>A</w:t>
      </w:r>
      <w:r w:rsidR="00B069A9" w:rsidRPr="00EE5612">
        <w:rPr>
          <w:lang w:val="es-UY"/>
        </w:rPr>
        <w:t>nalice la eficacia del mecanismo financiero a la hora de aplicar el Protocolo de Cartagena</w:t>
      </w:r>
      <w:r w:rsidRPr="00EE5612">
        <w:rPr>
          <w:lang w:val="es-UY"/>
        </w:rPr>
        <w:t xml:space="preserve"> </w:t>
      </w:r>
      <w:r w:rsidR="00B069A9" w:rsidRPr="00EE5612">
        <w:rPr>
          <w:lang w:val="es-UY"/>
        </w:rPr>
        <w:t>en su sexto examen de la eficacia del mecanismo financiero</w:t>
      </w:r>
      <w:r w:rsidR="00F83E7B" w:rsidRPr="00EE5612">
        <w:rPr>
          <w:rStyle w:val="FootnoteReference"/>
          <w:snapToGrid w:val="0"/>
          <w:kern w:val="22"/>
          <w:lang w:val="es-UY"/>
        </w:rPr>
        <w:footnoteReference w:id="4"/>
      </w:r>
      <w:r w:rsidR="00B069A9" w:rsidRPr="00EE5612">
        <w:rPr>
          <w:lang w:val="es-UY"/>
        </w:rPr>
        <w:t>,</w:t>
      </w:r>
      <w:r w:rsidRPr="00EE5612">
        <w:rPr>
          <w:snapToGrid w:val="0"/>
          <w:kern w:val="22"/>
          <w:lang w:val="es-UY"/>
        </w:rPr>
        <w:t xml:space="preserve"> </w:t>
      </w:r>
      <w:r w:rsidR="00424864" w:rsidRPr="00EE5612">
        <w:rPr>
          <w:snapToGrid w:val="0"/>
          <w:kern w:val="22"/>
          <w:lang w:val="es-UY"/>
        </w:rPr>
        <w:t xml:space="preserve">teniendo en cuenta la pertinencia </w:t>
      </w:r>
      <w:r w:rsidR="00A33206" w:rsidRPr="00EE5612">
        <w:rPr>
          <w:snapToGrid w:val="0"/>
          <w:kern w:val="22"/>
          <w:lang w:val="es-UY"/>
        </w:rPr>
        <w:t xml:space="preserve">de crear una dotación aparte para la seguridad de la biotecnología </w:t>
      </w:r>
      <w:r w:rsidR="00424864" w:rsidRPr="00EE5612">
        <w:rPr>
          <w:snapToGrid w:val="0"/>
          <w:kern w:val="22"/>
          <w:lang w:val="es-UY"/>
        </w:rPr>
        <w:t xml:space="preserve">y el proceso </w:t>
      </w:r>
      <w:r w:rsidR="00A33206" w:rsidRPr="00EE5612">
        <w:rPr>
          <w:snapToGrid w:val="0"/>
          <w:kern w:val="22"/>
          <w:lang w:val="es-UY"/>
        </w:rPr>
        <w:t>de creación de est</w:t>
      </w:r>
      <w:r w:rsidR="00AE396D" w:rsidRPr="00EE5612">
        <w:rPr>
          <w:snapToGrid w:val="0"/>
          <w:kern w:val="22"/>
          <w:lang w:val="es-UY"/>
        </w:rPr>
        <w:t>a</w:t>
      </w:r>
      <w:r w:rsidR="00424864" w:rsidRPr="00EE5612">
        <w:rPr>
          <w:snapToGrid w:val="0"/>
          <w:kern w:val="22"/>
          <w:lang w:val="es-UY"/>
        </w:rPr>
        <w:t xml:space="preserve">, </w:t>
      </w:r>
      <w:r w:rsidR="0052266A" w:rsidRPr="00EE5612">
        <w:rPr>
          <w:snapToGrid w:val="0"/>
          <w:kern w:val="22"/>
          <w:lang w:val="es-UY"/>
        </w:rPr>
        <w:t>para su consideración por</w:t>
      </w:r>
      <w:r w:rsidR="00424864" w:rsidRPr="00EE5612">
        <w:rPr>
          <w:lang w:val="es-UY"/>
        </w:rPr>
        <w:t xml:space="preserve"> </w:t>
      </w:r>
      <w:r w:rsidR="0052266A" w:rsidRPr="00EE5612">
        <w:rPr>
          <w:lang w:val="es-UY"/>
        </w:rPr>
        <w:t xml:space="preserve">la </w:t>
      </w:r>
      <w:r w:rsidR="00424864" w:rsidRPr="00EE5612">
        <w:rPr>
          <w:lang w:val="es-UY"/>
        </w:rPr>
        <w:t>Conferencia de las Partes que actúa como Reunión de las Partes en el Protocolo de Cartagena su 11ª reunión</w:t>
      </w:r>
      <w:r w:rsidR="00D100E6" w:rsidRPr="00EE5612">
        <w:rPr>
          <w:snapToGrid w:val="0"/>
          <w:kern w:val="22"/>
          <w:lang w:val="es-UY"/>
        </w:rPr>
        <w:t>.</w:t>
      </w:r>
    </w:p>
    <w:p w14:paraId="3093D971" w14:textId="24A539EC" w:rsidR="00B3369F" w:rsidRPr="00EE5612" w:rsidRDefault="0077674C" w:rsidP="003B47EF">
      <w:pPr>
        <w:spacing w:before="120" w:after="120"/>
        <w:ind w:firstLine="567"/>
        <w:jc w:val="center"/>
        <w:rPr>
          <w:lang w:val="es-UY"/>
        </w:rPr>
      </w:pPr>
      <w:r w:rsidRPr="00EE5612">
        <w:rPr>
          <w:lang w:val="es-UY"/>
        </w:rPr>
        <w:t>__________</w:t>
      </w:r>
    </w:p>
    <w:sectPr w:rsidR="00B3369F" w:rsidRPr="00EE5612" w:rsidSect="009657F9">
      <w:headerReference w:type="even" r:id="rId15"/>
      <w:headerReference w:type="default" r:id="rId16"/>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368AF5" w14:textId="77777777" w:rsidR="00602843" w:rsidRDefault="00602843" w:rsidP="00CF1848">
      <w:r>
        <w:separator/>
      </w:r>
    </w:p>
  </w:endnote>
  <w:endnote w:type="continuationSeparator" w:id="0">
    <w:p w14:paraId="0DEEFB5D" w14:textId="77777777" w:rsidR="00602843" w:rsidRDefault="00602843"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7AA836" w14:textId="77777777" w:rsidR="00602843" w:rsidRDefault="00602843" w:rsidP="00CF1848">
      <w:r>
        <w:separator/>
      </w:r>
    </w:p>
  </w:footnote>
  <w:footnote w:type="continuationSeparator" w:id="0">
    <w:p w14:paraId="0F829E71" w14:textId="77777777" w:rsidR="00602843" w:rsidRDefault="00602843" w:rsidP="00CF1848">
      <w:r>
        <w:continuationSeparator/>
      </w:r>
    </w:p>
  </w:footnote>
  <w:footnote w:id="1">
    <w:p w14:paraId="73F7378D" w14:textId="61A6EADC" w:rsidR="00AA6973" w:rsidRPr="00AA6973" w:rsidRDefault="00AA6973" w:rsidP="00AA6973">
      <w:pPr>
        <w:pStyle w:val="FootnoteText"/>
        <w:ind w:firstLine="0"/>
        <w:rPr>
          <w:szCs w:val="18"/>
          <w:lang w:val="es-MX"/>
        </w:rPr>
      </w:pPr>
      <w:r w:rsidRPr="002153DA">
        <w:rPr>
          <w:rStyle w:val="FootnoteReference"/>
          <w:sz w:val="18"/>
          <w:szCs w:val="18"/>
        </w:rPr>
        <w:footnoteRef/>
      </w:r>
      <w:r w:rsidRPr="00AA6973">
        <w:rPr>
          <w:szCs w:val="18"/>
          <w:lang w:val="es-MX"/>
        </w:rPr>
        <w:t xml:space="preserve"> </w:t>
      </w:r>
      <w:r>
        <w:rPr>
          <w:szCs w:val="18"/>
          <w:lang w:val="es-MX"/>
        </w:rPr>
        <w:t xml:space="preserve">Anexo de la decisión </w:t>
      </w:r>
      <w:r w:rsidRPr="00AA6973">
        <w:rPr>
          <w:szCs w:val="18"/>
          <w:lang w:val="es-MX"/>
        </w:rPr>
        <w:t>CP-10/3.</w:t>
      </w:r>
    </w:p>
  </w:footnote>
  <w:footnote w:id="2">
    <w:p w14:paraId="70426862" w14:textId="347B594F" w:rsidR="00AA6973" w:rsidRPr="00AA6973" w:rsidRDefault="00AA6973" w:rsidP="00AA6973">
      <w:pPr>
        <w:pStyle w:val="FootnoteText"/>
        <w:ind w:firstLine="0"/>
        <w:rPr>
          <w:szCs w:val="18"/>
          <w:lang w:val="es-MX"/>
        </w:rPr>
      </w:pPr>
      <w:r w:rsidRPr="002153DA">
        <w:rPr>
          <w:rStyle w:val="FootnoteReference"/>
          <w:sz w:val="18"/>
          <w:szCs w:val="18"/>
        </w:rPr>
        <w:footnoteRef/>
      </w:r>
      <w:r w:rsidRPr="00AA6973">
        <w:rPr>
          <w:szCs w:val="18"/>
          <w:lang w:val="es-MX"/>
        </w:rPr>
        <w:t xml:space="preserve"> </w:t>
      </w:r>
      <w:r>
        <w:rPr>
          <w:szCs w:val="18"/>
          <w:lang w:val="es-MX"/>
        </w:rPr>
        <w:t>Anexo de la decisión</w:t>
      </w:r>
      <w:r w:rsidRPr="00AA6973">
        <w:rPr>
          <w:szCs w:val="18"/>
          <w:lang w:val="es-MX"/>
        </w:rPr>
        <w:t xml:space="preserve"> CP-10/4.</w:t>
      </w:r>
    </w:p>
  </w:footnote>
  <w:footnote w:id="3">
    <w:p w14:paraId="447149AE" w14:textId="43A4190E" w:rsidR="00715836" w:rsidRPr="00C56653" w:rsidRDefault="00715836" w:rsidP="00715836">
      <w:pPr>
        <w:pStyle w:val="FootnoteText"/>
        <w:ind w:firstLine="0"/>
        <w:rPr>
          <w:lang w:val="es-MX"/>
        </w:rPr>
      </w:pPr>
      <w:r>
        <w:rPr>
          <w:rStyle w:val="FootnoteReference"/>
        </w:rPr>
        <w:footnoteRef/>
      </w:r>
      <w:r w:rsidRPr="00C56653">
        <w:rPr>
          <w:lang w:val="es-MX"/>
        </w:rPr>
        <w:t xml:space="preserve"> </w:t>
      </w:r>
      <w:r w:rsidR="00C56653" w:rsidRPr="00C56653">
        <w:rPr>
          <w:lang w:val="es-MX"/>
        </w:rPr>
        <w:t>Véase la</w:t>
      </w:r>
      <w:r w:rsidRPr="00C56653">
        <w:rPr>
          <w:lang w:val="es-MX"/>
        </w:rPr>
        <w:t xml:space="preserve"> decisi</w:t>
      </w:r>
      <w:r w:rsidR="00C56653" w:rsidRPr="00C56653">
        <w:rPr>
          <w:lang w:val="es-MX"/>
        </w:rPr>
        <w:t>ó</w:t>
      </w:r>
      <w:r w:rsidRPr="00C56653">
        <w:rPr>
          <w:lang w:val="es-MX"/>
        </w:rPr>
        <w:t xml:space="preserve">n 15/7 </w:t>
      </w:r>
      <w:r w:rsidR="00C56653" w:rsidRPr="00C56653">
        <w:rPr>
          <w:lang w:val="es-MX"/>
        </w:rPr>
        <w:t>de la</w:t>
      </w:r>
      <w:r w:rsidRPr="00C56653">
        <w:rPr>
          <w:lang w:val="es-MX"/>
        </w:rPr>
        <w:t xml:space="preserve"> Conferenc</w:t>
      </w:r>
      <w:r w:rsidR="00C56653" w:rsidRPr="00C56653">
        <w:rPr>
          <w:lang w:val="es-MX"/>
        </w:rPr>
        <w:t xml:space="preserve">ia de las </w:t>
      </w:r>
      <w:r w:rsidR="00C56653">
        <w:rPr>
          <w:lang w:val="es-MX"/>
        </w:rPr>
        <w:t>Partes</w:t>
      </w:r>
      <w:r w:rsidRPr="00C56653">
        <w:rPr>
          <w:lang w:val="es-MX"/>
        </w:rPr>
        <w:t xml:space="preserve">. </w:t>
      </w:r>
    </w:p>
  </w:footnote>
  <w:footnote w:id="4">
    <w:p w14:paraId="70BA62DD" w14:textId="6B2F7E04" w:rsidR="00F83E7B" w:rsidRPr="00A33206" w:rsidRDefault="00F83E7B" w:rsidP="0079384C">
      <w:pPr>
        <w:pStyle w:val="FootnoteText"/>
        <w:ind w:firstLine="0"/>
        <w:rPr>
          <w:lang w:val="es-ES_tradnl"/>
        </w:rPr>
      </w:pPr>
      <w:r w:rsidRPr="00A33206">
        <w:rPr>
          <w:rStyle w:val="FootnoteReference"/>
          <w:lang w:val="es-ES_tradnl"/>
        </w:rPr>
        <w:footnoteRef/>
      </w:r>
      <w:r w:rsidRPr="00A33206">
        <w:rPr>
          <w:lang w:val="es-ES_tradnl"/>
        </w:rPr>
        <w:t xml:space="preserve"> </w:t>
      </w:r>
      <w:r w:rsidR="00C56653">
        <w:rPr>
          <w:lang w:val="es-ES_tradnl"/>
        </w:rPr>
        <w:t>Véase la d</w:t>
      </w:r>
      <w:r w:rsidR="00A33206" w:rsidRPr="00A33206">
        <w:rPr>
          <w:lang w:val="es-ES_tradnl"/>
        </w:rPr>
        <w:t>ecisión</w:t>
      </w:r>
      <w:r w:rsidRPr="00A33206">
        <w:rPr>
          <w:lang w:val="es-ES_tradnl"/>
        </w:rPr>
        <w:t xml:space="preserve"> </w:t>
      </w:r>
      <w:r w:rsidRPr="00A33206">
        <w:rPr>
          <w:lang w:val="es-ES_tradnl"/>
        </w:rPr>
        <w:t>15/</w:t>
      </w:r>
      <w:r w:rsidR="007C0F32">
        <w:rPr>
          <w:lang w:val="es-ES_tradnl"/>
        </w:rPr>
        <w:t>15</w:t>
      </w:r>
      <w:bookmarkStart w:id="0" w:name="_GoBack"/>
      <w:bookmarkEnd w:id="0"/>
      <w:r w:rsidR="00A12E6C" w:rsidRPr="00A33206">
        <w:rPr>
          <w:lang w:val="es-ES_tradnl"/>
        </w:rPr>
        <w:t xml:space="preserve"> </w:t>
      </w:r>
      <w:r w:rsidR="00A33206" w:rsidRPr="00A33206">
        <w:rPr>
          <w:lang w:val="es-ES_tradnl"/>
        </w:rPr>
        <w:t xml:space="preserve">de la </w:t>
      </w:r>
      <w:r w:rsidR="00C56653" w:rsidRPr="00C56653">
        <w:rPr>
          <w:lang w:val="es-MX"/>
        </w:rPr>
        <w:t xml:space="preserve">Conferencia de las </w:t>
      </w:r>
      <w:r w:rsidR="00C56653">
        <w:rPr>
          <w:lang w:val="es-MX"/>
        </w:rPr>
        <w:t>Partes</w:t>
      </w:r>
      <w:r w:rsidRPr="00A33206">
        <w:rPr>
          <w:lang w:val="es-ES_tradn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nl-NL"/>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BC20A3F" w14:textId="06EA4849" w:rsidR="00534681" w:rsidRPr="00455324" w:rsidRDefault="00767637" w:rsidP="00534681">
        <w:pPr>
          <w:pStyle w:val="Header"/>
          <w:rPr>
            <w:lang w:val="nl-NL"/>
          </w:rPr>
        </w:pPr>
        <w:r>
          <w:rPr>
            <w:lang w:val="nl-NL"/>
          </w:rPr>
          <w:t>CBD/CP/MOP/DEC/10/6</w:t>
        </w:r>
      </w:p>
    </w:sdtContent>
  </w:sdt>
  <w:p w14:paraId="1E0FDE0B" w14:textId="133DF008" w:rsidR="00534681" w:rsidRPr="00455324" w:rsidRDefault="00534681" w:rsidP="00534681">
    <w:pPr>
      <w:pStyle w:val="Header"/>
      <w:rPr>
        <w:lang w:val="nl-NL"/>
      </w:rPr>
    </w:pPr>
    <w:r w:rsidRPr="00455324">
      <w:rPr>
        <w:lang w:val="nl-NL"/>
      </w:rPr>
      <w:t>P</w:t>
    </w:r>
    <w:r w:rsidR="008A2219">
      <w:rPr>
        <w:lang w:val="nl-NL"/>
      </w:rPr>
      <w:t>ágina</w:t>
    </w:r>
    <w:r w:rsidRPr="00455324">
      <w:rPr>
        <w:lang w:val="nl-NL"/>
      </w:rPr>
      <w:t xml:space="preserve"> </w:t>
    </w:r>
    <w:r>
      <w:fldChar w:fldCharType="begin"/>
    </w:r>
    <w:r w:rsidRPr="00455324">
      <w:rPr>
        <w:lang w:val="nl-NL"/>
      </w:rPr>
      <w:instrText xml:space="preserve"> PAGE   \* MERGEFORMAT </w:instrText>
    </w:r>
    <w:r>
      <w:fldChar w:fldCharType="separate"/>
    </w:r>
    <w:r w:rsidR="007C0F32">
      <w:rPr>
        <w:noProof/>
        <w:lang w:val="nl-NL"/>
      </w:rPr>
      <w:t>2</w:t>
    </w:r>
    <w:r>
      <w:rPr>
        <w:noProof/>
      </w:rPr>
      <w:fldChar w:fldCharType="end"/>
    </w:r>
  </w:p>
  <w:p w14:paraId="61C60697" w14:textId="77777777" w:rsidR="00534681" w:rsidRPr="00455324" w:rsidRDefault="00534681">
    <w:pPr>
      <w:pStyle w:val="Header"/>
      <w:rPr>
        <w:lang w:val="nl-NL"/>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nl-NL"/>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2C4EC37E" w14:textId="11C82ACE" w:rsidR="009505C9" w:rsidRPr="00455324" w:rsidRDefault="00767637" w:rsidP="009505C9">
        <w:pPr>
          <w:pStyle w:val="Header"/>
          <w:jc w:val="right"/>
          <w:rPr>
            <w:lang w:val="nl-NL"/>
          </w:rPr>
        </w:pPr>
        <w:r>
          <w:rPr>
            <w:lang w:val="nl-NL"/>
          </w:rPr>
          <w:t>CBD/CP/MOP/DEC/10/6</w:t>
        </w:r>
      </w:p>
    </w:sdtContent>
  </w:sdt>
  <w:p w14:paraId="64AE8439" w14:textId="77777777" w:rsidR="009505C9" w:rsidRPr="00455324" w:rsidRDefault="009505C9" w:rsidP="009505C9">
    <w:pPr>
      <w:pStyle w:val="Header"/>
      <w:jc w:val="right"/>
      <w:rPr>
        <w:lang w:val="nl-NL"/>
      </w:rPr>
    </w:pPr>
    <w:r w:rsidRPr="00455324">
      <w:rPr>
        <w:lang w:val="nl-NL"/>
      </w:rPr>
      <w:t xml:space="preserve">Page </w:t>
    </w:r>
    <w:r>
      <w:fldChar w:fldCharType="begin"/>
    </w:r>
    <w:r w:rsidRPr="00455324">
      <w:rPr>
        <w:lang w:val="nl-NL"/>
      </w:rPr>
      <w:instrText xml:space="preserve"> PAGE   \* MERGEFORMAT </w:instrText>
    </w:r>
    <w:r>
      <w:fldChar w:fldCharType="separate"/>
    </w:r>
    <w:r w:rsidR="00F6586C" w:rsidRPr="00455324">
      <w:rPr>
        <w:noProof/>
        <w:lang w:val="nl-NL"/>
      </w:rPr>
      <w:t>3</w:t>
    </w:r>
    <w:r>
      <w:rPr>
        <w:noProof/>
      </w:rPr>
      <w:fldChar w:fldCharType="end"/>
    </w:r>
  </w:p>
  <w:p w14:paraId="16137B8A" w14:textId="77777777" w:rsidR="009505C9" w:rsidRPr="00455324" w:rsidRDefault="009505C9">
    <w:pPr>
      <w:pStyle w:val="Header"/>
      <w:rPr>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BFC3668"/>
    <w:multiLevelType w:val="hybridMultilevel"/>
    <w:tmpl w:val="EC120F76"/>
    <w:lvl w:ilvl="0" w:tplc="BD9C88C8">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4"/>
  </w:num>
  <w:num w:numId="4">
    <w:abstractNumId w:val="7"/>
  </w:num>
  <w:num w:numId="5">
    <w:abstractNumId w:val="5"/>
  </w:num>
  <w:num w:numId="6">
    <w:abstractNumId w:val="0"/>
  </w:num>
  <w:num w:numId="7">
    <w:abstractNumId w:val="2"/>
  </w:num>
  <w:num w:numId="8">
    <w:abstractNumId w:val="4"/>
    <w:lvlOverride w:ilvl="0">
      <w:startOverride w:val="1"/>
    </w:lvlOverride>
  </w:num>
  <w:num w:numId="9">
    <w:abstractNumId w:val="10"/>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9"/>
  </w:num>
  <w:num w:numId="15">
    <w:abstractNumId w:val="8"/>
  </w:num>
  <w:num w:numId="16">
    <w:abstractNumId w:val="1"/>
  </w:num>
  <w:num w:numId="17">
    <w:abstractNumId w:val="11"/>
  </w:num>
  <w:num w:numId="18">
    <w:abstractNumId w:val="12"/>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1D"/>
    <w:rsid w:val="0001408F"/>
    <w:rsid w:val="00020A25"/>
    <w:rsid w:val="000214CD"/>
    <w:rsid w:val="00022F5F"/>
    <w:rsid w:val="0003226A"/>
    <w:rsid w:val="0003732A"/>
    <w:rsid w:val="00060B7B"/>
    <w:rsid w:val="00066CF0"/>
    <w:rsid w:val="0007171B"/>
    <w:rsid w:val="00094B61"/>
    <w:rsid w:val="000A2639"/>
    <w:rsid w:val="000B5883"/>
    <w:rsid w:val="000C0D9A"/>
    <w:rsid w:val="000C63E7"/>
    <w:rsid w:val="000C64C2"/>
    <w:rsid w:val="000D1A6E"/>
    <w:rsid w:val="000D395E"/>
    <w:rsid w:val="000E673A"/>
    <w:rsid w:val="000F74F5"/>
    <w:rsid w:val="00105372"/>
    <w:rsid w:val="00122C91"/>
    <w:rsid w:val="001312AD"/>
    <w:rsid w:val="00131D48"/>
    <w:rsid w:val="00131E7A"/>
    <w:rsid w:val="00134846"/>
    <w:rsid w:val="001403AE"/>
    <w:rsid w:val="00154A9E"/>
    <w:rsid w:val="00156F3B"/>
    <w:rsid w:val="00172AF6"/>
    <w:rsid w:val="00176CEE"/>
    <w:rsid w:val="0018309F"/>
    <w:rsid w:val="00186DD8"/>
    <w:rsid w:val="00187CBC"/>
    <w:rsid w:val="001B13FE"/>
    <w:rsid w:val="001C1A3B"/>
    <w:rsid w:val="001C35BC"/>
    <w:rsid w:val="001F7E05"/>
    <w:rsid w:val="00201591"/>
    <w:rsid w:val="0021463A"/>
    <w:rsid w:val="00267BE8"/>
    <w:rsid w:val="00283D98"/>
    <w:rsid w:val="002D0235"/>
    <w:rsid w:val="002D14C0"/>
    <w:rsid w:val="002E02E7"/>
    <w:rsid w:val="0030169D"/>
    <w:rsid w:val="003060EB"/>
    <w:rsid w:val="003153EB"/>
    <w:rsid w:val="00321985"/>
    <w:rsid w:val="0032520F"/>
    <w:rsid w:val="00340C60"/>
    <w:rsid w:val="00351205"/>
    <w:rsid w:val="00362BC4"/>
    <w:rsid w:val="00365DB7"/>
    <w:rsid w:val="00371BE1"/>
    <w:rsid w:val="00372F74"/>
    <w:rsid w:val="00376400"/>
    <w:rsid w:val="003A22DF"/>
    <w:rsid w:val="003B47EF"/>
    <w:rsid w:val="003B7BB2"/>
    <w:rsid w:val="003F7224"/>
    <w:rsid w:val="00423EA0"/>
    <w:rsid w:val="00424864"/>
    <w:rsid w:val="00427D21"/>
    <w:rsid w:val="00440C68"/>
    <w:rsid w:val="00442921"/>
    <w:rsid w:val="00446BCA"/>
    <w:rsid w:val="00455324"/>
    <w:rsid w:val="004644C2"/>
    <w:rsid w:val="00467F9C"/>
    <w:rsid w:val="00485738"/>
    <w:rsid w:val="004C0474"/>
    <w:rsid w:val="004C1C12"/>
    <w:rsid w:val="004C6D2C"/>
    <w:rsid w:val="0052266A"/>
    <w:rsid w:val="00524D2C"/>
    <w:rsid w:val="00534681"/>
    <w:rsid w:val="00563442"/>
    <w:rsid w:val="00565B42"/>
    <w:rsid w:val="005710F5"/>
    <w:rsid w:val="00576540"/>
    <w:rsid w:val="005B3184"/>
    <w:rsid w:val="005B4ADC"/>
    <w:rsid w:val="005C4CE6"/>
    <w:rsid w:val="005D3FAA"/>
    <w:rsid w:val="005E0ED3"/>
    <w:rsid w:val="00602843"/>
    <w:rsid w:val="006114A5"/>
    <w:rsid w:val="006122BA"/>
    <w:rsid w:val="0063588C"/>
    <w:rsid w:val="00653516"/>
    <w:rsid w:val="006552F9"/>
    <w:rsid w:val="00660159"/>
    <w:rsid w:val="0068353A"/>
    <w:rsid w:val="006B2290"/>
    <w:rsid w:val="006C1BFD"/>
    <w:rsid w:val="006C5F57"/>
    <w:rsid w:val="006C6350"/>
    <w:rsid w:val="006D3461"/>
    <w:rsid w:val="006E4130"/>
    <w:rsid w:val="006F201C"/>
    <w:rsid w:val="00715836"/>
    <w:rsid w:val="00717D88"/>
    <w:rsid w:val="00723E7F"/>
    <w:rsid w:val="0073336F"/>
    <w:rsid w:val="007552CE"/>
    <w:rsid w:val="00755DA4"/>
    <w:rsid w:val="007570FB"/>
    <w:rsid w:val="007638D5"/>
    <w:rsid w:val="00767637"/>
    <w:rsid w:val="0077674C"/>
    <w:rsid w:val="00786056"/>
    <w:rsid w:val="00792DF1"/>
    <w:rsid w:val="0079384C"/>
    <w:rsid w:val="007942D3"/>
    <w:rsid w:val="007B2011"/>
    <w:rsid w:val="007B2099"/>
    <w:rsid w:val="007B5B1F"/>
    <w:rsid w:val="007B6C09"/>
    <w:rsid w:val="007B7741"/>
    <w:rsid w:val="007C0F32"/>
    <w:rsid w:val="007E09DA"/>
    <w:rsid w:val="007E1CF1"/>
    <w:rsid w:val="007E69A2"/>
    <w:rsid w:val="00803173"/>
    <w:rsid w:val="0081121C"/>
    <w:rsid w:val="008178B6"/>
    <w:rsid w:val="00847E2F"/>
    <w:rsid w:val="008535B4"/>
    <w:rsid w:val="00865B74"/>
    <w:rsid w:val="00890D62"/>
    <w:rsid w:val="008974F0"/>
    <w:rsid w:val="008A2219"/>
    <w:rsid w:val="008B012A"/>
    <w:rsid w:val="008E6A9F"/>
    <w:rsid w:val="008F4CD6"/>
    <w:rsid w:val="008F6FA1"/>
    <w:rsid w:val="00906E17"/>
    <w:rsid w:val="00930BA1"/>
    <w:rsid w:val="0093169E"/>
    <w:rsid w:val="00932060"/>
    <w:rsid w:val="00937130"/>
    <w:rsid w:val="009474E8"/>
    <w:rsid w:val="009505C9"/>
    <w:rsid w:val="00950752"/>
    <w:rsid w:val="009657F9"/>
    <w:rsid w:val="00966424"/>
    <w:rsid w:val="00994E77"/>
    <w:rsid w:val="009C2DE6"/>
    <w:rsid w:val="009C427C"/>
    <w:rsid w:val="009C5C60"/>
    <w:rsid w:val="00A1161D"/>
    <w:rsid w:val="00A1252A"/>
    <w:rsid w:val="00A12E6C"/>
    <w:rsid w:val="00A30119"/>
    <w:rsid w:val="00A33206"/>
    <w:rsid w:val="00A37143"/>
    <w:rsid w:val="00A46D74"/>
    <w:rsid w:val="00A67F17"/>
    <w:rsid w:val="00AA6973"/>
    <w:rsid w:val="00AA6F92"/>
    <w:rsid w:val="00AA7F3A"/>
    <w:rsid w:val="00AB6934"/>
    <w:rsid w:val="00AC1D96"/>
    <w:rsid w:val="00AD7FFC"/>
    <w:rsid w:val="00AE396D"/>
    <w:rsid w:val="00AF42DE"/>
    <w:rsid w:val="00AF76AD"/>
    <w:rsid w:val="00B03D9E"/>
    <w:rsid w:val="00B069A9"/>
    <w:rsid w:val="00B14A8E"/>
    <w:rsid w:val="00B26ACD"/>
    <w:rsid w:val="00B3369F"/>
    <w:rsid w:val="00B355D7"/>
    <w:rsid w:val="00B629A6"/>
    <w:rsid w:val="00B81C17"/>
    <w:rsid w:val="00B94E6C"/>
    <w:rsid w:val="00BA1C28"/>
    <w:rsid w:val="00BB4606"/>
    <w:rsid w:val="00BB5C6A"/>
    <w:rsid w:val="00BF11F9"/>
    <w:rsid w:val="00BF7358"/>
    <w:rsid w:val="00C040A3"/>
    <w:rsid w:val="00C23D2F"/>
    <w:rsid w:val="00C4349E"/>
    <w:rsid w:val="00C443BD"/>
    <w:rsid w:val="00C451C5"/>
    <w:rsid w:val="00C56653"/>
    <w:rsid w:val="00C87312"/>
    <w:rsid w:val="00C9161D"/>
    <w:rsid w:val="00CA0C1D"/>
    <w:rsid w:val="00CA7C2D"/>
    <w:rsid w:val="00CB089A"/>
    <w:rsid w:val="00CB681E"/>
    <w:rsid w:val="00CC6FDC"/>
    <w:rsid w:val="00CF1848"/>
    <w:rsid w:val="00D100E6"/>
    <w:rsid w:val="00D12044"/>
    <w:rsid w:val="00D21F33"/>
    <w:rsid w:val="00D22A60"/>
    <w:rsid w:val="00D30264"/>
    <w:rsid w:val="00D33EFC"/>
    <w:rsid w:val="00D40DBC"/>
    <w:rsid w:val="00D514FF"/>
    <w:rsid w:val="00D53E8F"/>
    <w:rsid w:val="00D67904"/>
    <w:rsid w:val="00D73604"/>
    <w:rsid w:val="00D7543F"/>
    <w:rsid w:val="00D76A18"/>
    <w:rsid w:val="00D80849"/>
    <w:rsid w:val="00D82E8F"/>
    <w:rsid w:val="00D84F66"/>
    <w:rsid w:val="00D9268A"/>
    <w:rsid w:val="00DD118C"/>
    <w:rsid w:val="00DD31A0"/>
    <w:rsid w:val="00E24D5C"/>
    <w:rsid w:val="00E33E06"/>
    <w:rsid w:val="00E619FA"/>
    <w:rsid w:val="00E66235"/>
    <w:rsid w:val="00E7599B"/>
    <w:rsid w:val="00E80F6E"/>
    <w:rsid w:val="00E83C24"/>
    <w:rsid w:val="00E911F4"/>
    <w:rsid w:val="00E9318D"/>
    <w:rsid w:val="00EC1F46"/>
    <w:rsid w:val="00EE013D"/>
    <w:rsid w:val="00EE5612"/>
    <w:rsid w:val="00F01F79"/>
    <w:rsid w:val="00F13D3A"/>
    <w:rsid w:val="00F2040E"/>
    <w:rsid w:val="00F25FD7"/>
    <w:rsid w:val="00F34D6D"/>
    <w:rsid w:val="00F372DF"/>
    <w:rsid w:val="00F53193"/>
    <w:rsid w:val="00F5357E"/>
    <w:rsid w:val="00F62DF2"/>
    <w:rsid w:val="00F6586C"/>
    <w:rsid w:val="00F7381B"/>
    <w:rsid w:val="00F777FC"/>
    <w:rsid w:val="00F83E7B"/>
    <w:rsid w:val="00F91A9F"/>
    <w:rsid w:val="00F94774"/>
    <w:rsid w:val="00FA0E9A"/>
    <w:rsid w:val="00FA663B"/>
    <w:rsid w:val="00FC25F8"/>
    <w:rsid w:val="00FC53DB"/>
    <w:rsid w:val="00FD16FF"/>
    <w:rsid w:val="00FE2131"/>
    <w:rsid w:val="00FE29CC"/>
    <w:rsid w:val="00FF5C33"/>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344B5DE"/>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semiHidden/>
    <w:rsid w:val="00427D21"/>
    <w:rPr>
      <w:sz w:val="22"/>
      <w:u w:val="none"/>
      <w:vertAlign w:val="superscript"/>
    </w:rPr>
  </w:style>
  <w:style w:type="paragraph" w:styleId="FootnoteText">
    <w:name w:val="footnote text"/>
    <w:basedOn w:val="Normal"/>
    <w:link w:val="FootnoteTextChar"/>
    <w:semiHidden/>
    <w:rsid w:val="007E09DA"/>
    <w:pPr>
      <w:keepLines/>
      <w:spacing w:after="60"/>
      <w:ind w:firstLine="720"/>
    </w:pPr>
    <w:rPr>
      <w:sz w:val="18"/>
    </w:rPr>
  </w:style>
  <w:style w:type="character" w:customStyle="1" w:styleId="FootnoteTextChar">
    <w:name w:val="Footnote Text Char"/>
    <w:basedOn w:val="DefaultParagraphFont"/>
    <w:link w:val="FootnoteText"/>
    <w:semiHidden/>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styleId="Revision">
    <w:name w:val="Revision"/>
    <w:hidden/>
    <w:uiPriority w:val="99"/>
    <w:semiHidden/>
    <w:rsid w:val="00BB5C6A"/>
    <w:rPr>
      <w:rFonts w:ascii="Times New Roman" w:eastAsia="Times New Roman" w:hAnsi="Times New Roman" w:cs="Times New Roman"/>
      <w:sz w:val="22"/>
      <w:lang w:val="en-GB"/>
    </w:rPr>
  </w:style>
  <w:style w:type="character" w:styleId="Emphasis">
    <w:name w:val="Emphasis"/>
    <w:basedOn w:val="DefaultParagraphFont"/>
    <w:uiPriority w:val="20"/>
    <w:qFormat/>
    <w:rsid w:val="0042486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220266">
      <w:bodyDiv w:val="1"/>
      <w:marLeft w:val="0"/>
      <w:marRight w:val="0"/>
      <w:marTop w:val="0"/>
      <w:marBottom w:val="0"/>
      <w:divBdr>
        <w:top w:val="none" w:sz="0" w:space="0" w:color="auto"/>
        <w:left w:val="none" w:sz="0" w:space="0" w:color="auto"/>
        <w:bottom w:val="none" w:sz="0" w:space="0" w:color="auto"/>
        <w:right w:val="none" w:sz="0" w:space="0" w:color="auto"/>
      </w:divBdr>
    </w:div>
    <w:div w:id="20406183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A55"/>
    <w:rsid w:val="000D365D"/>
    <w:rsid w:val="00106617"/>
    <w:rsid w:val="0016789F"/>
    <w:rsid w:val="00437858"/>
    <w:rsid w:val="0046422C"/>
    <w:rsid w:val="004760CF"/>
    <w:rsid w:val="004E092F"/>
    <w:rsid w:val="00500A2B"/>
    <w:rsid w:val="00544C6F"/>
    <w:rsid w:val="0058288D"/>
    <w:rsid w:val="00665C6B"/>
    <w:rsid w:val="006801B3"/>
    <w:rsid w:val="00703497"/>
    <w:rsid w:val="00810A55"/>
    <w:rsid w:val="008C6619"/>
    <w:rsid w:val="008D420E"/>
    <w:rsid w:val="0098642F"/>
    <w:rsid w:val="00B27D2C"/>
    <w:rsid w:val="00C8104B"/>
    <w:rsid w:val="00CE3F02"/>
    <w:rsid w:val="00CF214D"/>
    <w:rsid w:val="00D31D12"/>
    <w:rsid w:val="00D80A1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5C6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757B10B752F084BA8DB813B296FB27B" ma:contentTypeVersion="4" ma:contentTypeDescription="Create a new document." ma:contentTypeScope="" ma:versionID="a41c1625e0c5e3501ab261f418a31bef">
  <xsd:schema xmlns:xsd="http://www.w3.org/2001/XMLSchema" xmlns:xs="http://www.w3.org/2001/XMLSchema" xmlns:p="http://schemas.microsoft.com/office/2006/metadata/properties" xmlns:ns2="c81b4b69-2fdc-4c4e-909f-0c008d05f230" xmlns:ns3="a7dbe1ce-d728-48be-9ca1-bdc9cbbc93e0" targetNamespace="http://schemas.microsoft.com/office/2006/metadata/properties" ma:root="true" ma:fieldsID="55486cc2e8c49fd3df5b2f8bfa195cc0" ns2:_="" ns3:_="">
    <xsd:import namespace="c81b4b69-2fdc-4c4e-909f-0c008d05f230"/>
    <xsd:import namespace="a7dbe1ce-d728-48be-9ca1-bdc9cbbc93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1b4b69-2fdc-4c4e-909f-0c008d05f2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dbe1ce-d728-48be-9ca1-bdc9cbbc93e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BEC7F48-48CC-4622-B3A9-4D5F479A54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1b4b69-2fdc-4c4e-909f-0c008d05f230"/>
    <ds:schemaRef ds:uri="a7dbe1ce-d728-48be-9ca1-bdc9cbbc93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4.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C04BEA0-02E0-4F06-88B4-F20322B40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Pages>
  <Words>736</Words>
  <Characters>4201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CP-10/6.   Asuntos relacionados con el mecanismo financiero y los recursos financieros (artículo 28)</vt:lpstr>
      <vt:lpstr>Matters related to the financial mechanism and resources (Article 28)</vt:lpstr>
    </vt:vector>
  </TitlesOfParts>
  <Company>SCBD</Company>
  <LinksUpToDate>false</LinksUpToDate>
  <CharactersWithSpaces>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CP-10/6.   Asuntos relacionados con el mecanismo financiero y los recursos financieros (artículo 28)</dc:title>
  <dc:subject>CBD/CP/MOP/DEC/10/6</dc:subject>
  <dc:creator>SCBD</dc:creator>
  <cp:keywords>Conference of the Parties serving as the meeting of the parties to the Cartagena Protocol on Biosafety, tenth meeting</cp:keywords>
  <cp:lastModifiedBy>Rosario </cp:lastModifiedBy>
  <cp:revision>30</cp:revision>
  <cp:lastPrinted>2020-01-21T16:56:00Z</cp:lastPrinted>
  <dcterms:created xsi:type="dcterms:W3CDTF">2023-02-21T21:22:00Z</dcterms:created>
  <dcterms:modified xsi:type="dcterms:W3CDTF">2023-02-22T20:20:00Z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0x0101007757B10B752F084BA8DB813B296FB27B</vt:lpwstr>
  </property>
  <property fmtid="{D5CDD505-2E9C-101B-9397-08002B2CF9AE}" pid="3" name="MediaServiceImageTags">
    <vt:lpwstr/>
  </property>
</Properties>
</file>