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020294" w:rsidRPr="00020294" w14:paraId="644887EA" w14:textId="77777777" w:rsidTr="00BE4604">
        <w:trPr>
          <w:trHeight w:val="990"/>
        </w:trPr>
        <w:tc>
          <w:tcPr>
            <w:tcW w:w="993" w:type="dxa"/>
            <w:tcBorders>
              <w:top w:val="nil"/>
              <w:bottom w:val="single" w:sz="12" w:space="0" w:color="000000"/>
              <w:right w:val="nil"/>
            </w:tcBorders>
          </w:tcPr>
          <w:p w14:paraId="4791A1AF" w14:textId="77777777" w:rsidR="00020294" w:rsidRPr="00020294" w:rsidRDefault="00020294" w:rsidP="00020294">
            <w:pPr>
              <w:rPr>
                <w:rFonts w:eastAsia="SimSun"/>
                <w:b/>
                <w:bCs/>
                <w:snapToGrid w:val="0"/>
                <w:kern w:val="22"/>
                <w:sz w:val="24"/>
                <w:lang w:val="en-US"/>
              </w:rPr>
            </w:pPr>
            <w:bookmarkStart w:id="0" w:name="_Hlk34341122"/>
            <w:bookmarkStart w:id="1" w:name="Meeting"/>
            <w:bookmarkStart w:id="2" w:name="_Hlk121417389"/>
            <w:bookmarkStart w:id="3" w:name="_Hlk34341079"/>
            <w:r w:rsidRPr="00020294">
              <w:rPr>
                <w:rFonts w:eastAsia="SimSun" w:cs="Angsana New"/>
                <w:noProof/>
                <w:lang w:eastAsia="zh-CN"/>
              </w:rPr>
              <w:drawing>
                <wp:anchor distT="0" distB="0" distL="114300" distR="114300" simplePos="0" relativeHeight="251659264" behindDoc="0" locked="0" layoutInCell="1" allowOverlap="1" wp14:anchorId="4011A880" wp14:editId="007A1477">
                  <wp:simplePos x="0" y="0"/>
                  <wp:positionH relativeFrom="column">
                    <wp:posOffset>49530</wp:posOffset>
                  </wp:positionH>
                  <wp:positionV relativeFrom="page">
                    <wp:posOffset>78105</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38F48EFE" w14:textId="77777777" w:rsidR="00020294" w:rsidRPr="00020294" w:rsidRDefault="00020294" w:rsidP="00020294">
            <w:pPr>
              <w:rPr>
                <w:rFonts w:eastAsia="SimSun"/>
                <w:b/>
                <w:bCs/>
                <w:sz w:val="20"/>
                <w:szCs w:val="20"/>
                <w:lang w:eastAsia="zh-CN"/>
              </w:rPr>
            </w:pPr>
            <w:r w:rsidRPr="00020294">
              <w:rPr>
                <w:rFonts w:eastAsia="SimSun" w:cs="Angsana New"/>
                <w:noProof/>
                <w:lang w:eastAsia="zh-CN"/>
              </w:rPr>
              <w:drawing>
                <wp:anchor distT="0" distB="0" distL="114300" distR="114300" simplePos="0" relativeHeight="251660288" behindDoc="0" locked="0" layoutInCell="1" allowOverlap="1" wp14:anchorId="666FC42A" wp14:editId="68C55C2B">
                  <wp:simplePos x="0" y="0"/>
                  <wp:positionH relativeFrom="column">
                    <wp:posOffset>407035</wp:posOffset>
                  </wp:positionH>
                  <wp:positionV relativeFrom="paragraph">
                    <wp:posOffset>132080</wp:posOffset>
                  </wp:positionV>
                  <wp:extent cx="180975" cy="1917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E66A4" w14:textId="77777777" w:rsidR="00020294" w:rsidRPr="00020294" w:rsidRDefault="00020294" w:rsidP="00020294">
            <w:pPr>
              <w:rPr>
                <w:rFonts w:eastAsia="SimSun"/>
                <w:b/>
                <w:bCs/>
                <w:sz w:val="20"/>
                <w:szCs w:val="20"/>
                <w:lang w:eastAsia="zh-CN"/>
              </w:rPr>
            </w:pPr>
            <w:r w:rsidRPr="00020294">
              <w:rPr>
                <w:rFonts w:eastAsia="SimSun" w:hint="eastAsia"/>
                <w:b/>
                <w:bCs/>
                <w:sz w:val="20"/>
                <w:szCs w:val="20"/>
                <w:lang w:eastAsia="zh-CN"/>
              </w:rPr>
              <w:t>联合国</w:t>
            </w:r>
          </w:p>
          <w:p w14:paraId="3E54562E" w14:textId="77777777" w:rsidR="00020294" w:rsidRPr="00020294" w:rsidRDefault="00020294" w:rsidP="00020294">
            <w:pPr>
              <w:rPr>
                <w:rFonts w:eastAsia="SimSun"/>
                <w:b/>
                <w:bCs/>
                <w:sz w:val="20"/>
                <w:szCs w:val="20"/>
                <w:lang w:eastAsia="zh-CN"/>
              </w:rPr>
            </w:pPr>
            <w:r w:rsidRPr="00020294">
              <w:rPr>
                <w:rFonts w:eastAsia="SimSun" w:hint="eastAsia"/>
                <w:b/>
                <w:bCs/>
                <w:sz w:val="20"/>
                <w:szCs w:val="20"/>
                <w:lang w:eastAsia="zh-CN"/>
              </w:rPr>
              <w:t>环境规划署</w:t>
            </w:r>
          </w:p>
        </w:tc>
        <w:tc>
          <w:tcPr>
            <w:tcW w:w="6741" w:type="dxa"/>
            <w:gridSpan w:val="3"/>
            <w:tcBorders>
              <w:top w:val="nil"/>
              <w:left w:val="nil"/>
              <w:bottom w:val="single" w:sz="12" w:space="0" w:color="000000"/>
            </w:tcBorders>
          </w:tcPr>
          <w:p w14:paraId="447AE9D1" w14:textId="77777777" w:rsidR="00020294" w:rsidRPr="00020294" w:rsidRDefault="00020294" w:rsidP="00020294">
            <w:pPr>
              <w:tabs>
                <w:tab w:val="right" w:pos="7611"/>
              </w:tabs>
              <w:spacing w:before="120"/>
              <w:ind w:left="360" w:right="461"/>
              <w:jc w:val="right"/>
              <w:rPr>
                <w:rFonts w:ascii="Arial" w:eastAsia="SimSun" w:hAnsi="Arial" w:cs="Arial"/>
                <w:b/>
                <w:snapToGrid w:val="0"/>
                <w:kern w:val="22"/>
                <w:sz w:val="32"/>
                <w:lang w:eastAsia="zh-CN"/>
              </w:rPr>
            </w:pPr>
            <w:r w:rsidRPr="00020294">
              <w:rPr>
                <w:rFonts w:ascii="Arial" w:eastAsia="SimSun" w:hAnsi="Arial" w:cs="Arial"/>
                <w:b/>
                <w:snapToGrid w:val="0"/>
                <w:kern w:val="22"/>
                <w:sz w:val="32"/>
                <w:lang w:eastAsia="zh-CN"/>
              </w:rPr>
              <w:t xml:space="preserve">   CBD</w:t>
            </w:r>
          </w:p>
          <w:p w14:paraId="3A68DF3A" w14:textId="77777777" w:rsidR="00020294" w:rsidRPr="00020294" w:rsidRDefault="00020294" w:rsidP="00020294">
            <w:pPr>
              <w:jc w:val="left"/>
              <w:rPr>
                <w:rFonts w:eastAsia="SimSun"/>
                <w:b/>
                <w:snapToGrid w:val="0"/>
                <w:kern w:val="22"/>
                <w:sz w:val="20"/>
                <w:lang w:eastAsia="zh-CN"/>
              </w:rPr>
            </w:pPr>
          </w:p>
        </w:tc>
      </w:tr>
      <w:bookmarkEnd w:id="3"/>
      <w:tr w:rsidR="00020294" w:rsidRPr="00020294" w14:paraId="70826897" w14:textId="77777777" w:rsidTr="00FE26CE">
        <w:trPr>
          <w:trHeight w:val="1693"/>
        </w:trPr>
        <w:tc>
          <w:tcPr>
            <w:tcW w:w="6227" w:type="dxa"/>
            <w:gridSpan w:val="3"/>
            <w:tcBorders>
              <w:top w:val="nil"/>
              <w:bottom w:val="single" w:sz="36" w:space="0" w:color="000000"/>
            </w:tcBorders>
          </w:tcPr>
          <w:p w14:paraId="4D92FFA9" w14:textId="77777777" w:rsidR="00020294" w:rsidRPr="00020294" w:rsidRDefault="00020294" w:rsidP="00020294">
            <w:pPr>
              <w:rPr>
                <w:rFonts w:eastAsia="SimSun"/>
                <w:snapToGrid w:val="0"/>
                <w:kern w:val="22"/>
                <w:sz w:val="24"/>
                <w:lang w:eastAsia="zh-CN"/>
              </w:rPr>
            </w:pPr>
          </w:p>
          <w:p w14:paraId="1B66E691" w14:textId="77777777" w:rsidR="00020294" w:rsidRPr="00020294" w:rsidRDefault="00020294" w:rsidP="00020294">
            <w:pPr>
              <w:rPr>
                <w:rFonts w:ascii="Univers" w:eastAsia="SimSun" w:hAnsi="Univers"/>
                <w:snapToGrid w:val="0"/>
                <w:kern w:val="22"/>
                <w:sz w:val="32"/>
                <w:lang w:eastAsia="zh-CN"/>
              </w:rPr>
            </w:pPr>
            <w:r w:rsidRPr="00020294">
              <w:rPr>
                <w:rFonts w:eastAsia="SimSun"/>
                <w:b/>
                <w:noProof/>
                <w:sz w:val="24"/>
                <w:lang w:val="en-US" w:eastAsia="zh-CN"/>
              </w:rPr>
              <w:drawing>
                <wp:inline distT="0" distB="0" distL="0" distR="0" wp14:anchorId="766DCBEA" wp14:editId="6D34B83B">
                  <wp:extent cx="2997200" cy="10795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55A7F8EE" w14:textId="77777777" w:rsidR="00020294" w:rsidRPr="00020294" w:rsidRDefault="00020294" w:rsidP="00020294">
            <w:pPr>
              <w:ind w:firstLine="720"/>
              <w:rPr>
                <w:rFonts w:ascii="Univers" w:eastAsia="SimSun" w:hAnsi="Univers"/>
                <w:sz w:val="32"/>
                <w:lang w:eastAsia="zh-CN"/>
              </w:rPr>
            </w:pPr>
            <w:r w:rsidRPr="00020294">
              <w:rPr>
                <w:rFonts w:ascii="Univers" w:eastAsia="SimSun" w:hAnsi="Univers"/>
                <w:sz w:val="32"/>
                <w:lang w:eastAsia="zh-CN"/>
              </w:rPr>
              <w:t xml:space="preserve">   </w:t>
            </w:r>
          </w:p>
        </w:tc>
        <w:tc>
          <w:tcPr>
            <w:tcW w:w="1144" w:type="dxa"/>
            <w:tcBorders>
              <w:top w:val="nil"/>
              <w:bottom w:val="single" w:sz="36" w:space="0" w:color="000000"/>
            </w:tcBorders>
          </w:tcPr>
          <w:p w14:paraId="28059B67" w14:textId="77777777" w:rsidR="00020294" w:rsidRPr="00020294" w:rsidRDefault="00020294" w:rsidP="00020294">
            <w:pPr>
              <w:widowControl w:val="0"/>
              <w:overflowPunct w:val="0"/>
              <w:autoSpaceDE w:val="0"/>
              <w:autoSpaceDN w:val="0"/>
              <w:adjustRightInd w:val="0"/>
              <w:spacing w:line="240" w:lineRule="atLeast"/>
              <w:jc w:val="left"/>
              <w:textAlignment w:val="baseline"/>
              <w:rPr>
                <w:rFonts w:eastAsia="SimSun"/>
                <w:bCs/>
                <w:snapToGrid w:val="0"/>
                <w:kern w:val="22"/>
                <w:sz w:val="32"/>
                <w:szCs w:val="32"/>
                <w:lang w:eastAsia="zh-CN"/>
              </w:rPr>
            </w:pPr>
          </w:p>
        </w:tc>
        <w:tc>
          <w:tcPr>
            <w:tcW w:w="2977" w:type="dxa"/>
            <w:tcBorders>
              <w:top w:val="nil"/>
              <w:bottom w:val="single" w:sz="36" w:space="0" w:color="000000"/>
            </w:tcBorders>
          </w:tcPr>
          <w:p w14:paraId="7A278931" w14:textId="77777777" w:rsidR="00020294" w:rsidRPr="00020294" w:rsidRDefault="00020294" w:rsidP="00020294">
            <w:pPr>
              <w:ind w:left="58"/>
              <w:rPr>
                <w:rFonts w:eastAsia="SimSun"/>
                <w:snapToGrid w:val="0"/>
                <w:kern w:val="22"/>
                <w:sz w:val="24"/>
                <w:szCs w:val="22"/>
                <w:lang w:eastAsia="zh-CN"/>
              </w:rPr>
            </w:pPr>
            <w:r w:rsidRPr="00020294">
              <w:rPr>
                <w:rFonts w:eastAsia="SimSun"/>
                <w:snapToGrid w:val="0"/>
                <w:kern w:val="22"/>
                <w:sz w:val="24"/>
                <w:szCs w:val="22"/>
                <w:lang w:eastAsia="zh-CN"/>
              </w:rPr>
              <w:t>Distr.</w:t>
            </w:r>
          </w:p>
          <w:p w14:paraId="59C727A4" w14:textId="444C8F58" w:rsidR="00020294" w:rsidRPr="00020294" w:rsidRDefault="00BE4604" w:rsidP="00020294">
            <w:pPr>
              <w:ind w:left="58"/>
              <w:rPr>
                <w:rFonts w:eastAsia="SimSun"/>
                <w:snapToGrid w:val="0"/>
                <w:kern w:val="22"/>
                <w:sz w:val="24"/>
                <w:szCs w:val="22"/>
                <w:lang w:eastAsia="zh-CN"/>
              </w:rPr>
            </w:pPr>
            <w:r>
              <w:rPr>
                <w:rFonts w:eastAsia="SimSun"/>
                <w:snapToGrid w:val="0"/>
                <w:kern w:val="22"/>
                <w:sz w:val="24"/>
                <w:szCs w:val="22"/>
                <w:lang w:eastAsia="zh-CN"/>
              </w:rPr>
              <w:t>GENERAL</w:t>
            </w:r>
          </w:p>
          <w:p w14:paraId="4848AEBF" w14:textId="77777777" w:rsidR="00020294" w:rsidRPr="00020294" w:rsidRDefault="00020294" w:rsidP="00020294">
            <w:pPr>
              <w:ind w:left="58"/>
              <w:rPr>
                <w:rFonts w:eastAsia="SimSun"/>
                <w:snapToGrid w:val="0"/>
                <w:kern w:val="22"/>
                <w:sz w:val="24"/>
                <w:szCs w:val="22"/>
                <w:lang w:eastAsia="zh-CN"/>
              </w:rPr>
            </w:pPr>
          </w:p>
          <w:p w14:paraId="2764AC01" w14:textId="17DA6406" w:rsidR="00020294" w:rsidRPr="00020294" w:rsidRDefault="00020294" w:rsidP="00020294">
            <w:pPr>
              <w:ind w:left="58"/>
              <w:rPr>
                <w:rFonts w:eastAsia="SimSun"/>
                <w:snapToGrid w:val="0"/>
                <w:kern w:val="22"/>
                <w:sz w:val="24"/>
                <w:szCs w:val="22"/>
                <w:lang w:eastAsia="zh-CN"/>
              </w:rPr>
            </w:pPr>
            <w:r w:rsidRPr="00020294">
              <w:rPr>
                <w:rFonts w:eastAsia="SimSun"/>
                <w:snapToGrid w:val="0"/>
                <w:kern w:val="22"/>
                <w:sz w:val="24"/>
                <w:szCs w:val="22"/>
                <w:lang w:val="en-US" w:eastAsia="zh-CN"/>
              </w:rPr>
              <w:t>CBD/CP/MOP/</w:t>
            </w:r>
            <w:r w:rsidR="00FA5293">
              <w:rPr>
                <w:rFonts w:eastAsia="SimSun"/>
                <w:snapToGrid w:val="0"/>
                <w:kern w:val="22"/>
                <w:sz w:val="24"/>
                <w:szCs w:val="22"/>
                <w:lang w:val="en-US" w:eastAsia="zh-CN"/>
              </w:rPr>
              <w:t>DEC/</w:t>
            </w:r>
            <w:r w:rsidRPr="00020294">
              <w:rPr>
                <w:rFonts w:eastAsia="SimSun"/>
                <w:snapToGrid w:val="0"/>
                <w:kern w:val="22"/>
                <w:sz w:val="24"/>
                <w:szCs w:val="22"/>
                <w:lang w:val="en-US" w:eastAsia="zh-CN"/>
              </w:rPr>
              <w:t>10/</w:t>
            </w:r>
            <w:r w:rsidR="00FA5293">
              <w:rPr>
                <w:rFonts w:eastAsia="SimSun"/>
                <w:snapToGrid w:val="0"/>
                <w:kern w:val="22"/>
                <w:sz w:val="24"/>
                <w:szCs w:val="22"/>
                <w:lang w:val="en-US" w:eastAsia="zh-CN"/>
              </w:rPr>
              <w:t>6</w:t>
            </w:r>
          </w:p>
          <w:p w14:paraId="5C277B4D" w14:textId="095D9213" w:rsidR="00020294" w:rsidRPr="00020294" w:rsidRDefault="00020294" w:rsidP="00020294">
            <w:pPr>
              <w:ind w:left="58"/>
              <w:rPr>
                <w:rFonts w:eastAsia="SimSun"/>
                <w:snapToGrid w:val="0"/>
                <w:kern w:val="22"/>
                <w:sz w:val="24"/>
                <w:szCs w:val="22"/>
                <w:lang w:eastAsia="zh-CN"/>
              </w:rPr>
            </w:pPr>
            <w:r w:rsidRPr="00020294">
              <w:rPr>
                <w:rFonts w:eastAsia="SimSun"/>
                <w:snapToGrid w:val="0"/>
                <w:kern w:val="22"/>
                <w:sz w:val="24"/>
                <w:szCs w:val="22"/>
                <w:lang w:eastAsia="zh-CN"/>
              </w:rPr>
              <w:t>1</w:t>
            </w:r>
            <w:r w:rsidR="00FA5293">
              <w:rPr>
                <w:rFonts w:eastAsia="SimSun"/>
                <w:snapToGrid w:val="0"/>
                <w:kern w:val="22"/>
                <w:sz w:val="24"/>
                <w:szCs w:val="22"/>
                <w:lang w:eastAsia="zh-CN"/>
              </w:rPr>
              <w:t>9</w:t>
            </w:r>
            <w:r w:rsidRPr="00020294">
              <w:rPr>
                <w:rFonts w:eastAsia="SimSun"/>
                <w:snapToGrid w:val="0"/>
                <w:kern w:val="22"/>
                <w:sz w:val="24"/>
                <w:szCs w:val="22"/>
                <w:lang w:eastAsia="zh-CN"/>
              </w:rPr>
              <w:t xml:space="preserve"> December 2022</w:t>
            </w:r>
          </w:p>
          <w:p w14:paraId="71B22A1D" w14:textId="77777777" w:rsidR="00020294" w:rsidRPr="00020294" w:rsidRDefault="00020294" w:rsidP="00020294">
            <w:pPr>
              <w:ind w:left="58"/>
              <w:rPr>
                <w:rFonts w:eastAsia="SimSun"/>
                <w:snapToGrid w:val="0"/>
                <w:kern w:val="22"/>
                <w:sz w:val="24"/>
                <w:szCs w:val="22"/>
                <w:lang w:eastAsia="zh-CN"/>
              </w:rPr>
            </w:pPr>
          </w:p>
          <w:p w14:paraId="5B067F03" w14:textId="77777777" w:rsidR="00020294" w:rsidRPr="00020294" w:rsidRDefault="00020294" w:rsidP="00020294">
            <w:pPr>
              <w:ind w:left="58"/>
              <w:rPr>
                <w:rFonts w:eastAsia="SimSun"/>
                <w:snapToGrid w:val="0"/>
                <w:kern w:val="22"/>
                <w:sz w:val="24"/>
                <w:szCs w:val="22"/>
                <w:lang w:eastAsia="zh-CN"/>
              </w:rPr>
            </w:pPr>
            <w:r w:rsidRPr="00020294">
              <w:rPr>
                <w:rFonts w:eastAsia="SimSun"/>
                <w:snapToGrid w:val="0"/>
                <w:kern w:val="22"/>
                <w:sz w:val="24"/>
                <w:szCs w:val="22"/>
                <w:lang w:eastAsia="zh-CN"/>
              </w:rPr>
              <w:t>CHINESE</w:t>
            </w:r>
          </w:p>
          <w:p w14:paraId="23438642" w14:textId="77777777" w:rsidR="00020294" w:rsidRPr="00020294" w:rsidRDefault="00020294" w:rsidP="00020294">
            <w:pPr>
              <w:ind w:left="58"/>
              <w:rPr>
                <w:rFonts w:eastAsia="SimSun"/>
                <w:snapToGrid w:val="0"/>
                <w:kern w:val="22"/>
                <w:sz w:val="24"/>
                <w:szCs w:val="22"/>
                <w:u w:val="single"/>
                <w:lang w:eastAsia="zh-CN"/>
              </w:rPr>
            </w:pPr>
            <w:r w:rsidRPr="00020294">
              <w:rPr>
                <w:rFonts w:eastAsia="SimSun"/>
                <w:snapToGrid w:val="0"/>
                <w:kern w:val="22"/>
                <w:sz w:val="24"/>
                <w:szCs w:val="22"/>
                <w:lang w:eastAsia="zh-CN"/>
              </w:rPr>
              <w:t>ORIGINAL:  ENGLISH</w:t>
            </w:r>
          </w:p>
        </w:tc>
      </w:tr>
    </w:tbl>
    <w:bookmarkEnd w:id="0"/>
    <w:bookmarkEnd w:id="1"/>
    <w:p w14:paraId="2E736B28" w14:textId="77777777" w:rsidR="00D114F7" w:rsidRPr="00D114F7" w:rsidRDefault="00D114F7" w:rsidP="00D114F7">
      <w:pPr>
        <w:rPr>
          <w:rFonts w:eastAsia="SimSun"/>
          <w:snapToGrid w:val="0"/>
          <w:sz w:val="24"/>
          <w:lang w:eastAsia="zh-CN"/>
        </w:rPr>
      </w:pPr>
      <w:r w:rsidRPr="00D114F7">
        <w:rPr>
          <w:rFonts w:eastAsia="SimSun" w:hint="eastAsia"/>
          <w:snapToGrid w:val="0"/>
          <w:sz w:val="24"/>
          <w:lang w:eastAsia="zh-CN"/>
        </w:rPr>
        <w:t>作为卡塔赫纳生物安全议定书缔约方会议的</w:t>
      </w:r>
    </w:p>
    <w:p w14:paraId="75EFB7BF" w14:textId="1CE2A431" w:rsidR="00020294" w:rsidRDefault="00D114F7" w:rsidP="00D114F7">
      <w:pPr>
        <w:rPr>
          <w:rFonts w:eastAsia="SimSun"/>
          <w:snapToGrid w:val="0"/>
          <w:lang w:eastAsia="zh-CN"/>
        </w:rPr>
      </w:pPr>
      <w:r w:rsidRPr="00D114F7">
        <w:rPr>
          <w:rFonts w:eastAsia="SimSun" w:hint="eastAsia"/>
          <w:snapToGrid w:val="0"/>
          <w:sz w:val="24"/>
          <w:lang w:eastAsia="zh-CN"/>
        </w:rPr>
        <w:t>生物多样性公约缔约方大会</w:t>
      </w:r>
    </w:p>
    <w:p w14:paraId="4EDBE472" w14:textId="06B773E1" w:rsidR="008101FB" w:rsidRPr="00020294" w:rsidRDefault="008101FB" w:rsidP="00020294">
      <w:pPr>
        <w:suppressLineNumbers/>
        <w:suppressAutoHyphens/>
        <w:ind w:left="245" w:right="176" w:hanging="245"/>
        <w:jc w:val="left"/>
        <w:rPr>
          <w:rFonts w:eastAsia="SimSun"/>
          <w:snapToGrid w:val="0"/>
          <w:kern w:val="22"/>
          <w:sz w:val="24"/>
          <w:lang w:val="zh-CN" w:eastAsia="zh-CN"/>
        </w:rPr>
      </w:pPr>
      <w:r>
        <w:rPr>
          <w:rFonts w:eastAsia="SimSun" w:hint="eastAsia"/>
          <w:snapToGrid w:val="0"/>
          <w:kern w:val="22"/>
          <w:sz w:val="24"/>
          <w:lang w:val="zh-CN" w:eastAsia="zh-CN"/>
        </w:rPr>
        <w:t>第十次会议</w:t>
      </w:r>
      <w:r>
        <w:rPr>
          <w:rFonts w:eastAsia="SimSun" w:hint="eastAsia"/>
          <w:snapToGrid w:val="0"/>
          <w:kern w:val="22"/>
          <w:sz w:val="24"/>
          <w:lang w:val="zh-CN" w:eastAsia="zh-CN"/>
        </w:rPr>
        <w:t xml:space="preserve"> </w:t>
      </w:r>
      <w:r>
        <w:rPr>
          <w:rFonts w:eastAsia="SimSun"/>
          <w:snapToGrid w:val="0"/>
          <w:kern w:val="22"/>
          <w:sz w:val="24"/>
          <w:lang w:val="zh-CN" w:eastAsia="zh-CN"/>
        </w:rPr>
        <w:t xml:space="preserve">– </w:t>
      </w:r>
      <w:r>
        <w:rPr>
          <w:rFonts w:eastAsia="SimSun" w:hint="eastAsia"/>
          <w:snapToGrid w:val="0"/>
          <w:kern w:val="22"/>
          <w:sz w:val="24"/>
          <w:lang w:val="zh-CN" w:eastAsia="zh-CN"/>
        </w:rPr>
        <w:t>第二阶段会议</w:t>
      </w:r>
    </w:p>
    <w:p w14:paraId="52C04A05" w14:textId="086905D6" w:rsidR="0042763C" w:rsidRPr="00850D04" w:rsidRDefault="00020294" w:rsidP="00020294">
      <w:pPr>
        <w:pStyle w:val="Cornernotation"/>
        <w:kinsoku w:val="0"/>
        <w:overflowPunct w:val="0"/>
        <w:autoSpaceDE w:val="0"/>
        <w:autoSpaceDN w:val="0"/>
        <w:ind w:left="227" w:right="4075" w:hanging="227"/>
        <w:rPr>
          <w:rFonts w:eastAsia="SimSun"/>
          <w:snapToGrid w:val="0"/>
          <w:kern w:val="22"/>
          <w:sz w:val="24"/>
          <w:lang w:eastAsia="nb-NO"/>
        </w:rPr>
      </w:pPr>
      <w:r w:rsidRPr="00020294">
        <w:rPr>
          <w:rFonts w:eastAsia="SimSun"/>
          <w:snapToGrid w:val="0"/>
          <w:kern w:val="22"/>
          <w:sz w:val="24"/>
          <w:lang w:val="en-CA" w:eastAsia="zh-CN"/>
        </w:rPr>
        <w:t>2022</w:t>
      </w:r>
      <w:r w:rsidRPr="00020294">
        <w:rPr>
          <w:rFonts w:eastAsia="SimSun"/>
          <w:snapToGrid w:val="0"/>
          <w:kern w:val="22"/>
          <w:sz w:val="24"/>
          <w:lang w:val="en-CA" w:eastAsia="zh-CN"/>
        </w:rPr>
        <w:t>年</w:t>
      </w:r>
      <w:r w:rsidRPr="00020294">
        <w:rPr>
          <w:rFonts w:eastAsia="SimSun"/>
          <w:snapToGrid w:val="0"/>
          <w:kern w:val="22"/>
          <w:sz w:val="24"/>
          <w:lang w:val="en-CA" w:eastAsia="zh-CN"/>
        </w:rPr>
        <w:t>12</w:t>
      </w:r>
      <w:r w:rsidRPr="00020294">
        <w:rPr>
          <w:rFonts w:eastAsia="SimSun"/>
          <w:snapToGrid w:val="0"/>
          <w:kern w:val="22"/>
          <w:sz w:val="24"/>
          <w:lang w:val="en-CA" w:eastAsia="zh-CN"/>
        </w:rPr>
        <w:t>月</w:t>
      </w:r>
      <w:r w:rsidRPr="00020294">
        <w:rPr>
          <w:rFonts w:eastAsia="SimSun"/>
          <w:snapToGrid w:val="0"/>
          <w:kern w:val="22"/>
          <w:sz w:val="24"/>
          <w:lang w:val="en-CA" w:eastAsia="zh-CN"/>
        </w:rPr>
        <w:t>7</w:t>
      </w:r>
      <w:r w:rsidRPr="00020294">
        <w:rPr>
          <w:rFonts w:eastAsia="SimSun"/>
          <w:snapToGrid w:val="0"/>
          <w:kern w:val="22"/>
          <w:sz w:val="24"/>
          <w:lang w:val="en-CA" w:eastAsia="zh-CN"/>
        </w:rPr>
        <w:t>日至</w:t>
      </w:r>
      <w:r w:rsidRPr="00020294">
        <w:rPr>
          <w:rFonts w:eastAsia="SimSun"/>
          <w:snapToGrid w:val="0"/>
          <w:kern w:val="22"/>
          <w:sz w:val="24"/>
          <w:lang w:val="en-CA" w:eastAsia="zh-CN"/>
        </w:rPr>
        <w:t>19</w:t>
      </w:r>
      <w:r w:rsidRPr="00020294">
        <w:rPr>
          <w:rFonts w:eastAsia="SimSun"/>
          <w:snapToGrid w:val="0"/>
          <w:kern w:val="22"/>
          <w:sz w:val="24"/>
          <w:lang w:val="en-CA" w:eastAsia="zh-CN"/>
        </w:rPr>
        <w:t>日，加拿大蒙特利尔</w:t>
      </w:r>
    </w:p>
    <w:p w14:paraId="1923B0CF" w14:textId="713697C7" w:rsidR="0042763C" w:rsidRDefault="00620422" w:rsidP="0042763C">
      <w:pPr>
        <w:pStyle w:val="Cornernotation"/>
        <w:ind w:right="4784"/>
        <w:rPr>
          <w:rFonts w:eastAsia="SimSun"/>
          <w:sz w:val="24"/>
          <w:lang w:eastAsia="zh-CN"/>
        </w:rPr>
      </w:pPr>
      <w:r w:rsidRPr="00850D04">
        <w:rPr>
          <w:rFonts w:eastAsia="SimSun"/>
          <w:sz w:val="24"/>
          <w:lang w:eastAsia="zh-CN"/>
        </w:rPr>
        <w:t>议程项目</w:t>
      </w:r>
      <w:bookmarkEnd w:id="2"/>
      <w:r w:rsidR="00CA0D44">
        <w:rPr>
          <w:rFonts w:eastAsia="SimSun"/>
          <w:sz w:val="24"/>
          <w:lang w:eastAsia="zh-CN"/>
        </w:rPr>
        <w:t>1</w:t>
      </w:r>
      <w:r w:rsidR="00275482">
        <w:rPr>
          <w:rFonts w:eastAsia="SimSun"/>
          <w:sz w:val="24"/>
          <w:lang w:eastAsia="zh-CN"/>
        </w:rPr>
        <w:t>0</w:t>
      </w:r>
    </w:p>
    <w:p w14:paraId="691B9A4B" w14:textId="62FB1299" w:rsidR="00275482" w:rsidRDefault="00275482" w:rsidP="0042763C">
      <w:pPr>
        <w:pStyle w:val="Cornernotation"/>
        <w:ind w:right="4784"/>
        <w:rPr>
          <w:rFonts w:eastAsia="SimSun"/>
          <w:sz w:val="24"/>
          <w:lang w:eastAsia="zh-CN"/>
        </w:rPr>
      </w:pPr>
    </w:p>
    <w:p w14:paraId="1A3B4AE4" w14:textId="1D0CA05A" w:rsidR="00FA5293" w:rsidRDefault="00FA5293" w:rsidP="00275482">
      <w:pPr>
        <w:keepNext/>
        <w:spacing w:before="240" w:after="240" w:line="240" w:lineRule="atLeast"/>
        <w:jc w:val="center"/>
        <w:outlineLvl w:val="0"/>
        <w:rPr>
          <w:rFonts w:eastAsia="SimSun"/>
          <w:b/>
          <w:caps/>
          <w:snapToGrid w:val="0"/>
          <w:sz w:val="28"/>
          <w:szCs w:val="28"/>
          <w:lang w:eastAsia="zh-CN"/>
        </w:rPr>
      </w:pPr>
      <w:bookmarkStart w:id="4" w:name="_Toc118712008"/>
      <w:r w:rsidRPr="00FA5293">
        <w:rPr>
          <w:rFonts w:eastAsia="SimSun"/>
          <w:b/>
          <w:bCs/>
          <w:caps/>
          <w:snapToGrid w:val="0"/>
          <w:sz w:val="28"/>
          <w:szCs w:val="28"/>
          <w:lang w:eastAsia="zh-CN"/>
        </w:rPr>
        <w:t>卡塔赫纳生物安全议定书缔约方通过的决定</w:t>
      </w:r>
    </w:p>
    <w:p w14:paraId="120B7146" w14:textId="0F226280" w:rsidR="00275482" w:rsidRPr="00FA5293" w:rsidRDefault="00FA5293" w:rsidP="00275482">
      <w:pPr>
        <w:keepNext/>
        <w:spacing w:before="240" w:after="240" w:line="240" w:lineRule="atLeast"/>
        <w:jc w:val="center"/>
        <w:outlineLvl w:val="0"/>
        <w:rPr>
          <w:rFonts w:eastAsia="SimSun"/>
          <w:b/>
          <w:caps/>
          <w:snapToGrid w:val="0"/>
          <w:sz w:val="24"/>
          <w:lang w:eastAsia="zh-CN"/>
        </w:rPr>
      </w:pPr>
      <w:r>
        <w:rPr>
          <w:rFonts w:eastAsia="SimSun" w:hint="eastAsia"/>
          <w:b/>
          <w:caps/>
          <w:snapToGrid w:val="0"/>
          <w:sz w:val="24"/>
          <w:lang w:eastAsia="zh-CN"/>
        </w:rPr>
        <w:t>C</w:t>
      </w:r>
      <w:r>
        <w:rPr>
          <w:rFonts w:eastAsia="SimSun"/>
          <w:b/>
          <w:caps/>
          <w:snapToGrid w:val="0"/>
          <w:sz w:val="24"/>
          <w:lang w:eastAsia="zh-CN"/>
        </w:rPr>
        <w:t xml:space="preserve">P-10/6.  </w:t>
      </w:r>
      <w:r w:rsidR="00275482" w:rsidRPr="00FA5293">
        <w:rPr>
          <w:rFonts w:eastAsia="SimSun" w:hint="eastAsia"/>
          <w:b/>
          <w:caps/>
          <w:snapToGrid w:val="0"/>
          <w:sz w:val="24"/>
          <w:lang w:eastAsia="zh-CN"/>
        </w:rPr>
        <w:t>与财务机制和财政资源有关的事项（第</w:t>
      </w:r>
      <w:r w:rsidR="00275482" w:rsidRPr="00FA5293">
        <w:rPr>
          <w:rFonts w:eastAsia="SimSun" w:hint="eastAsia"/>
          <w:b/>
          <w:caps/>
          <w:snapToGrid w:val="0"/>
          <w:sz w:val="24"/>
          <w:lang w:eastAsia="zh-CN"/>
        </w:rPr>
        <w:t>28</w:t>
      </w:r>
      <w:r w:rsidR="00275482" w:rsidRPr="00FA5293">
        <w:rPr>
          <w:rFonts w:eastAsia="SimSun" w:hint="eastAsia"/>
          <w:b/>
          <w:caps/>
          <w:snapToGrid w:val="0"/>
          <w:sz w:val="24"/>
          <w:lang w:eastAsia="zh-CN"/>
        </w:rPr>
        <w:t>条）</w:t>
      </w:r>
      <w:bookmarkEnd w:id="4"/>
    </w:p>
    <w:p w14:paraId="169B8043" w14:textId="1A6C206C" w:rsidR="00275482" w:rsidRPr="00275482" w:rsidRDefault="00275482" w:rsidP="00275482">
      <w:pPr>
        <w:keepNext/>
        <w:spacing w:before="240" w:after="240" w:line="240" w:lineRule="atLeast"/>
        <w:ind w:firstLine="490"/>
        <w:outlineLvl w:val="0"/>
        <w:rPr>
          <w:rFonts w:ascii="KaiTi" w:eastAsia="KaiTi" w:hAnsi="KaiTi"/>
          <w:sz w:val="24"/>
          <w:lang w:eastAsia="zh-CN"/>
        </w:rPr>
      </w:pPr>
      <w:r w:rsidRPr="00275482">
        <w:rPr>
          <w:rFonts w:ascii="KaiTi" w:eastAsia="KaiTi" w:hAnsi="KaiTi"/>
          <w:sz w:val="24"/>
          <w:lang w:val="zh-CN" w:eastAsia="zh-CN"/>
        </w:rPr>
        <w:t>作为卡塔赫纳生物安全议定书缔约方会议的缔约方大会</w:t>
      </w:r>
    </w:p>
    <w:p w14:paraId="669444A2" w14:textId="14748CC3" w:rsidR="00275482" w:rsidRPr="00275482" w:rsidRDefault="00275482" w:rsidP="00275482">
      <w:pPr>
        <w:spacing w:before="120" w:after="120" w:line="240" w:lineRule="atLeast"/>
        <w:ind w:firstLine="490"/>
        <w:rPr>
          <w:rFonts w:eastAsia="SimSun"/>
          <w:sz w:val="24"/>
          <w:lang w:val="en-ZA" w:eastAsia="zh-CN"/>
        </w:rPr>
      </w:pPr>
      <w:r w:rsidRPr="00275482">
        <w:rPr>
          <w:rFonts w:eastAsia="SimSun"/>
          <w:sz w:val="24"/>
          <w:lang w:val="en-ZA" w:eastAsia="zh-CN"/>
        </w:rPr>
        <w:t>1.</w:t>
      </w:r>
      <w:r w:rsidRPr="00275482">
        <w:rPr>
          <w:rFonts w:eastAsia="SimSun"/>
          <w:i/>
          <w:iCs/>
          <w:sz w:val="24"/>
          <w:lang w:val="en-ZA" w:eastAsia="zh-CN"/>
        </w:rPr>
        <w:tab/>
      </w:r>
      <w:r w:rsidRPr="00275482">
        <w:rPr>
          <w:rFonts w:ascii="KaiTi" w:eastAsia="KaiTi" w:hAnsi="KaiTi"/>
          <w:sz w:val="24"/>
          <w:lang w:val="en-ZA" w:eastAsia="zh-CN"/>
        </w:rPr>
        <w:t>欢迎</w:t>
      </w:r>
      <w:r w:rsidRPr="00275482">
        <w:rPr>
          <w:rFonts w:eastAsia="SimSun"/>
          <w:sz w:val="24"/>
          <w:lang w:val="en-ZA" w:eastAsia="zh-CN"/>
        </w:rPr>
        <w:t>全球环境基金信托基金的</w:t>
      </w:r>
      <w:r w:rsidRPr="00275482">
        <w:rPr>
          <w:rFonts w:eastAsia="SimSun"/>
          <w:sz w:val="24"/>
          <w:lang w:val="zh-CN" w:eastAsia="zh-CN"/>
        </w:rPr>
        <w:t>第八次</w:t>
      </w:r>
      <w:r w:rsidRPr="00275482">
        <w:rPr>
          <w:rFonts w:eastAsia="SimSun"/>
          <w:sz w:val="24"/>
          <w:lang w:val="en-ZA" w:eastAsia="zh-CN"/>
        </w:rPr>
        <w:t>增资及其方案规划方针以及由此</w:t>
      </w:r>
      <w:r w:rsidRPr="00275482">
        <w:rPr>
          <w:rFonts w:eastAsia="SimSun" w:hint="eastAsia"/>
          <w:sz w:val="24"/>
          <w:lang w:val="en-ZA" w:eastAsia="zh-CN"/>
        </w:rPr>
        <w:t>在</w:t>
      </w:r>
      <w:r w:rsidRPr="00275482">
        <w:rPr>
          <w:rFonts w:eastAsia="SimSun"/>
          <w:sz w:val="24"/>
          <w:lang w:val="en-ZA" w:eastAsia="zh-CN"/>
        </w:rPr>
        <w:t>执行《</w:t>
      </w:r>
      <w:r w:rsidR="00FA5293">
        <w:rPr>
          <w:rFonts w:eastAsia="SimSun"/>
          <w:sz w:val="24"/>
          <w:lang w:val="en-ZA" w:eastAsia="zh-CN"/>
        </w:rPr>
        <w:t>卡塔赫纳生物安全议定书</w:t>
      </w:r>
      <w:r w:rsidRPr="00275482">
        <w:rPr>
          <w:rFonts w:eastAsia="SimSun"/>
          <w:sz w:val="24"/>
          <w:lang w:val="en-ZA" w:eastAsia="zh-CN"/>
        </w:rPr>
        <w:t>》方面向缔约方提供的支持；</w:t>
      </w:r>
    </w:p>
    <w:p w14:paraId="6119E0D4" w14:textId="136B4DE3" w:rsidR="00275482" w:rsidRPr="00275482" w:rsidRDefault="00275482" w:rsidP="00275482">
      <w:pPr>
        <w:spacing w:before="120" w:after="120" w:line="240" w:lineRule="atLeast"/>
        <w:ind w:firstLine="490"/>
        <w:rPr>
          <w:rFonts w:eastAsia="SimSun"/>
          <w:sz w:val="24"/>
          <w:lang w:val="en-ZA" w:eastAsia="zh-CN"/>
        </w:rPr>
      </w:pPr>
      <w:r w:rsidRPr="00275482">
        <w:rPr>
          <w:rFonts w:eastAsia="SimSun"/>
          <w:sz w:val="24"/>
          <w:lang w:val="en-ZA" w:eastAsia="zh-CN"/>
        </w:rPr>
        <w:t>2</w:t>
      </w:r>
      <w:r w:rsidRPr="00275482">
        <w:rPr>
          <w:rFonts w:eastAsia="SimSun"/>
          <w:i/>
          <w:iCs/>
          <w:sz w:val="24"/>
          <w:lang w:val="en-ZA" w:eastAsia="zh-CN"/>
        </w:rPr>
        <w:t>.</w:t>
      </w:r>
      <w:r w:rsidRPr="00275482">
        <w:rPr>
          <w:rFonts w:eastAsia="SimSun"/>
          <w:i/>
          <w:iCs/>
          <w:sz w:val="24"/>
          <w:lang w:val="en-ZA" w:eastAsia="zh-CN"/>
        </w:rPr>
        <w:tab/>
      </w:r>
      <w:r w:rsidRPr="00275482">
        <w:rPr>
          <w:rFonts w:ascii="KaiTi" w:eastAsia="KaiTi" w:hAnsi="KaiTi"/>
          <w:sz w:val="24"/>
          <w:lang w:val="en-ZA" w:eastAsia="zh-CN"/>
        </w:rPr>
        <w:t>关切地注意到</w:t>
      </w:r>
      <w:r w:rsidRPr="00275482">
        <w:rPr>
          <w:rFonts w:eastAsia="SimSun"/>
          <w:sz w:val="24"/>
          <w:lang w:val="zh-CN" w:eastAsia="zh-CN"/>
        </w:rPr>
        <w:t>在全球环境基金信托基金第七次增资期间提交的支持《卡塔赫纳议定书》执行工作的项目很少；</w:t>
      </w:r>
    </w:p>
    <w:p w14:paraId="38D30706" w14:textId="41A3F850" w:rsidR="00275482" w:rsidRPr="00275482" w:rsidRDefault="00275482" w:rsidP="00275482">
      <w:pPr>
        <w:spacing w:before="120" w:after="120" w:line="240" w:lineRule="atLeast"/>
        <w:ind w:firstLine="490"/>
        <w:rPr>
          <w:rFonts w:eastAsia="SimSun"/>
          <w:sz w:val="24"/>
          <w:lang w:eastAsia="zh-CN"/>
        </w:rPr>
      </w:pPr>
      <w:r w:rsidRPr="00275482">
        <w:rPr>
          <w:rFonts w:eastAsia="SimSun"/>
          <w:sz w:val="24"/>
          <w:lang w:eastAsia="zh-CN"/>
        </w:rPr>
        <w:t>3.</w:t>
      </w:r>
      <w:r w:rsidRPr="00275482">
        <w:rPr>
          <w:rFonts w:eastAsia="SimSun"/>
          <w:i/>
          <w:iCs/>
          <w:sz w:val="24"/>
          <w:lang w:eastAsia="zh-CN"/>
        </w:rPr>
        <w:tab/>
      </w:r>
      <w:r w:rsidRPr="00275482">
        <w:rPr>
          <w:rFonts w:ascii="KaiTi" w:eastAsia="KaiTi" w:hAnsi="KaiTi"/>
          <w:sz w:val="24"/>
          <w:lang w:val="zh-CN" w:eastAsia="zh-CN"/>
        </w:rPr>
        <w:t>建议</w:t>
      </w:r>
      <w:r w:rsidRPr="00275482">
        <w:rPr>
          <w:rFonts w:eastAsia="SimSun"/>
          <w:sz w:val="24"/>
          <w:lang w:val="zh-CN" w:eastAsia="zh-CN"/>
        </w:rPr>
        <w:t>缔约方大会在通过其就支持《</w:t>
      </w:r>
      <w:r w:rsidR="00FA5293">
        <w:rPr>
          <w:rFonts w:eastAsia="SimSun"/>
          <w:sz w:val="24"/>
          <w:lang w:val="zh-CN" w:eastAsia="zh-CN"/>
        </w:rPr>
        <w:t>卡塔赫纳生物安全议定书</w:t>
      </w:r>
      <w:r w:rsidRPr="00275482">
        <w:rPr>
          <w:rFonts w:eastAsia="SimSun"/>
          <w:sz w:val="24"/>
          <w:lang w:val="zh-CN" w:eastAsia="zh-CN"/>
        </w:rPr>
        <w:t>》的执行问题给全球环境基金的指导时请全球环境基金：</w:t>
      </w:r>
    </w:p>
    <w:p w14:paraId="12C13B23" w14:textId="728E2E98" w:rsidR="00275482" w:rsidRDefault="00275482" w:rsidP="00275482">
      <w:pPr>
        <w:spacing w:before="120" w:after="120" w:line="240" w:lineRule="atLeast"/>
        <w:ind w:firstLine="490"/>
        <w:rPr>
          <w:rFonts w:eastAsia="SimSun"/>
          <w:sz w:val="24"/>
          <w:lang w:val="zh-CN" w:eastAsia="zh-CN"/>
        </w:rPr>
      </w:pPr>
      <w:r w:rsidRPr="00275482">
        <w:rPr>
          <w:rFonts w:eastAsia="SimSun"/>
          <w:sz w:val="24"/>
          <w:lang w:eastAsia="zh-CN"/>
        </w:rPr>
        <w:t>(a)</w:t>
      </w:r>
      <w:r w:rsidRPr="00275482">
        <w:rPr>
          <w:rFonts w:eastAsia="SimSun"/>
          <w:sz w:val="24"/>
          <w:lang w:eastAsia="zh-CN"/>
        </w:rPr>
        <w:tab/>
      </w:r>
      <w:r w:rsidRPr="00275482">
        <w:rPr>
          <w:rFonts w:eastAsia="SimSun" w:hint="eastAsia"/>
          <w:sz w:val="24"/>
          <w:lang w:val="zh-CN" w:eastAsia="zh-CN"/>
        </w:rPr>
        <w:t>加强专门针对《卡塔赫纳生物安全议定书》的供资方案，支持符合条件的缔约方执行《议定书》</w:t>
      </w:r>
      <w:r w:rsidR="00FA5293" w:rsidRPr="00FA5293">
        <w:rPr>
          <w:rFonts w:eastAsia="SimSun" w:hint="eastAsia"/>
          <w:sz w:val="24"/>
          <w:lang w:val="zh-CN" w:eastAsia="zh-CN"/>
        </w:rPr>
        <w:t>以及卡塔赫纳生物安全议定书执行计划</w:t>
      </w:r>
      <w:r w:rsidR="00FA5293" w:rsidRPr="00FA5293">
        <w:rPr>
          <w:rFonts w:eastAsia="SimSun"/>
          <w:sz w:val="24"/>
          <w:vertAlign w:val="superscript"/>
          <w:lang w:val="zh-CN" w:eastAsia="zh-CN"/>
        </w:rPr>
        <w:footnoteReference w:id="1"/>
      </w:r>
      <w:r w:rsidR="00FA5293" w:rsidRPr="00FA5293">
        <w:rPr>
          <w:rFonts w:eastAsia="SimSun" w:hint="eastAsia"/>
          <w:sz w:val="24"/>
          <w:lang w:val="zh-CN" w:eastAsia="zh-CN"/>
        </w:rPr>
        <w:t>和卡塔赫纳生物安全议定书能力建设计划</w:t>
      </w:r>
      <w:r w:rsidR="00FA5293" w:rsidRPr="00FA5293">
        <w:rPr>
          <w:rFonts w:eastAsia="SimSun"/>
          <w:sz w:val="24"/>
          <w:vertAlign w:val="superscript"/>
          <w:lang w:val="zh-CN" w:eastAsia="zh-CN"/>
        </w:rPr>
        <w:footnoteReference w:id="2"/>
      </w:r>
      <w:r w:rsidRPr="00275482">
        <w:rPr>
          <w:rFonts w:eastAsia="SimSun" w:hint="eastAsia"/>
          <w:sz w:val="24"/>
          <w:lang w:val="zh-CN" w:eastAsia="zh-CN"/>
        </w:rPr>
        <w:t>；</w:t>
      </w:r>
    </w:p>
    <w:p w14:paraId="419BE519" w14:textId="73C7755B" w:rsidR="00020294" w:rsidRDefault="00020294" w:rsidP="00275482">
      <w:pPr>
        <w:spacing w:before="120" w:after="120" w:line="240" w:lineRule="atLeast"/>
        <w:ind w:firstLine="490"/>
        <w:rPr>
          <w:rFonts w:eastAsia="SimSun"/>
          <w:sz w:val="24"/>
          <w:lang w:val="zh-CN" w:eastAsia="zh-CN"/>
        </w:rPr>
      </w:pPr>
      <w:r>
        <w:rPr>
          <w:rFonts w:eastAsia="SimSun" w:hint="eastAsia"/>
          <w:sz w:val="24"/>
          <w:lang w:val="zh-CN" w:eastAsia="zh-CN"/>
        </w:rPr>
        <w:t>(</w:t>
      </w:r>
      <w:r>
        <w:rPr>
          <w:rFonts w:eastAsia="SimSun"/>
          <w:sz w:val="24"/>
          <w:lang w:val="zh-CN" w:eastAsia="zh-CN"/>
        </w:rPr>
        <w:t>b)</w:t>
      </w:r>
      <w:r>
        <w:rPr>
          <w:rFonts w:eastAsia="SimSun"/>
          <w:sz w:val="24"/>
          <w:lang w:val="zh-CN" w:eastAsia="zh-CN"/>
        </w:rPr>
        <w:tab/>
      </w:r>
      <w:r>
        <w:rPr>
          <w:rFonts w:eastAsia="SimSun" w:hint="eastAsia"/>
          <w:sz w:val="24"/>
          <w:lang w:val="zh-CN" w:eastAsia="zh-CN"/>
        </w:rPr>
        <w:t>改进和简化为《卡塔赫纳生物安全议定书》获得其资金的方式，以资助符合条件的缔约方实施</w:t>
      </w:r>
      <w:r w:rsidR="00FA5293">
        <w:rPr>
          <w:rFonts w:eastAsia="SimSun" w:hint="eastAsia"/>
          <w:sz w:val="24"/>
          <w:lang w:val="zh-CN" w:eastAsia="zh-CN"/>
        </w:rPr>
        <w:t>《议定书》</w:t>
      </w:r>
      <w:bookmarkStart w:id="5" w:name="_Hlk127888297"/>
      <w:r w:rsidR="00FA5293">
        <w:rPr>
          <w:rFonts w:eastAsia="SimSun" w:hint="eastAsia"/>
          <w:sz w:val="24"/>
          <w:lang w:val="zh-CN" w:eastAsia="zh-CN"/>
        </w:rPr>
        <w:t>以及</w:t>
      </w:r>
      <w:r>
        <w:rPr>
          <w:rFonts w:eastAsia="SimSun" w:hint="eastAsia"/>
          <w:sz w:val="24"/>
          <w:lang w:val="zh-CN" w:eastAsia="zh-CN"/>
        </w:rPr>
        <w:t>执行计划和能力建设计划</w:t>
      </w:r>
      <w:bookmarkEnd w:id="5"/>
      <w:r w:rsidR="00FA5293">
        <w:rPr>
          <w:rFonts w:eastAsia="SimSun" w:hint="eastAsia"/>
          <w:sz w:val="24"/>
          <w:lang w:val="zh-CN" w:eastAsia="zh-CN"/>
        </w:rPr>
        <w:t>；</w:t>
      </w:r>
    </w:p>
    <w:p w14:paraId="279C4C7D" w14:textId="1B0548FD" w:rsidR="00275482" w:rsidRPr="00275482" w:rsidRDefault="00275482" w:rsidP="00275482">
      <w:pPr>
        <w:spacing w:before="120" w:after="120" w:line="240" w:lineRule="atLeast"/>
        <w:ind w:firstLine="490"/>
        <w:rPr>
          <w:rFonts w:eastAsia="SimSun"/>
          <w:sz w:val="24"/>
          <w:lang w:eastAsia="zh-CN"/>
        </w:rPr>
      </w:pPr>
      <w:r>
        <w:rPr>
          <w:rFonts w:eastAsia="SimSun" w:hint="eastAsia"/>
          <w:sz w:val="24"/>
          <w:lang w:eastAsia="zh-CN"/>
        </w:rPr>
        <w:t>(</w:t>
      </w:r>
      <w:r w:rsidR="00020294">
        <w:rPr>
          <w:rFonts w:eastAsia="SimSun"/>
          <w:sz w:val="24"/>
          <w:lang w:eastAsia="zh-CN"/>
        </w:rPr>
        <w:t>c</w:t>
      </w:r>
      <w:r>
        <w:rPr>
          <w:rFonts w:eastAsia="SimSun"/>
          <w:sz w:val="24"/>
          <w:lang w:eastAsia="zh-CN"/>
        </w:rPr>
        <w:t xml:space="preserve">)    </w:t>
      </w:r>
      <w:r w:rsidRPr="00275482">
        <w:rPr>
          <w:rFonts w:eastAsia="SimSun" w:hint="eastAsia"/>
          <w:sz w:val="24"/>
          <w:lang w:eastAsia="zh-CN"/>
        </w:rPr>
        <w:t>继续及时提供资金，支持符合条件的缔约方编写和提交</w:t>
      </w:r>
      <w:r w:rsidR="00FA5293">
        <w:rPr>
          <w:rFonts w:eastAsia="SimSun" w:hint="eastAsia"/>
          <w:sz w:val="24"/>
          <w:lang w:eastAsia="zh-CN"/>
        </w:rPr>
        <w:t>《卡塔赫纳议定书》下的</w:t>
      </w:r>
      <w:r w:rsidRPr="00275482">
        <w:rPr>
          <w:rFonts w:eastAsia="SimSun" w:hint="eastAsia"/>
          <w:sz w:val="24"/>
          <w:lang w:eastAsia="zh-CN"/>
        </w:rPr>
        <w:t>第五次国家报告</w:t>
      </w:r>
      <w:r>
        <w:rPr>
          <w:rFonts w:eastAsia="SimSun" w:hint="eastAsia"/>
          <w:sz w:val="24"/>
          <w:lang w:eastAsia="zh-CN"/>
        </w:rPr>
        <w:t>；</w:t>
      </w:r>
    </w:p>
    <w:p w14:paraId="1A066BE8" w14:textId="3C6CEABE" w:rsidR="00275482" w:rsidRPr="00275482" w:rsidRDefault="00275482" w:rsidP="00275482">
      <w:pPr>
        <w:spacing w:before="120" w:after="120" w:line="240" w:lineRule="atLeast"/>
        <w:ind w:firstLine="490"/>
        <w:rPr>
          <w:rFonts w:eastAsia="SimSun"/>
          <w:sz w:val="24"/>
          <w:lang w:eastAsia="zh-CN"/>
        </w:rPr>
      </w:pPr>
      <w:r w:rsidRPr="00275482">
        <w:rPr>
          <w:rFonts w:eastAsia="SimSun"/>
          <w:sz w:val="24"/>
          <w:lang w:eastAsia="zh-CN"/>
        </w:rPr>
        <w:t>(</w:t>
      </w:r>
      <w:r w:rsidR="00020294">
        <w:rPr>
          <w:rFonts w:eastAsia="SimSun"/>
          <w:sz w:val="24"/>
          <w:lang w:eastAsia="zh-CN"/>
        </w:rPr>
        <w:t>d</w:t>
      </w:r>
      <w:r w:rsidRPr="00275482">
        <w:rPr>
          <w:rFonts w:eastAsia="SimSun"/>
          <w:sz w:val="24"/>
          <w:lang w:eastAsia="zh-CN"/>
        </w:rPr>
        <w:t>)</w:t>
      </w:r>
      <w:r w:rsidRPr="00275482">
        <w:rPr>
          <w:rFonts w:eastAsia="SimSun"/>
          <w:sz w:val="24"/>
          <w:lang w:eastAsia="zh-CN"/>
        </w:rPr>
        <w:tab/>
      </w:r>
      <w:r w:rsidR="00144070" w:rsidRPr="00144070">
        <w:rPr>
          <w:rFonts w:eastAsia="SimSun" w:hint="eastAsia"/>
          <w:sz w:val="24"/>
          <w:lang w:eastAsia="zh-CN"/>
        </w:rPr>
        <w:t>继续协助符合条件的缔约方在以下领域开展活动</w:t>
      </w:r>
      <w:r w:rsidR="00144070">
        <w:rPr>
          <w:rFonts w:eastAsia="SimSun" w:hint="eastAsia"/>
          <w:sz w:val="24"/>
          <w:lang w:eastAsia="zh-CN"/>
        </w:rPr>
        <w:t>：</w:t>
      </w:r>
      <w:r w:rsidR="00144070" w:rsidRPr="00144070">
        <w:rPr>
          <w:rFonts w:eastAsia="SimSun" w:hint="eastAsia"/>
          <w:sz w:val="24"/>
          <w:lang w:eastAsia="zh-CN"/>
        </w:rPr>
        <w:t>制定和实施法律、行政和其他措施以执行《议定书》；风险评估和风险管理；改性活生物体的检测和</w:t>
      </w:r>
      <w:r w:rsidR="00144070">
        <w:rPr>
          <w:rFonts w:eastAsia="SimSun" w:hint="eastAsia"/>
          <w:sz w:val="24"/>
          <w:lang w:eastAsia="zh-CN"/>
        </w:rPr>
        <w:t>识别</w:t>
      </w:r>
      <w:r w:rsidR="00144070" w:rsidRPr="00144070">
        <w:rPr>
          <w:rFonts w:eastAsia="SimSun" w:hint="eastAsia"/>
          <w:sz w:val="24"/>
          <w:lang w:eastAsia="zh-CN"/>
        </w:rPr>
        <w:t>；公众意识、</w:t>
      </w:r>
      <w:r w:rsidR="00144070" w:rsidRPr="00144070">
        <w:rPr>
          <w:rFonts w:eastAsia="SimSun" w:hint="eastAsia"/>
          <w:sz w:val="24"/>
          <w:lang w:eastAsia="zh-CN"/>
        </w:rPr>
        <w:lastRenderedPageBreak/>
        <w:t>教育和参与；社会</w:t>
      </w:r>
      <w:r w:rsidR="00144070">
        <w:rPr>
          <w:rFonts w:eastAsia="SimSun" w:hint="eastAsia"/>
          <w:sz w:val="24"/>
          <w:lang w:eastAsia="zh-CN"/>
        </w:rPr>
        <w:t>-</w:t>
      </w:r>
      <w:r w:rsidR="00144070" w:rsidRPr="00144070">
        <w:rPr>
          <w:rFonts w:eastAsia="SimSun" w:hint="eastAsia"/>
          <w:sz w:val="24"/>
          <w:lang w:eastAsia="zh-CN"/>
        </w:rPr>
        <w:t>经济因素；</w:t>
      </w:r>
      <w:r w:rsidR="00144070">
        <w:rPr>
          <w:rFonts w:eastAsia="SimSun" w:hint="eastAsia"/>
          <w:sz w:val="24"/>
          <w:lang w:eastAsia="zh-CN"/>
        </w:rPr>
        <w:t>赔偿</w:t>
      </w:r>
      <w:r w:rsidR="00144070" w:rsidRPr="00144070">
        <w:rPr>
          <w:rFonts w:eastAsia="SimSun" w:hint="eastAsia"/>
          <w:sz w:val="24"/>
          <w:lang w:eastAsia="zh-CN"/>
        </w:rPr>
        <w:t>责任和补救；国家报告；信息共享和生物安全信息交换所；知识和技术转让；</w:t>
      </w:r>
      <w:r w:rsidR="00144070">
        <w:rPr>
          <w:rFonts w:eastAsia="SimSun" w:hint="eastAsia"/>
          <w:sz w:val="24"/>
          <w:lang w:eastAsia="zh-CN"/>
        </w:rPr>
        <w:t>执行履约</w:t>
      </w:r>
      <w:r w:rsidR="00144070" w:rsidRPr="00144070">
        <w:rPr>
          <w:rFonts w:eastAsia="SimSun" w:hint="eastAsia"/>
          <w:sz w:val="24"/>
          <w:lang w:eastAsia="zh-CN"/>
        </w:rPr>
        <w:t>行动计划实现遵守《议定书》</w:t>
      </w:r>
      <w:r w:rsidRPr="00275482">
        <w:rPr>
          <w:rFonts w:eastAsia="SimSun"/>
          <w:sz w:val="24"/>
          <w:lang w:val="zh-CN" w:eastAsia="zh-CN"/>
        </w:rPr>
        <w:t>；</w:t>
      </w:r>
    </w:p>
    <w:p w14:paraId="0818FCB3" w14:textId="4880E1AC" w:rsidR="00020294" w:rsidRPr="00020294" w:rsidRDefault="00275482" w:rsidP="00275482">
      <w:pPr>
        <w:spacing w:before="120" w:after="120" w:line="240" w:lineRule="atLeast"/>
        <w:ind w:firstLine="490"/>
        <w:rPr>
          <w:rFonts w:eastAsia="SimSun"/>
          <w:snapToGrid w:val="0"/>
          <w:kern w:val="22"/>
          <w:sz w:val="24"/>
          <w:lang w:eastAsia="zh-CN"/>
        </w:rPr>
      </w:pPr>
      <w:r w:rsidRPr="00275482">
        <w:rPr>
          <w:rFonts w:eastAsia="SimSun"/>
          <w:snapToGrid w:val="0"/>
          <w:kern w:val="22"/>
          <w:sz w:val="24"/>
          <w:lang w:eastAsia="zh-CN"/>
        </w:rPr>
        <w:t>4.</w:t>
      </w:r>
      <w:r w:rsidRPr="00275482">
        <w:rPr>
          <w:rFonts w:eastAsia="SimSun"/>
          <w:i/>
          <w:iCs/>
          <w:snapToGrid w:val="0"/>
          <w:kern w:val="22"/>
          <w:sz w:val="24"/>
          <w:lang w:eastAsia="zh-CN"/>
        </w:rPr>
        <w:tab/>
      </w:r>
      <w:r w:rsidR="00020294" w:rsidRPr="00020294">
        <w:rPr>
          <w:rFonts w:ascii="KaiTi" w:eastAsia="KaiTi" w:hAnsi="KaiTi" w:hint="eastAsia"/>
          <w:snapToGrid w:val="0"/>
          <w:kern w:val="22"/>
          <w:sz w:val="24"/>
          <w:lang w:eastAsia="zh-CN"/>
        </w:rPr>
        <w:t>邀请</w:t>
      </w:r>
      <w:r w:rsidR="00020294">
        <w:rPr>
          <w:rFonts w:eastAsia="SimSun" w:hint="eastAsia"/>
          <w:snapToGrid w:val="0"/>
          <w:kern w:val="22"/>
          <w:sz w:val="24"/>
          <w:lang w:eastAsia="zh-CN"/>
        </w:rPr>
        <w:t>全球环境基金理事会审查有无可能特别为《卡塔赫纳生物安全议定书》设立一项专用资金</w:t>
      </w:r>
      <w:r w:rsidR="00020294">
        <w:rPr>
          <w:rFonts w:eastAsia="SimSun" w:hint="eastAsia"/>
          <w:snapToGrid w:val="0"/>
          <w:kern w:val="22"/>
          <w:sz w:val="24"/>
          <w:lang w:eastAsia="zh-CN"/>
        </w:rPr>
        <w:t xml:space="preserve"> </w:t>
      </w:r>
      <w:r w:rsidR="00020294">
        <w:rPr>
          <w:rFonts w:eastAsia="SimSun" w:hint="eastAsia"/>
          <w:snapToGrid w:val="0"/>
          <w:kern w:val="22"/>
          <w:sz w:val="24"/>
          <w:lang w:eastAsia="zh-CN"/>
        </w:rPr>
        <w:t>；</w:t>
      </w:r>
    </w:p>
    <w:p w14:paraId="036673FC" w14:textId="6DA85E9D" w:rsidR="00275482" w:rsidRPr="00275482" w:rsidRDefault="00020294" w:rsidP="00275482">
      <w:pPr>
        <w:spacing w:before="120" w:after="120" w:line="240" w:lineRule="atLeast"/>
        <w:ind w:firstLine="490"/>
        <w:rPr>
          <w:rFonts w:eastAsia="SimSun"/>
          <w:snapToGrid w:val="0"/>
          <w:kern w:val="22"/>
          <w:sz w:val="24"/>
          <w:lang w:eastAsia="zh-CN"/>
        </w:rPr>
      </w:pPr>
      <w:r w:rsidRPr="00020294">
        <w:rPr>
          <w:rFonts w:eastAsia="KaiTi"/>
          <w:snapToGrid w:val="0"/>
          <w:kern w:val="22"/>
          <w:sz w:val="24"/>
          <w:lang w:val="zh-CN" w:eastAsia="zh-CN"/>
        </w:rPr>
        <w:t>5.</w:t>
      </w:r>
      <w:r w:rsidRPr="00020294">
        <w:rPr>
          <w:rFonts w:eastAsia="KaiTi"/>
          <w:snapToGrid w:val="0"/>
          <w:kern w:val="22"/>
          <w:sz w:val="24"/>
          <w:lang w:val="zh-CN" w:eastAsia="zh-CN"/>
        </w:rPr>
        <w:tab/>
      </w:r>
      <w:r w:rsidR="00275482" w:rsidRPr="00020294">
        <w:rPr>
          <w:rFonts w:eastAsia="KaiTi"/>
          <w:snapToGrid w:val="0"/>
          <w:kern w:val="22"/>
          <w:sz w:val="24"/>
          <w:lang w:val="zh-CN" w:eastAsia="zh-CN"/>
        </w:rPr>
        <w:t>敦促</w:t>
      </w:r>
      <w:r w:rsidR="00275482" w:rsidRPr="00020294">
        <w:rPr>
          <w:rFonts w:eastAsia="SimSun"/>
          <w:snapToGrid w:val="0"/>
          <w:kern w:val="22"/>
          <w:sz w:val="24"/>
          <w:lang w:val="zh-CN" w:eastAsia="zh-CN"/>
        </w:rPr>
        <w:t>同时也是《</w:t>
      </w:r>
      <w:r w:rsidR="00FA5293">
        <w:rPr>
          <w:rFonts w:eastAsia="SimSun"/>
          <w:snapToGrid w:val="0"/>
          <w:kern w:val="22"/>
          <w:sz w:val="24"/>
          <w:lang w:val="zh-CN" w:eastAsia="zh-CN"/>
        </w:rPr>
        <w:t>卡塔赫纳生物安全议定书</w:t>
      </w:r>
      <w:r w:rsidR="00275482" w:rsidRPr="00020294">
        <w:rPr>
          <w:rFonts w:eastAsia="SimSun"/>
          <w:snapToGrid w:val="0"/>
          <w:kern w:val="22"/>
          <w:sz w:val="24"/>
          <w:lang w:val="zh-CN" w:eastAsia="zh-CN"/>
        </w:rPr>
        <w:t>》缔约方的《公约》缔约方</w:t>
      </w:r>
      <w:r w:rsidR="002B49D9">
        <w:rPr>
          <w:rFonts w:eastAsia="SimSun" w:hint="eastAsia"/>
          <w:snapToGrid w:val="0"/>
          <w:kern w:val="22"/>
          <w:sz w:val="24"/>
          <w:lang w:val="zh-CN" w:eastAsia="zh-CN"/>
        </w:rPr>
        <w:t>考虑到卡塔赫纳生物安全议定书</w:t>
      </w:r>
      <w:r w:rsidR="00275482" w:rsidRPr="00275482">
        <w:rPr>
          <w:rFonts w:eastAsia="SimSun"/>
          <w:snapToGrid w:val="0"/>
          <w:kern w:val="22"/>
          <w:sz w:val="24"/>
          <w:lang w:val="zh-CN" w:eastAsia="zh-CN"/>
        </w:rPr>
        <w:t>执行计划</w:t>
      </w:r>
      <w:r w:rsidR="002B49D9">
        <w:rPr>
          <w:rFonts w:eastAsia="SimSun" w:hint="eastAsia"/>
          <w:snapToGrid w:val="0"/>
          <w:kern w:val="22"/>
          <w:sz w:val="24"/>
          <w:lang w:val="zh-CN" w:eastAsia="zh-CN"/>
        </w:rPr>
        <w:t>、卡塔赫纳生物安全议定书</w:t>
      </w:r>
      <w:r w:rsidR="00275482" w:rsidRPr="00275482">
        <w:rPr>
          <w:rFonts w:eastAsia="SimSun"/>
          <w:snapToGrid w:val="0"/>
          <w:kern w:val="22"/>
          <w:sz w:val="24"/>
          <w:lang w:val="zh-CN" w:eastAsia="zh-CN"/>
        </w:rPr>
        <w:t>能力建设行动计划</w:t>
      </w:r>
      <w:r w:rsidR="002B49D9">
        <w:rPr>
          <w:rFonts w:eastAsia="SimSun" w:hint="eastAsia"/>
          <w:snapToGrid w:val="0"/>
          <w:kern w:val="22"/>
          <w:sz w:val="24"/>
          <w:lang w:val="zh-CN" w:eastAsia="zh-CN"/>
        </w:rPr>
        <w:t>、自己在《卡塔赫纳生物安全议定书》下承担的义务</w:t>
      </w:r>
      <w:r w:rsidR="00275482" w:rsidRPr="00275482">
        <w:rPr>
          <w:rFonts w:eastAsia="SimSun"/>
          <w:snapToGrid w:val="0"/>
          <w:kern w:val="22"/>
          <w:sz w:val="24"/>
          <w:lang w:val="zh-CN" w:eastAsia="zh-CN"/>
        </w:rPr>
        <w:t>以及缔约方大会给全球环境基金的指导，在</w:t>
      </w:r>
      <w:r w:rsidR="00275482" w:rsidRPr="00275482">
        <w:rPr>
          <w:rFonts w:eastAsia="SimSun" w:hint="eastAsia"/>
          <w:snapToGrid w:val="0"/>
          <w:kern w:val="22"/>
          <w:sz w:val="24"/>
          <w:lang w:val="zh-CN" w:eastAsia="zh-CN"/>
        </w:rPr>
        <w:t>使用</w:t>
      </w:r>
      <w:r w:rsidR="00275482" w:rsidRPr="00275482">
        <w:rPr>
          <w:rFonts w:eastAsia="SimSun"/>
          <w:snapToGrid w:val="0"/>
          <w:kern w:val="22"/>
          <w:sz w:val="24"/>
          <w:lang w:val="zh-CN" w:eastAsia="zh-CN"/>
        </w:rPr>
        <w:t>全球环境基金信托基金第八次增资期间</w:t>
      </w:r>
      <w:r w:rsidR="00275482" w:rsidRPr="00275482">
        <w:rPr>
          <w:rFonts w:eastAsia="SimSun" w:hint="eastAsia"/>
          <w:snapToGrid w:val="0"/>
          <w:kern w:val="22"/>
          <w:sz w:val="24"/>
          <w:lang w:val="zh-CN" w:eastAsia="zh-CN"/>
        </w:rPr>
        <w:t>的</w:t>
      </w:r>
      <w:r w:rsidR="00275482" w:rsidRPr="00275482">
        <w:rPr>
          <w:rFonts w:eastAsia="SimSun"/>
          <w:snapToGrid w:val="0"/>
          <w:kern w:val="22"/>
          <w:sz w:val="24"/>
          <w:lang w:val="zh-CN" w:eastAsia="zh-CN"/>
        </w:rPr>
        <w:t>资金透明分配系统对其分配的资金时把生物安全项目包括在内；</w:t>
      </w:r>
    </w:p>
    <w:p w14:paraId="0C7C2FB7" w14:textId="7DB0A8F0" w:rsidR="00275482" w:rsidRDefault="00020294" w:rsidP="00144070">
      <w:pPr>
        <w:spacing w:before="120" w:after="120" w:line="240" w:lineRule="atLeast"/>
        <w:ind w:firstLine="490"/>
        <w:rPr>
          <w:rFonts w:eastAsia="SimSun"/>
          <w:sz w:val="24"/>
          <w:lang w:val="zh-CN" w:eastAsia="zh-CN"/>
        </w:rPr>
      </w:pPr>
      <w:r>
        <w:rPr>
          <w:rFonts w:eastAsia="SimSun"/>
          <w:sz w:val="24"/>
          <w:lang w:eastAsia="zh-CN"/>
        </w:rPr>
        <w:t>6</w:t>
      </w:r>
      <w:r w:rsidR="00275482" w:rsidRPr="00275482">
        <w:rPr>
          <w:rFonts w:eastAsia="SimSun"/>
          <w:sz w:val="24"/>
          <w:lang w:eastAsia="zh-CN"/>
        </w:rPr>
        <w:t>.</w:t>
      </w:r>
      <w:r w:rsidR="00275482" w:rsidRPr="00275482">
        <w:rPr>
          <w:rFonts w:eastAsia="SimSun"/>
          <w:i/>
          <w:iCs/>
          <w:sz w:val="24"/>
          <w:lang w:eastAsia="zh-CN"/>
        </w:rPr>
        <w:tab/>
      </w:r>
      <w:r w:rsidR="00275482" w:rsidRPr="00275482">
        <w:rPr>
          <w:rFonts w:ascii="KaiTi" w:eastAsia="KaiTi" w:hAnsi="KaiTi"/>
          <w:snapToGrid w:val="0"/>
          <w:kern w:val="22"/>
          <w:sz w:val="24"/>
          <w:lang w:val="zh-CN" w:eastAsia="zh-CN"/>
        </w:rPr>
        <w:t>鼓励</w:t>
      </w:r>
      <w:r w:rsidR="00275482" w:rsidRPr="00275482">
        <w:rPr>
          <w:rFonts w:eastAsia="SimSun"/>
          <w:sz w:val="24"/>
          <w:lang w:val="zh-CN" w:eastAsia="zh-CN"/>
        </w:rPr>
        <w:t>缔约方将《</w:t>
      </w:r>
      <w:r w:rsidR="00FA5293">
        <w:rPr>
          <w:rFonts w:eastAsia="SimSun"/>
          <w:sz w:val="24"/>
          <w:lang w:val="zh-CN" w:eastAsia="zh-CN"/>
        </w:rPr>
        <w:t>卡塔赫纳生物安全议定书</w:t>
      </w:r>
      <w:r w:rsidR="00275482" w:rsidRPr="00275482">
        <w:rPr>
          <w:rFonts w:eastAsia="SimSun"/>
          <w:sz w:val="24"/>
          <w:lang w:val="zh-CN" w:eastAsia="zh-CN"/>
        </w:rPr>
        <w:t>》执行工作的需求和</w:t>
      </w:r>
      <w:r w:rsidR="00275482" w:rsidRPr="00275482">
        <w:rPr>
          <w:rFonts w:eastAsia="SimSun" w:hint="eastAsia"/>
          <w:sz w:val="24"/>
          <w:lang w:val="zh-CN" w:eastAsia="zh-CN"/>
        </w:rPr>
        <w:t>规定</w:t>
      </w:r>
      <w:r w:rsidR="00275482" w:rsidRPr="00275482">
        <w:rPr>
          <w:rFonts w:eastAsia="SimSun"/>
          <w:sz w:val="24"/>
          <w:lang w:val="zh-CN" w:eastAsia="zh-CN"/>
        </w:rPr>
        <w:t>纳入国家生物多样性融资计划和本国对</w:t>
      </w:r>
      <w:r w:rsidR="00275482" w:rsidRPr="00275482">
        <w:rPr>
          <w:rFonts w:eastAsia="SimSun"/>
          <w:sz w:val="24"/>
          <w:lang w:val="zh-CN" w:eastAsia="zh-CN"/>
        </w:rPr>
        <w:t>2020</w:t>
      </w:r>
      <w:r w:rsidR="00275482" w:rsidRPr="00275482">
        <w:rPr>
          <w:rFonts w:eastAsia="SimSun"/>
          <w:sz w:val="24"/>
          <w:lang w:val="zh-CN" w:eastAsia="zh-CN"/>
        </w:rPr>
        <w:t>年后资源筹集战略的实施</w:t>
      </w:r>
      <w:r w:rsidR="00A31D2D" w:rsidRPr="00A31D2D">
        <w:rPr>
          <w:rStyle w:val="FootnoteReference"/>
          <w:rFonts w:eastAsia="SimSun"/>
          <w:sz w:val="24"/>
          <w:lang w:val="zh-CN" w:eastAsia="zh-CN"/>
        </w:rPr>
        <w:footnoteReference w:id="3"/>
      </w:r>
      <w:r w:rsidR="00144070">
        <w:rPr>
          <w:rFonts w:eastAsia="SimSun" w:hint="eastAsia"/>
          <w:sz w:val="24"/>
          <w:lang w:val="zh-CN" w:eastAsia="zh-CN"/>
        </w:rPr>
        <w:t>；</w:t>
      </w:r>
      <w:r w:rsidR="006D5EB0">
        <w:rPr>
          <w:rFonts w:eastAsia="SimSun"/>
          <w:sz w:val="24"/>
          <w:lang w:val="zh-CN" w:eastAsia="zh-CN"/>
        </w:rPr>
        <w:t xml:space="preserve"> </w:t>
      </w:r>
    </w:p>
    <w:p w14:paraId="44FDA475" w14:textId="77777777" w:rsidR="00020294" w:rsidRDefault="00020294" w:rsidP="00275482">
      <w:pPr>
        <w:spacing w:before="120" w:after="120" w:line="240" w:lineRule="atLeast"/>
        <w:ind w:firstLine="490"/>
        <w:rPr>
          <w:rFonts w:eastAsia="SimSun"/>
          <w:sz w:val="24"/>
          <w:lang w:val="zh-CN" w:eastAsia="zh-CN"/>
        </w:rPr>
      </w:pPr>
      <w:r>
        <w:rPr>
          <w:rFonts w:eastAsia="SimSun"/>
          <w:sz w:val="24"/>
          <w:lang w:val="zh-CN" w:eastAsia="zh-CN"/>
        </w:rPr>
        <w:t>7</w:t>
      </w:r>
      <w:r w:rsidR="00144070">
        <w:rPr>
          <w:rFonts w:eastAsia="SimSun"/>
          <w:sz w:val="24"/>
          <w:lang w:val="zh-CN" w:eastAsia="zh-CN"/>
        </w:rPr>
        <w:t xml:space="preserve">.    </w:t>
      </w:r>
      <w:r w:rsidR="00144070" w:rsidRPr="00144070">
        <w:rPr>
          <w:rFonts w:eastAsia="KaiTi" w:hint="eastAsia"/>
          <w:sz w:val="24"/>
          <w:lang w:val="zh-CN" w:eastAsia="zh-CN"/>
        </w:rPr>
        <w:t>请</w:t>
      </w:r>
      <w:r w:rsidR="00144070" w:rsidRPr="00144070">
        <w:rPr>
          <w:rFonts w:eastAsia="SimSun" w:hint="eastAsia"/>
          <w:sz w:val="24"/>
          <w:lang w:val="zh-CN" w:eastAsia="zh-CN"/>
        </w:rPr>
        <w:t>执行秘书</w:t>
      </w:r>
      <w:r>
        <w:rPr>
          <w:rFonts w:eastAsia="SimSun" w:hint="eastAsia"/>
          <w:sz w:val="24"/>
          <w:lang w:val="zh-CN" w:eastAsia="zh-CN"/>
        </w:rPr>
        <w:t>：</w:t>
      </w:r>
    </w:p>
    <w:p w14:paraId="0CC89FAB" w14:textId="77777777" w:rsidR="00020294" w:rsidRDefault="00020294" w:rsidP="00275482">
      <w:pPr>
        <w:spacing w:before="120" w:after="120" w:line="240" w:lineRule="atLeast"/>
        <w:ind w:firstLine="490"/>
        <w:rPr>
          <w:rFonts w:eastAsia="SimSun"/>
          <w:sz w:val="24"/>
          <w:lang w:val="zh-CN" w:eastAsia="zh-CN"/>
        </w:rPr>
      </w:pPr>
      <w:r>
        <w:rPr>
          <w:rFonts w:eastAsia="SimSun" w:hint="eastAsia"/>
          <w:sz w:val="24"/>
          <w:lang w:val="zh-CN" w:eastAsia="zh-CN"/>
        </w:rPr>
        <w:t>(</w:t>
      </w:r>
      <w:r>
        <w:rPr>
          <w:rFonts w:eastAsia="SimSun"/>
          <w:sz w:val="24"/>
          <w:lang w:val="zh-CN" w:eastAsia="zh-CN"/>
        </w:rPr>
        <w:t>a)</w:t>
      </w:r>
      <w:r>
        <w:rPr>
          <w:rFonts w:eastAsia="SimSun"/>
          <w:sz w:val="24"/>
          <w:lang w:val="zh-CN" w:eastAsia="zh-CN"/>
        </w:rPr>
        <w:tab/>
      </w:r>
      <w:r w:rsidR="00144070" w:rsidRPr="00144070">
        <w:rPr>
          <w:rFonts w:eastAsia="SimSun" w:hint="eastAsia"/>
          <w:sz w:val="24"/>
          <w:lang w:val="zh-CN" w:eastAsia="zh-CN"/>
        </w:rPr>
        <w:t>确定并通报</w:t>
      </w:r>
      <w:r>
        <w:rPr>
          <w:rFonts w:eastAsia="SimSun" w:hint="eastAsia"/>
          <w:sz w:val="24"/>
          <w:lang w:val="zh-CN" w:eastAsia="zh-CN"/>
        </w:rPr>
        <w:t>用于资助缔约方的</w:t>
      </w:r>
      <w:r w:rsidR="00144070" w:rsidRPr="00144070">
        <w:rPr>
          <w:rFonts w:eastAsia="SimSun" w:hint="eastAsia"/>
          <w:sz w:val="24"/>
          <w:lang w:val="zh-CN" w:eastAsia="zh-CN"/>
        </w:rPr>
        <w:t>生物安全资金来源</w:t>
      </w:r>
      <w:r>
        <w:rPr>
          <w:rFonts w:eastAsia="SimSun" w:hint="eastAsia"/>
          <w:sz w:val="24"/>
          <w:lang w:val="zh-CN" w:eastAsia="zh-CN"/>
        </w:rPr>
        <w:t>；</w:t>
      </w:r>
    </w:p>
    <w:p w14:paraId="2E153550" w14:textId="00C95427" w:rsidR="00144070" w:rsidRPr="00275482" w:rsidRDefault="00020294" w:rsidP="00275482">
      <w:pPr>
        <w:spacing w:before="120" w:after="120" w:line="240" w:lineRule="atLeast"/>
        <w:ind w:firstLine="490"/>
        <w:rPr>
          <w:i/>
          <w:iCs/>
          <w:sz w:val="24"/>
          <w:lang w:eastAsia="zh-CN"/>
        </w:rPr>
      </w:pPr>
      <w:r>
        <w:rPr>
          <w:rFonts w:eastAsia="SimSun" w:hint="eastAsia"/>
          <w:sz w:val="24"/>
          <w:lang w:val="zh-CN" w:eastAsia="zh-CN"/>
        </w:rPr>
        <w:t>(</w:t>
      </w:r>
      <w:r>
        <w:rPr>
          <w:rFonts w:eastAsia="SimSun"/>
          <w:sz w:val="24"/>
          <w:lang w:val="zh-CN" w:eastAsia="zh-CN"/>
        </w:rPr>
        <w:t>b)</w:t>
      </w:r>
      <w:r>
        <w:rPr>
          <w:rFonts w:eastAsia="SimSun"/>
          <w:sz w:val="24"/>
          <w:lang w:val="zh-CN" w:eastAsia="zh-CN"/>
        </w:rPr>
        <w:tab/>
      </w:r>
      <w:r>
        <w:rPr>
          <w:rFonts w:eastAsia="SimSun" w:hint="eastAsia"/>
          <w:sz w:val="24"/>
          <w:lang w:val="zh-CN" w:eastAsia="zh-CN"/>
        </w:rPr>
        <w:t>在对财务机制的成效进行第六次审查时分析</w:t>
      </w:r>
      <w:r w:rsidR="0054246A">
        <w:rPr>
          <w:rFonts w:eastAsia="SimSun" w:hint="eastAsia"/>
          <w:sz w:val="24"/>
          <w:lang w:val="zh-CN" w:eastAsia="zh-CN"/>
        </w:rPr>
        <w:t>该</w:t>
      </w:r>
      <w:r>
        <w:rPr>
          <w:rFonts w:eastAsia="SimSun" w:hint="eastAsia"/>
          <w:sz w:val="24"/>
          <w:lang w:val="zh-CN" w:eastAsia="zh-CN"/>
        </w:rPr>
        <w:t>机制</w:t>
      </w:r>
      <w:r w:rsidR="0054246A">
        <w:rPr>
          <w:rFonts w:eastAsia="SimSun" w:hint="eastAsia"/>
          <w:sz w:val="24"/>
          <w:lang w:val="zh-CN" w:eastAsia="zh-CN"/>
        </w:rPr>
        <w:t>在实施《卡塔赫纳生物安全议定书》方面的成效</w:t>
      </w:r>
      <w:r w:rsidR="00E250C7" w:rsidRPr="00A31D2D">
        <w:rPr>
          <w:rStyle w:val="FootnoteReference"/>
          <w:rFonts w:eastAsia="SimSun"/>
          <w:sz w:val="24"/>
          <w:lang w:val="zh-CN" w:eastAsia="zh-CN"/>
        </w:rPr>
        <w:footnoteReference w:id="4"/>
      </w:r>
      <w:r w:rsidR="0054246A">
        <w:rPr>
          <w:rFonts w:eastAsia="SimSun" w:hint="eastAsia"/>
          <w:sz w:val="24"/>
          <w:lang w:val="zh-CN" w:eastAsia="zh-CN"/>
        </w:rPr>
        <w:t>，同时考虑建立一项生物多样性专用资金的意义和流程，供作为卡塔赫纳生物安全议定书缔约方会议的缔约方大会第十一</w:t>
      </w:r>
      <w:r w:rsidR="008101FB">
        <w:rPr>
          <w:rFonts w:eastAsia="SimSun" w:hint="eastAsia"/>
          <w:sz w:val="24"/>
          <w:lang w:val="zh-CN" w:eastAsia="zh-CN"/>
        </w:rPr>
        <w:t>次</w:t>
      </w:r>
      <w:r w:rsidR="0054246A">
        <w:rPr>
          <w:rFonts w:eastAsia="SimSun" w:hint="eastAsia"/>
          <w:sz w:val="24"/>
          <w:lang w:val="zh-CN" w:eastAsia="zh-CN"/>
        </w:rPr>
        <w:t>会议审议</w:t>
      </w:r>
      <w:r w:rsidR="00144070" w:rsidRPr="00144070">
        <w:rPr>
          <w:rFonts w:eastAsia="SimSun" w:hint="eastAsia"/>
          <w:sz w:val="24"/>
          <w:lang w:val="zh-CN" w:eastAsia="zh-CN"/>
        </w:rPr>
        <w:t>。</w:t>
      </w:r>
    </w:p>
    <w:p w14:paraId="0DFA67EF" w14:textId="77777777" w:rsidR="00017824" w:rsidRDefault="00017824" w:rsidP="00144070">
      <w:pPr>
        <w:jc w:val="center"/>
        <w:rPr>
          <w:rFonts w:asciiTheme="majorBidi" w:hAnsiTheme="majorBidi" w:cstheme="majorBidi"/>
          <w:snapToGrid w:val="0"/>
          <w:kern w:val="22"/>
          <w:sz w:val="24"/>
          <w:lang w:eastAsia="zh-CN"/>
        </w:rPr>
      </w:pPr>
    </w:p>
    <w:p w14:paraId="61D6390C" w14:textId="77777777" w:rsidR="00017824" w:rsidRDefault="00017824" w:rsidP="00144070">
      <w:pPr>
        <w:jc w:val="center"/>
        <w:rPr>
          <w:rFonts w:asciiTheme="majorBidi" w:hAnsiTheme="majorBidi" w:cstheme="majorBidi"/>
          <w:snapToGrid w:val="0"/>
          <w:kern w:val="22"/>
          <w:sz w:val="24"/>
          <w:lang w:eastAsia="zh-CN"/>
        </w:rPr>
      </w:pPr>
    </w:p>
    <w:p w14:paraId="5F7F5588" w14:textId="72575D12" w:rsidR="00144070" w:rsidRPr="00144070" w:rsidRDefault="00CA0D44" w:rsidP="00144070">
      <w:pPr>
        <w:jc w:val="center"/>
        <w:rPr>
          <w:rFonts w:asciiTheme="majorBidi" w:hAnsiTheme="majorBidi" w:cstheme="majorBidi"/>
          <w:snapToGrid w:val="0"/>
          <w:kern w:val="22"/>
          <w:sz w:val="24"/>
          <w:lang w:eastAsia="zh-CN"/>
        </w:rPr>
      </w:pPr>
      <w:r w:rsidRPr="00144070">
        <w:rPr>
          <w:rFonts w:asciiTheme="majorBidi" w:hAnsiTheme="majorBidi" w:cstheme="majorBidi"/>
          <w:snapToGrid w:val="0"/>
          <w:kern w:val="22"/>
          <w:sz w:val="24"/>
          <w:lang w:eastAsia="zh-CN"/>
        </w:rPr>
        <w:t>_________</w:t>
      </w:r>
    </w:p>
    <w:sectPr w:rsidR="00144070" w:rsidRPr="00144070" w:rsidSect="000A50F5">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6F00" w14:textId="77777777" w:rsidR="003732E4" w:rsidRDefault="003732E4" w:rsidP="00CF1848">
      <w:r>
        <w:separator/>
      </w:r>
    </w:p>
  </w:endnote>
  <w:endnote w:type="continuationSeparator" w:id="0">
    <w:p w14:paraId="363992C4" w14:textId="77777777" w:rsidR="003732E4" w:rsidRDefault="003732E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0D99" w14:textId="77777777" w:rsidR="003732E4" w:rsidRDefault="003732E4" w:rsidP="00CF1848">
      <w:r>
        <w:separator/>
      </w:r>
    </w:p>
  </w:footnote>
  <w:footnote w:type="continuationSeparator" w:id="0">
    <w:p w14:paraId="502F429B" w14:textId="77777777" w:rsidR="003732E4" w:rsidRDefault="003732E4" w:rsidP="00CF1848">
      <w:r>
        <w:continuationSeparator/>
      </w:r>
    </w:p>
  </w:footnote>
  <w:footnote w:id="1">
    <w:p w14:paraId="4D26E846" w14:textId="77777777" w:rsidR="00FA5293" w:rsidRPr="00FA5293" w:rsidRDefault="00FA5293" w:rsidP="00FA5293">
      <w:pPr>
        <w:pStyle w:val="FootnoteText"/>
        <w:ind w:firstLine="0"/>
        <w:rPr>
          <w:rFonts w:eastAsia="SimSun"/>
          <w:sz w:val="20"/>
          <w:szCs w:val="20"/>
          <w:lang w:eastAsia="zh-CN"/>
        </w:rPr>
      </w:pPr>
      <w:r w:rsidRPr="00FA5293">
        <w:rPr>
          <w:rStyle w:val="FootnoteReference"/>
          <w:sz w:val="20"/>
          <w:szCs w:val="20"/>
        </w:rPr>
        <w:footnoteRef/>
      </w:r>
      <w:r w:rsidRPr="00FA5293">
        <w:rPr>
          <w:sz w:val="20"/>
          <w:szCs w:val="20"/>
          <w:lang w:eastAsia="zh-CN"/>
        </w:rPr>
        <w:t xml:space="preserve"> </w:t>
      </w:r>
      <w:r w:rsidRPr="00FA5293">
        <w:rPr>
          <w:rFonts w:eastAsia="SimSun" w:hint="eastAsia"/>
          <w:sz w:val="20"/>
          <w:szCs w:val="20"/>
          <w:lang w:eastAsia="zh-CN"/>
        </w:rPr>
        <w:t>第</w:t>
      </w:r>
      <w:r w:rsidRPr="00FA5293">
        <w:rPr>
          <w:rFonts w:eastAsia="SimSun" w:hint="eastAsia"/>
          <w:sz w:val="20"/>
          <w:szCs w:val="20"/>
          <w:lang w:eastAsia="zh-CN"/>
        </w:rPr>
        <w:t>CP-</w:t>
      </w:r>
      <w:r w:rsidRPr="00FA5293">
        <w:rPr>
          <w:rFonts w:eastAsia="SimSun"/>
          <w:sz w:val="20"/>
          <w:szCs w:val="20"/>
          <w:lang w:eastAsia="zh-CN"/>
        </w:rPr>
        <w:t>10/3</w:t>
      </w:r>
      <w:r w:rsidRPr="00FA5293">
        <w:rPr>
          <w:rFonts w:eastAsia="SimSun" w:hint="eastAsia"/>
          <w:sz w:val="20"/>
          <w:szCs w:val="20"/>
          <w:lang w:eastAsia="zh-CN"/>
        </w:rPr>
        <w:t>号决定，附件。</w:t>
      </w:r>
    </w:p>
  </w:footnote>
  <w:footnote w:id="2">
    <w:p w14:paraId="68A9A7CF" w14:textId="77777777" w:rsidR="00FA5293" w:rsidRPr="00FA5293" w:rsidRDefault="00FA5293" w:rsidP="00FA5293">
      <w:pPr>
        <w:pStyle w:val="FootnoteText"/>
        <w:ind w:firstLine="0"/>
        <w:rPr>
          <w:rFonts w:eastAsia="SimSun"/>
          <w:sz w:val="20"/>
          <w:szCs w:val="20"/>
          <w:lang w:eastAsia="zh-CN"/>
        </w:rPr>
      </w:pPr>
      <w:r w:rsidRPr="00FA5293">
        <w:rPr>
          <w:rStyle w:val="FootnoteReference"/>
          <w:sz w:val="20"/>
          <w:szCs w:val="20"/>
        </w:rPr>
        <w:footnoteRef/>
      </w:r>
      <w:r w:rsidRPr="00FA5293">
        <w:rPr>
          <w:sz w:val="20"/>
          <w:szCs w:val="20"/>
          <w:lang w:eastAsia="zh-CN"/>
        </w:rPr>
        <w:t xml:space="preserve"> </w:t>
      </w:r>
      <w:r w:rsidRPr="00FA5293">
        <w:rPr>
          <w:rFonts w:eastAsia="SimSun" w:hint="eastAsia"/>
          <w:sz w:val="20"/>
          <w:szCs w:val="20"/>
          <w:lang w:eastAsia="zh-CN"/>
        </w:rPr>
        <w:t>第</w:t>
      </w:r>
      <w:r w:rsidRPr="00FA5293">
        <w:rPr>
          <w:rFonts w:eastAsia="SimSun" w:hint="eastAsia"/>
          <w:sz w:val="20"/>
          <w:szCs w:val="20"/>
          <w:lang w:eastAsia="zh-CN"/>
        </w:rPr>
        <w:t>CP-</w:t>
      </w:r>
      <w:r w:rsidRPr="00FA5293">
        <w:rPr>
          <w:rFonts w:eastAsia="SimSun"/>
          <w:sz w:val="20"/>
          <w:szCs w:val="20"/>
          <w:lang w:eastAsia="zh-CN"/>
        </w:rPr>
        <w:t>10/3</w:t>
      </w:r>
      <w:r w:rsidRPr="00FA5293">
        <w:rPr>
          <w:rFonts w:eastAsia="SimSun"/>
          <w:sz w:val="20"/>
          <w:szCs w:val="20"/>
          <w:lang w:eastAsia="zh-CN"/>
        </w:rPr>
        <w:t>号决定，附件。</w:t>
      </w:r>
    </w:p>
  </w:footnote>
  <w:footnote w:id="3">
    <w:p w14:paraId="7D4DEBAE" w14:textId="658628A2" w:rsidR="00A31D2D" w:rsidRPr="00A31D2D" w:rsidRDefault="00A31D2D" w:rsidP="00A31D2D">
      <w:pPr>
        <w:pStyle w:val="FootnoteText"/>
        <w:ind w:firstLine="0"/>
        <w:rPr>
          <w:rFonts w:eastAsia="SimSun"/>
          <w:sz w:val="20"/>
          <w:szCs w:val="20"/>
          <w:lang w:eastAsia="zh-CN"/>
        </w:rPr>
      </w:pPr>
      <w:r w:rsidRPr="00A31D2D">
        <w:rPr>
          <w:rStyle w:val="FootnoteReference"/>
          <w:rFonts w:eastAsia="SimSun"/>
          <w:sz w:val="20"/>
          <w:szCs w:val="20"/>
        </w:rPr>
        <w:footnoteRef/>
      </w:r>
      <w:r w:rsidRPr="00A31D2D">
        <w:rPr>
          <w:rFonts w:eastAsia="SimSun"/>
          <w:sz w:val="20"/>
          <w:szCs w:val="20"/>
          <w:lang w:eastAsia="zh-CN"/>
        </w:rPr>
        <w:t xml:space="preserve"> </w:t>
      </w:r>
      <w:r w:rsidRPr="00A31D2D">
        <w:rPr>
          <w:rFonts w:eastAsia="SimSun"/>
          <w:sz w:val="20"/>
          <w:szCs w:val="20"/>
          <w:lang w:eastAsia="zh-CN"/>
        </w:rPr>
        <w:t>见缔约方大会第</w:t>
      </w:r>
      <w:r w:rsidRPr="00A31D2D">
        <w:rPr>
          <w:rFonts w:eastAsia="SimSun"/>
          <w:sz w:val="20"/>
          <w:szCs w:val="20"/>
          <w:lang w:eastAsia="zh-CN"/>
        </w:rPr>
        <w:t>15/7</w:t>
      </w:r>
      <w:r w:rsidRPr="00A31D2D">
        <w:rPr>
          <w:rFonts w:eastAsia="SimSun"/>
          <w:sz w:val="20"/>
          <w:szCs w:val="20"/>
          <w:lang w:eastAsia="zh-CN"/>
        </w:rPr>
        <w:t>号决定。</w:t>
      </w:r>
    </w:p>
  </w:footnote>
  <w:footnote w:id="4">
    <w:p w14:paraId="46ADFC2A" w14:textId="448B909E" w:rsidR="00E250C7" w:rsidRPr="00A31D2D" w:rsidRDefault="00E250C7" w:rsidP="00E250C7">
      <w:pPr>
        <w:pStyle w:val="FootnoteText"/>
        <w:ind w:firstLine="0"/>
        <w:rPr>
          <w:rFonts w:eastAsia="SimSun"/>
          <w:sz w:val="20"/>
          <w:szCs w:val="20"/>
          <w:lang w:eastAsia="zh-CN"/>
        </w:rPr>
      </w:pPr>
      <w:r w:rsidRPr="00A31D2D">
        <w:rPr>
          <w:rStyle w:val="FootnoteReference"/>
          <w:rFonts w:eastAsia="SimSun"/>
          <w:sz w:val="20"/>
          <w:szCs w:val="20"/>
        </w:rPr>
        <w:footnoteRef/>
      </w:r>
      <w:r w:rsidR="00A31D2D">
        <w:rPr>
          <w:rFonts w:eastAsia="SimSun" w:hint="eastAsia"/>
          <w:sz w:val="20"/>
          <w:szCs w:val="20"/>
          <w:lang w:eastAsia="zh-CN"/>
        </w:rPr>
        <w:t xml:space="preserve"> </w:t>
      </w:r>
      <w:r w:rsidR="00A31D2D">
        <w:rPr>
          <w:rFonts w:eastAsia="SimSun" w:hint="eastAsia"/>
          <w:sz w:val="20"/>
          <w:szCs w:val="20"/>
          <w:lang w:eastAsia="zh-CN"/>
        </w:rPr>
        <w:t>见</w:t>
      </w:r>
      <w:r w:rsidRPr="00A31D2D">
        <w:rPr>
          <w:rFonts w:eastAsia="SimSun"/>
          <w:sz w:val="20"/>
          <w:szCs w:val="20"/>
          <w:lang w:eastAsia="zh-CN"/>
        </w:rPr>
        <w:t>缔约方大会第</w:t>
      </w:r>
      <w:r w:rsidRPr="00A31D2D">
        <w:rPr>
          <w:rFonts w:eastAsia="SimSun"/>
          <w:sz w:val="20"/>
          <w:szCs w:val="20"/>
          <w:lang w:eastAsia="zh-CN"/>
        </w:rPr>
        <w:t>15/</w:t>
      </w:r>
      <w:r w:rsidR="00A31D2D">
        <w:rPr>
          <w:rFonts w:eastAsia="SimSun"/>
          <w:sz w:val="20"/>
          <w:szCs w:val="20"/>
          <w:lang w:eastAsia="zh-CN"/>
        </w:rPr>
        <w:t>15</w:t>
      </w:r>
      <w:r w:rsidRPr="00A31D2D">
        <w:rPr>
          <w:rFonts w:eastAsia="SimSun"/>
          <w:sz w:val="20"/>
          <w:szCs w:val="20"/>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A97C" w14:textId="1B4365DB" w:rsidR="00A373EB" w:rsidRPr="00442EED" w:rsidRDefault="002B49D9" w:rsidP="00A373EB">
    <w:pPr>
      <w:pStyle w:val="Cornernotation"/>
      <w:ind w:right="-36"/>
      <w:rPr>
        <w:i/>
        <w:iCs/>
      </w:rPr>
    </w:pPr>
    <w:r w:rsidRPr="002B49D9">
      <w:rPr>
        <w:lang w:val="en-US"/>
      </w:rPr>
      <w:t>CBD/CP/MOP/DEC/10/6</w:t>
    </w:r>
  </w:p>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7562D9C1" w:rsidR="009505C9" w:rsidRPr="00A373EB" w:rsidRDefault="00275482" w:rsidP="009505C9">
        <w:pPr>
          <w:pStyle w:val="Header"/>
          <w:jc w:val="right"/>
          <w:rPr>
            <w:lang w:val="en-US"/>
          </w:rPr>
        </w:pPr>
        <w:r>
          <w:rPr>
            <w:lang w:val="en-US"/>
          </w:rPr>
          <w:t>CBD/CP/MOP/10/WG2/CRP.10</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6ABC0C1C" w14:textId="77777777" w:rsidR="009505C9" w:rsidRPr="00A373EB" w:rsidRDefault="009505C9">
    <w:pPr>
      <w:pStyle w:val="Header"/>
      <w:rPr>
        <w:lang w:val="en-US"/>
      </w:rPr>
    </w:pP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b w:val="0"/>
        <w:i w:val="0"/>
      </w:r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960EC"/>
    <w:multiLevelType w:val="hybridMultilevel"/>
    <w:tmpl w:val="2C865CA2"/>
    <w:lvl w:ilvl="0" w:tplc="FFFFFFFF">
      <w:start w:val="1"/>
      <w:numFmt w:val="decimal"/>
      <w:lvlText w:val="%1."/>
      <w:lvlJc w:val="left"/>
      <w:pPr>
        <w:ind w:left="720" w:hanging="360"/>
      </w:pPr>
      <w:rPr>
        <w:rFonts w:hint="default"/>
      </w:rPr>
    </w:lvl>
    <w:lvl w:ilvl="1" w:tplc="0409000F">
      <w:start w:val="1"/>
      <w:numFmt w:val="decimal"/>
      <w:lvlText w:val="%2."/>
      <w:lvlJc w:val="left"/>
      <w:pPr>
        <w:ind w:left="2160" w:hanging="18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3B3417"/>
    <w:multiLevelType w:val="hybridMultilevel"/>
    <w:tmpl w:val="7E6EB436"/>
    <w:lvl w:ilvl="0" w:tplc="1EA4FA7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23244"/>
    <w:multiLevelType w:val="multilevel"/>
    <w:tmpl w:val="419A0FBC"/>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D7337"/>
    <w:multiLevelType w:val="hybridMultilevel"/>
    <w:tmpl w:val="AC0CCA2A"/>
    <w:lvl w:ilvl="0" w:tplc="D02A799E">
      <w:start w:val="1"/>
      <w:numFmt w:val="decimal"/>
      <w:lvlText w:val="%1."/>
      <w:lvlJc w:val="left"/>
      <w:pPr>
        <w:ind w:left="720" w:hanging="360"/>
      </w:pPr>
      <w:rPr>
        <w:rFonts w:hint="default"/>
      </w:rPr>
    </w:lvl>
    <w:lvl w:ilvl="1" w:tplc="07C0B2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76372">
    <w:abstractNumId w:val="6"/>
  </w:num>
  <w:num w:numId="2" w16cid:durableId="1107653401">
    <w:abstractNumId w:val="9"/>
  </w:num>
  <w:num w:numId="3" w16cid:durableId="1697191655">
    <w:abstractNumId w:val="7"/>
  </w:num>
  <w:num w:numId="4" w16cid:durableId="2122451567">
    <w:abstractNumId w:val="9"/>
  </w:num>
  <w:num w:numId="5" w16cid:durableId="392167933">
    <w:abstractNumId w:val="8"/>
  </w:num>
  <w:num w:numId="6" w16cid:durableId="2121140301">
    <w:abstractNumId w:val="1"/>
  </w:num>
  <w:num w:numId="7" w16cid:durableId="1383360205">
    <w:abstractNumId w:val="4"/>
  </w:num>
  <w:num w:numId="8" w16cid:durableId="590240784">
    <w:abstractNumId w:val="7"/>
    <w:lvlOverride w:ilvl="0">
      <w:startOverride w:val="1"/>
    </w:lvlOverride>
  </w:num>
  <w:num w:numId="9" w16cid:durableId="1079401629">
    <w:abstractNumId w:val="12"/>
  </w:num>
  <w:num w:numId="10" w16cid:durableId="1504013090">
    <w:abstractNumId w:val="7"/>
    <w:lvlOverride w:ilvl="0">
      <w:startOverride w:val="1"/>
    </w:lvlOverride>
  </w:num>
  <w:num w:numId="11" w16cid:durableId="1221669510">
    <w:abstractNumId w:val="7"/>
    <w:lvlOverride w:ilvl="0">
      <w:startOverride w:val="1"/>
    </w:lvlOverride>
  </w:num>
  <w:num w:numId="12" w16cid:durableId="2063360697">
    <w:abstractNumId w:val="7"/>
    <w:lvlOverride w:ilvl="0">
      <w:startOverride w:val="1"/>
    </w:lvlOverride>
  </w:num>
  <w:num w:numId="13" w16cid:durableId="621108426">
    <w:abstractNumId w:val="7"/>
    <w:lvlOverride w:ilvl="0">
      <w:startOverride w:val="1"/>
    </w:lvlOverride>
  </w:num>
  <w:num w:numId="14" w16cid:durableId="1159883047">
    <w:abstractNumId w:val="11"/>
  </w:num>
  <w:num w:numId="15" w16cid:durableId="1404452488">
    <w:abstractNumId w:val="10"/>
  </w:num>
  <w:num w:numId="16" w16cid:durableId="178859150">
    <w:abstractNumId w:val="2"/>
  </w:num>
  <w:num w:numId="17" w16cid:durableId="759983040">
    <w:abstractNumId w:val="14"/>
  </w:num>
  <w:num w:numId="18" w16cid:durableId="1477141846">
    <w:abstractNumId w:val="16"/>
  </w:num>
  <w:num w:numId="19" w16cid:durableId="1505320846">
    <w:abstractNumId w:val="15"/>
  </w:num>
  <w:num w:numId="20" w16cid:durableId="1157500903">
    <w:abstractNumId w:val="5"/>
  </w:num>
  <w:num w:numId="21" w16cid:durableId="649940577">
    <w:abstractNumId w:val="13"/>
  </w:num>
  <w:num w:numId="22" w16cid:durableId="765807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151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17824"/>
    <w:rsid w:val="00020294"/>
    <w:rsid w:val="0003350E"/>
    <w:rsid w:val="0007171B"/>
    <w:rsid w:val="00072D44"/>
    <w:rsid w:val="000A50F5"/>
    <w:rsid w:val="000B39F6"/>
    <w:rsid w:val="000C4928"/>
    <w:rsid w:val="000D0F0A"/>
    <w:rsid w:val="000E0CCF"/>
    <w:rsid w:val="000E15DD"/>
    <w:rsid w:val="000E579F"/>
    <w:rsid w:val="000E673A"/>
    <w:rsid w:val="000E6F38"/>
    <w:rsid w:val="000F74F5"/>
    <w:rsid w:val="00105372"/>
    <w:rsid w:val="00105AF5"/>
    <w:rsid w:val="001210E3"/>
    <w:rsid w:val="00121D96"/>
    <w:rsid w:val="001239EC"/>
    <w:rsid w:val="001312AD"/>
    <w:rsid w:val="00131E7A"/>
    <w:rsid w:val="00134846"/>
    <w:rsid w:val="0013619F"/>
    <w:rsid w:val="00144070"/>
    <w:rsid w:val="00147354"/>
    <w:rsid w:val="0014773F"/>
    <w:rsid w:val="001507BA"/>
    <w:rsid w:val="00152854"/>
    <w:rsid w:val="00154251"/>
    <w:rsid w:val="0016056B"/>
    <w:rsid w:val="00161C62"/>
    <w:rsid w:val="001657ED"/>
    <w:rsid w:val="00172AF6"/>
    <w:rsid w:val="00176CEE"/>
    <w:rsid w:val="00183531"/>
    <w:rsid w:val="00186DD8"/>
    <w:rsid w:val="001B13FE"/>
    <w:rsid w:val="001C2B80"/>
    <w:rsid w:val="001C6CFA"/>
    <w:rsid w:val="00212041"/>
    <w:rsid w:val="00215539"/>
    <w:rsid w:val="00243EF1"/>
    <w:rsid w:val="00275482"/>
    <w:rsid w:val="00290D0B"/>
    <w:rsid w:val="002A6AE2"/>
    <w:rsid w:val="002B49D9"/>
    <w:rsid w:val="002D3E86"/>
    <w:rsid w:val="002E223E"/>
    <w:rsid w:val="0030169D"/>
    <w:rsid w:val="00302AAD"/>
    <w:rsid w:val="003060EB"/>
    <w:rsid w:val="003153EB"/>
    <w:rsid w:val="003160EC"/>
    <w:rsid w:val="00321985"/>
    <w:rsid w:val="00330800"/>
    <w:rsid w:val="003423BE"/>
    <w:rsid w:val="003431E2"/>
    <w:rsid w:val="00351205"/>
    <w:rsid w:val="00353F37"/>
    <w:rsid w:val="003571EC"/>
    <w:rsid w:val="00357EF1"/>
    <w:rsid w:val="00372F74"/>
    <w:rsid w:val="003732E4"/>
    <w:rsid w:val="00375377"/>
    <w:rsid w:val="003A5FFB"/>
    <w:rsid w:val="003D69AB"/>
    <w:rsid w:val="003E5B0D"/>
    <w:rsid w:val="003F7224"/>
    <w:rsid w:val="00410AA4"/>
    <w:rsid w:val="0042763C"/>
    <w:rsid w:val="00427D21"/>
    <w:rsid w:val="00430E63"/>
    <w:rsid w:val="00442EED"/>
    <w:rsid w:val="00443E56"/>
    <w:rsid w:val="00463DEC"/>
    <w:rsid w:val="004644C2"/>
    <w:rsid w:val="00467F9C"/>
    <w:rsid w:val="00471D48"/>
    <w:rsid w:val="00480E12"/>
    <w:rsid w:val="00492BCF"/>
    <w:rsid w:val="004D0F37"/>
    <w:rsid w:val="004D7D62"/>
    <w:rsid w:val="005056F9"/>
    <w:rsid w:val="005208AC"/>
    <w:rsid w:val="00534681"/>
    <w:rsid w:val="005370B7"/>
    <w:rsid w:val="0054172D"/>
    <w:rsid w:val="0054246A"/>
    <w:rsid w:val="00550860"/>
    <w:rsid w:val="00563442"/>
    <w:rsid w:val="00565B42"/>
    <w:rsid w:val="00577B8F"/>
    <w:rsid w:val="00580A39"/>
    <w:rsid w:val="005C4CE6"/>
    <w:rsid w:val="005D4965"/>
    <w:rsid w:val="006122BA"/>
    <w:rsid w:val="0061521E"/>
    <w:rsid w:val="00620422"/>
    <w:rsid w:val="00621FB8"/>
    <w:rsid w:val="00630F64"/>
    <w:rsid w:val="00635D99"/>
    <w:rsid w:val="0064733C"/>
    <w:rsid w:val="00664348"/>
    <w:rsid w:val="006670B4"/>
    <w:rsid w:val="00670691"/>
    <w:rsid w:val="00673967"/>
    <w:rsid w:val="00691E64"/>
    <w:rsid w:val="00697E73"/>
    <w:rsid w:val="006A66FF"/>
    <w:rsid w:val="006B2290"/>
    <w:rsid w:val="006D5EB0"/>
    <w:rsid w:val="006F602C"/>
    <w:rsid w:val="00710CA9"/>
    <w:rsid w:val="00717D88"/>
    <w:rsid w:val="0075404A"/>
    <w:rsid w:val="00775D4B"/>
    <w:rsid w:val="00781F19"/>
    <w:rsid w:val="00786056"/>
    <w:rsid w:val="00791623"/>
    <w:rsid w:val="007942D3"/>
    <w:rsid w:val="00795075"/>
    <w:rsid w:val="007B2099"/>
    <w:rsid w:val="007B6C09"/>
    <w:rsid w:val="007B7741"/>
    <w:rsid w:val="007E09DA"/>
    <w:rsid w:val="00803A96"/>
    <w:rsid w:val="008101FB"/>
    <w:rsid w:val="008178B6"/>
    <w:rsid w:val="0082191A"/>
    <w:rsid w:val="00822CE1"/>
    <w:rsid w:val="00825FA5"/>
    <w:rsid w:val="008346F9"/>
    <w:rsid w:val="00842CF0"/>
    <w:rsid w:val="00850D04"/>
    <w:rsid w:val="00865B74"/>
    <w:rsid w:val="00867CAE"/>
    <w:rsid w:val="008837D4"/>
    <w:rsid w:val="00886630"/>
    <w:rsid w:val="008974F0"/>
    <w:rsid w:val="008A05E1"/>
    <w:rsid w:val="008B012A"/>
    <w:rsid w:val="008C3199"/>
    <w:rsid w:val="008F19ED"/>
    <w:rsid w:val="00900477"/>
    <w:rsid w:val="00906E17"/>
    <w:rsid w:val="00930BA1"/>
    <w:rsid w:val="0093169E"/>
    <w:rsid w:val="009327B5"/>
    <w:rsid w:val="009505C9"/>
    <w:rsid w:val="00950752"/>
    <w:rsid w:val="009609CA"/>
    <w:rsid w:val="00963AF9"/>
    <w:rsid w:val="0096456F"/>
    <w:rsid w:val="00966424"/>
    <w:rsid w:val="0096679D"/>
    <w:rsid w:val="00966E96"/>
    <w:rsid w:val="00992636"/>
    <w:rsid w:val="009A7A30"/>
    <w:rsid w:val="009C2805"/>
    <w:rsid w:val="009C2DE6"/>
    <w:rsid w:val="009C2ED7"/>
    <w:rsid w:val="009F0FBA"/>
    <w:rsid w:val="009F4C3C"/>
    <w:rsid w:val="00A027AC"/>
    <w:rsid w:val="00A12755"/>
    <w:rsid w:val="00A1366F"/>
    <w:rsid w:val="00A21375"/>
    <w:rsid w:val="00A31D2D"/>
    <w:rsid w:val="00A373EB"/>
    <w:rsid w:val="00A469A8"/>
    <w:rsid w:val="00A63485"/>
    <w:rsid w:val="00A64997"/>
    <w:rsid w:val="00A92578"/>
    <w:rsid w:val="00AA5CA2"/>
    <w:rsid w:val="00AA6F39"/>
    <w:rsid w:val="00AA6F92"/>
    <w:rsid w:val="00AB023C"/>
    <w:rsid w:val="00AB6934"/>
    <w:rsid w:val="00AF42DE"/>
    <w:rsid w:val="00B03F69"/>
    <w:rsid w:val="00B3369F"/>
    <w:rsid w:val="00B343ED"/>
    <w:rsid w:val="00B34E14"/>
    <w:rsid w:val="00B350E1"/>
    <w:rsid w:val="00B94E6C"/>
    <w:rsid w:val="00BB4606"/>
    <w:rsid w:val="00BB4EE9"/>
    <w:rsid w:val="00BC123F"/>
    <w:rsid w:val="00BC3C3C"/>
    <w:rsid w:val="00BE4604"/>
    <w:rsid w:val="00BF1FFA"/>
    <w:rsid w:val="00C04517"/>
    <w:rsid w:val="00C21404"/>
    <w:rsid w:val="00C23D2F"/>
    <w:rsid w:val="00C240E2"/>
    <w:rsid w:val="00C443BD"/>
    <w:rsid w:val="00C451C5"/>
    <w:rsid w:val="00C56F09"/>
    <w:rsid w:val="00C61BBE"/>
    <w:rsid w:val="00C80B31"/>
    <w:rsid w:val="00C871AE"/>
    <w:rsid w:val="00C9161D"/>
    <w:rsid w:val="00C9532F"/>
    <w:rsid w:val="00CA0C1D"/>
    <w:rsid w:val="00CA0D44"/>
    <w:rsid w:val="00CC45B5"/>
    <w:rsid w:val="00CF1848"/>
    <w:rsid w:val="00D050D2"/>
    <w:rsid w:val="00D114F7"/>
    <w:rsid w:val="00D12044"/>
    <w:rsid w:val="00D33EFC"/>
    <w:rsid w:val="00D34A4B"/>
    <w:rsid w:val="00D40DBC"/>
    <w:rsid w:val="00D42703"/>
    <w:rsid w:val="00D60D5B"/>
    <w:rsid w:val="00D72909"/>
    <w:rsid w:val="00D76A18"/>
    <w:rsid w:val="00D80849"/>
    <w:rsid w:val="00D80EF8"/>
    <w:rsid w:val="00D82E8F"/>
    <w:rsid w:val="00DB0A74"/>
    <w:rsid w:val="00DC62DF"/>
    <w:rsid w:val="00DD118C"/>
    <w:rsid w:val="00DF1739"/>
    <w:rsid w:val="00E01720"/>
    <w:rsid w:val="00E249FA"/>
    <w:rsid w:val="00E250C7"/>
    <w:rsid w:val="00E4541C"/>
    <w:rsid w:val="00E60A58"/>
    <w:rsid w:val="00E62151"/>
    <w:rsid w:val="00E64A3D"/>
    <w:rsid w:val="00E65182"/>
    <w:rsid w:val="00E66235"/>
    <w:rsid w:val="00E83C24"/>
    <w:rsid w:val="00E927FD"/>
    <w:rsid w:val="00E9318D"/>
    <w:rsid w:val="00E93ED6"/>
    <w:rsid w:val="00EB6AA1"/>
    <w:rsid w:val="00ED208D"/>
    <w:rsid w:val="00ED3228"/>
    <w:rsid w:val="00EF5DAC"/>
    <w:rsid w:val="00F40AF4"/>
    <w:rsid w:val="00F4722E"/>
    <w:rsid w:val="00F53193"/>
    <w:rsid w:val="00F5357E"/>
    <w:rsid w:val="00F5590B"/>
    <w:rsid w:val="00F6586C"/>
    <w:rsid w:val="00F74131"/>
    <w:rsid w:val="00F8360C"/>
    <w:rsid w:val="00F84886"/>
    <w:rsid w:val="00F90796"/>
    <w:rsid w:val="00F94774"/>
    <w:rsid w:val="00F97776"/>
    <w:rsid w:val="00F9795B"/>
    <w:rsid w:val="00FA370A"/>
    <w:rsid w:val="00FA5293"/>
    <w:rsid w:val="00FA663B"/>
    <w:rsid w:val="00FB59B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6A66FF"/>
    <w:pPr>
      <w:spacing w:before="120"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6A66FF"/>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14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AE7B947B-81F0-49C5-BEBD-2A1EE00F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26</TotalTime>
  <Pages>2</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《​关​于​赔​偿​责​任​和​补​救​的​名​古​屋​-​吉​隆​坡​补​充​议​定​书​》</vt:lpstr>
    </vt:vector>
  </TitlesOfParts>
  <Company>SCBD</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《​关​于​赔​偿​责​任​和​补​救​的​名​古​屋​-​吉​隆​坡​补​充​议​定​书​》</dc:title>
  <dc:subject>CBD/CP/MOP/10/WG2/CRP.10</dc:subject>
  <dc:creator>Veronique Lefebvre</dc:creator>
  <cp:keywords>Conference of the Parties to the Convention on Biological Diversity serving as the meeting of the Parties to the Cartagena Protocol on Biosafety, tenth meeting</cp:keywords>
  <cp:lastModifiedBy>Xue He Yan</cp:lastModifiedBy>
  <cp:revision>10</cp:revision>
  <cp:lastPrinted>2020-01-21T16:56:00Z</cp:lastPrinted>
  <dcterms:created xsi:type="dcterms:W3CDTF">2023-02-21T20:55:00Z</dcterms:created>
  <dcterms:modified xsi:type="dcterms:W3CDTF">2023-02-22T16:28:00Z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