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88"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4292"/>
        <w:gridCol w:w="5220"/>
      </w:tblGrid>
      <w:tr w:rsidR="00C9161D" w:rsidRPr="009A635C" w14:paraId="07F6750D" w14:textId="77777777" w:rsidTr="00DC6F4A">
        <w:trPr>
          <w:trHeight w:val="851"/>
        </w:trPr>
        <w:tc>
          <w:tcPr>
            <w:tcW w:w="976" w:type="dxa"/>
            <w:tcBorders>
              <w:bottom w:val="single" w:sz="12" w:space="0" w:color="auto"/>
            </w:tcBorders>
          </w:tcPr>
          <w:p w14:paraId="1DEFF495" w14:textId="77777777" w:rsidR="00C9161D" w:rsidRPr="009A635C" w:rsidRDefault="00C9161D" w:rsidP="00321985">
            <w:r w:rsidRPr="009A635C">
              <w:rPr>
                <w:noProof/>
                <w:lang w:val="en-US"/>
              </w:rPr>
              <w:drawing>
                <wp:inline distT="0" distB="0" distL="0" distR="0" wp14:anchorId="33099486" wp14:editId="1193B5AB">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4292" w:type="dxa"/>
            <w:tcBorders>
              <w:bottom w:val="single" w:sz="12" w:space="0" w:color="auto"/>
            </w:tcBorders>
            <w:shd w:val="clear" w:color="auto" w:fill="auto"/>
            <w:tcFitText/>
          </w:tcPr>
          <w:p w14:paraId="1986B63F" w14:textId="1087733B" w:rsidR="00FA663B" w:rsidRPr="009A635C" w:rsidRDefault="00AA6F92" w:rsidP="00321985">
            <w:r w:rsidRPr="009A635C">
              <w:rPr>
                <w:noProof/>
              </w:rPr>
              <w:drawing>
                <wp:inline distT="0" distB="0" distL="0" distR="0" wp14:anchorId="4030DC6E" wp14:editId="44D003EB">
                  <wp:extent cx="500870" cy="36000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5220" w:type="dxa"/>
            <w:tcBorders>
              <w:bottom w:val="single" w:sz="12" w:space="0" w:color="auto"/>
            </w:tcBorders>
          </w:tcPr>
          <w:p w14:paraId="600A589D" w14:textId="77777777" w:rsidR="00C9161D" w:rsidRPr="009A635C" w:rsidRDefault="00C9161D" w:rsidP="00C9161D">
            <w:pPr>
              <w:jc w:val="right"/>
              <w:rPr>
                <w:rFonts w:ascii="Arial" w:hAnsi="Arial" w:cs="Arial"/>
                <w:b/>
                <w:sz w:val="32"/>
                <w:szCs w:val="32"/>
              </w:rPr>
            </w:pPr>
            <w:r w:rsidRPr="009A635C">
              <w:rPr>
                <w:rFonts w:ascii="Arial" w:hAnsi="Arial" w:cs="Arial"/>
                <w:b/>
                <w:sz w:val="32"/>
                <w:szCs w:val="32"/>
              </w:rPr>
              <w:t>CBD</w:t>
            </w:r>
          </w:p>
        </w:tc>
      </w:tr>
      <w:tr w:rsidR="00C9161D" w14:paraId="6F751905" w14:textId="77777777" w:rsidTr="00DC6F4A">
        <w:tc>
          <w:tcPr>
            <w:tcW w:w="5268" w:type="dxa"/>
            <w:gridSpan w:val="2"/>
            <w:tcBorders>
              <w:top w:val="single" w:sz="12" w:space="0" w:color="auto"/>
              <w:bottom w:val="single" w:sz="36" w:space="0" w:color="auto"/>
            </w:tcBorders>
            <w:vAlign w:val="center"/>
          </w:tcPr>
          <w:p w14:paraId="14F52A6C" w14:textId="77777777" w:rsidR="00C9161D" w:rsidRPr="009A635C" w:rsidRDefault="00C9161D" w:rsidP="00C9161D">
            <w:r w:rsidRPr="009A635C">
              <w:rPr>
                <w:noProof/>
                <w:lang w:val="en-US"/>
              </w:rPr>
              <w:drawing>
                <wp:inline distT="0" distB="0" distL="0" distR="0" wp14:anchorId="7BABC8B6" wp14:editId="083FE5C8">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5220" w:type="dxa"/>
            <w:tcBorders>
              <w:top w:val="single" w:sz="12" w:space="0" w:color="auto"/>
              <w:bottom w:val="single" w:sz="36" w:space="0" w:color="auto"/>
            </w:tcBorders>
          </w:tcPr>
          <w:p w14:paraId="1C693BA4" w14:textId="77777777" w:rsidR="00C9161D" w:rsidRPr="009A635C" w:rsidRDefault="00C9161D" w:rsidP="00DC6F4A">
            <w:pPr>
              <w:ind w:left="1965"/>
              <w:rPr>
                <w:szCs w:val="22"/>
              </w:rPr>
            </w:pPr>
            <w:r w:rsidRPr="009A635C">
              <w:rPr>
                <w:szCs w:val="22"/>
              </w:rPr>
              <w:t>Distr.</w:t>
            </w:r>
          </w:p>
          <w:p w14:paraId="0C21C438" w14:textId="46F81848" w:rsidR="00C9161D" w:rsidRPr="009A635C" w:rsidRDefault="00E572BA" w:rsidP="00DC6F4A">
            <w:pPr>
              <w:ind w:left="1965"/>
              <w:rPr>
                <w:szCs w:val="22"/>
              </w:rPr>
            </w:pPr>
            <w:r w:rsidRPr="009A635C">
              <w:rPr>
                <w:caps/>
                <w:szCs w:val="22"/>
              </w:rPr>
              <w:t>General</w:t>
            </w:r>
          </w:p>
          <w:p w14:paraId="06715052" w14:textId="77777777" w:rsidR="00C9161D" w:rsidRPr="009A635C" w:rsidRDefault="00C9161D" w:rsidP="00DC6F4A">
            <w:pPr>
              <w:ind w:left="1965"/>
              <w:rPr>
                <w:szCs w:val="22"/>
              </w:rPr>
            </w:pPr>
          </w:p>
          <w:p w14:paraId="44230134" w14:textId="36C85FF8" w:rsidR="00C9161D" w:rsidRPr="009A635C" w:rsidRDefault="0075193C" w:rsidP="00DC6F4A">
            <w:pPr>
              <w:ind w:left="1965"/>
              <w:rPr>
                <w:szCs w:val="22"/>
              </w:rPr>
            </w:pPr>
            <w:sdt>
              <w:sdtPr>
                <w:rPr>
                  <w:lang w:val="en-US"/>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08699B" w:rsidRPr="009A635C">
                  <w:rPr>
                    <w:lang w:val="en-US"/>
                  </w:rPr>
                  <w:t>CBD/CP/MOP/DEC/10/</w:t>
                </w:r>
                <w:r w:rsidR="00892829">
                  <w:rPr>
                    <w:lang w:val="en-US"/>
                  </w:rPr>
                  <w:t>7</w:t>
                </w:r>
              </w:sdtContent>
            </w:sdt>
          </w:p>
          <w:p w14:paraId="0DF1F033" w14:textId="29B1F15F" w:rsidR="00C9161D" w:rsidRPr="009A635C" w:rsidRDefault="0008699B" w:rsidP="00DC6F4A">
            <w:pPr>
              <w:ind w:left="1965"/>
              <w:rPr>
                <w:szCs w:val="22"/>
              </w:rPr>
            </w:pPr>
            <w:r w:rsidRPr="009A635C">
              <w:rPr>
                <w:szCs w:val="22"/>
                <w:lang w:val="en-US"/>
              </w:rPr>
              <w:t>1</w:t>
            </w:r>
            <w:r w:rsidR="008B1291" w:rsidRPr="009A635C">
              <w:rPr>
                <w:szCs w:val="22"/>
                <w:lang w:val="en-US"/>
              </w:rPr>
              <w:t>9 December</w:t>
            </w:r>
            <w:r w:rsidR="00F6586C" w:rsidRPr="009A635C">
              <w:rPr>
                <w:szCs w:val="22"/>
                <w:lang w:val="en-US"/>
              </w:rPr>
              <w:t xml:space="preserve"> 20</w:t>
            </w:r>
            <w:r w:rsidR="00FC25F8" w:rsidRPr="009A635C">
              <w:rPr>
                <w:szCs w:val="22"/>
                <w:lang w:val="en-US"/>
              </w:rPr>
              <w:t>2</w:t>
            </w:r>
            <w:r w:rsidR="00B26ACD" w:rsidRPr="009A635C">
              <w:rPr>
                <w:szCs w:val="22"/>
                <w:lang w:val="en-US"/>
              </w:rPr>
              <w:t>2</w:t>
            </w:r>
          </w:p>
          <w:p w14:paraId="159892DF" w14:textId="77777777" w:rsidR="00C9161D" w:rsidRPr="009A635C" w:rsidRDefault="00C9161D" w:rsidP="00DC6F4A">
            <w:pPr>
              <w:ind w:left="1965"/>
              <w:rPr>
                <w:szCs w:val="22"/>
              </w:rPr>
            </w:pPr>
          </w:p>
          <w:p w14:paraId="19472D49" w14:textId="77777777" w:rsidR="00C9161D" w:rsidRPr="00C9161D" w:rsidRDefault="006B2290" w:rsidP="00DC6F4A">
            <w:pPr>
              <w:ind w:left="1965"/>
              <w:rPr>
                <w:szCs w:val="22"/>
              </w:rPr>
            </w:pPr>
            <w:r w:rsidRPr="009A635C">
              <w:rPr>
                <w:szCs w:val="22"/>
              </w:rPr>
              <w:t xml:space="preserve">ORIGINAL: </w:t>
            </w:r>
            <w:r w:rsidR="00C9161D" w:rsidRPr="009A635C">
              <w:rPr>
                <w:szCs w:val="22"/>
              </w:rPr>
              <w:t>ENGLISH</w:t>
            </w:r>
          </w:p>
          <w:p w14:paraId="5AA10CCE" w14:textId="77777777" w:rsidR="00C9161D" w:rsidRDefault="00C9161D"/>
        </w:tc>
      </w:tr>
    </w:tbl>
    <w:p w14:paraId="1BF4A9A2" w14:textId="51CFE6F1" w:rsidR="003B7BB2" w:rsidRPr="00910961" w:rsidRDefault="003B7BB2" w:rsidP="00DC6F4A">
      <w:pPr>
        <w:pStyle w:val="Cornernotation"/>
        <w:kinsoku w:val="0"/>
        <w:overflowPunct w:val="0"/>
        <w:autoSpaceDE w:val="0"/>
        <w:autoSpaceDN w:val="0"/>
        <w:spacing w:before="60"/>
        <w:ind w:left="230" w:right="4234" w:hanging="230"/>
        <w:rPr>
          <w:snapToGrid w:val="0"/>
          <w:kern w:val="22"/>
        </w:rPr>
      </w:pPr>
      <w:r w:rsidRPr="00910961">
        <w:rPr>
          <w:snapToGrid w:val="0"/>
          <w:kern w:val="22"/>
        </w:rPr>
        <w:t xml:space="preserve">CONFERENCE OF THE PARTIES TO THE CONVENTION ON BIOLOGICAL DIVERSITY </w:t>
      </w:r>
      <w:r w:rsidR="005E0ED3">
        <w:rPr>
          <w:snapToGrid w:val="0"/>
          <w:kern w:val="22"/>
        </w:rPr>
        <w:t>SERVING AS THE MEETING OF THE PARTIES TO THE CARTAGENA PROTOCOL ON BIOSAFETY</w:t>
      </w:r>
    </w:p>
    <w:p w14:paraId="141C6194" w14:textId="15DB9022" w:rsidR="003B7BB2" w:rsidRPr="00910961" w:rsidRDefault="00201591" w:rsidP="00AA3A3B">
      <w:pPr>
        <w:pStyle w:val="Cornernotation"/>
        <w:kinsoku w:val="0"/>
        <w:overflowPunct w:val="0"/>
        <w:autoSpaceDE w:val="0"/>
        <w:autoSpaceDN w:val="0"/>
        <w:ind w:left="0" w:right="4512" w:firstLine="0"/>
        <w:rPr>
          <w:snapToGrid w:val="0"/>
          <w:kern w:val="22"/>
        </w:rPr>
      </w:pPr>
      <w:r>
        <w:rPr>
          <w:snapToGrid w:val="0"/>
          <w:kern w:val="22"/>
        </w:rPr>
        <w:t>Tenth</w:t>
      </w:r>
      <w:r w:rsidR="003B7BB2" w:rsidRPr="00910961">
        <w:rPr>
          <w:snapToGrid w:val="0"/>
          <w:kern w:val="22"/>
        </w:rPr>
        <w:t xml:space="preserve"> meeting</w:t>
      </w:r>
      <w:r w:rsidR="00AD7FFC">
        <w:rPr>
          <w:snapToGrid w:val="0"/>
          <w:kern w:val="22"/>
        </w:rPr>
        <w:t xml:space="preserve"> </w:t>
      </w:r>
      <w:r w:rsidR="00B26ACD">
        <w:rPr>
          <w:snapToGrid w:val="0"/>
          <w:kern w:val="22"/>
        </w:rPr>
        <w:t>– Part II</w:t>
      </w:r>
    </w:p>
    <w:p w14:paraId="4268D28C" w14:textId="78B11728" w:rsidR="003B7BB2" w:rsidRPr="00660CB5" w:rsidRDefault="00B26ACD" w:rsidP="00AA3A3B">
      <w:pPr>
        <w:pStyle w:val="Cornernotation"/>
        <w:kinsoku w:val="0"/>
        <w:overflowPunct w:val="0"/>
        <w:autoSpaceDE w:val="0"/>
        <w:autoSpaceDN w:val="0"/>
        <w:ind w:left="227" w:right="4512" w:hanging="227"/>
        <w:rPr>
          <w:snapToGrid w:val="0"/>
          <w:kern w:val="22"/>
          <w:szCs w:val="22"/>
          <w:lang w:eastAsia="nb-NO"/>
        </w:rPr>
      </w:pPr>
      <w:r>
        <w:rPr>
          <w:snapToGrid w:val="0"/>
          <w:kern w:val="22"/>
          <w:szCs w:val="22"/>
          <w:lang w:eastAsia="nb-NO"/>
        </w:rPr>
        <w:t>Montreal, Canada, 7-19 December 2022</w:t>
      </w:r>
    </w:p>
    <w:p w14:paraId="5ECF7635" w14:textId="0881D6B4" w:rsidR="00C9161D" w:rsidRDefault="00B26ACD" w:rsidP="00AA3A3B">
      <w:pPr>
        <w:rPr>
          <w:snapToGrid w:val="0"/>
          <w:kern w:val="22"/>
          <w:szCs w:val="22"/>
        </w:rPr>
      </w:pPr>
      <w:r>
        <w:rPr>
          <w:snapToGrid w:val="0"/>
          <w:kern w:val="22"/>
          <w:szCs w:val="22"/>
        </w:rPr>
        <w:t>Agenda i</w:t>
      </w:r>
      <w:r w:rsidR="00134846" w:rsidRPr="004B44DE">
        <w:rPr>
          <w:snapToGrid w:val="0"/>
          <w:kern w:val="22"/>
          <w:szCs w:val="22"/>
        </w:rPr>
        <w:t xml:space="preserve">tem </w:t>
      </w:r>
      <w:r w:rsidR="008B1291">
        <w:rPr>
          <w:snapToGrid w:val="0"/>
          <w:kern w:val="22"/>
          <w:szCs w:val="22"/>
        </w:rPr>
        <w:t>9</w:t>
      </w:r>
      <w:r w:rsidR="00134846" w:rsidRPr="004B44DE">
        <w:rPr>
          <w:snapToGrid w:val="0"/>
          <w:kern w:val="22"/>
          <w:szCs w:val="22"/>
        </w:rPr>
        <w:t xml:space="preserve"> </w:t>
      </w:r>
    </w:p>
    <w:p w14:paraId="5C84FA31" w14:textId="77777777" w:rsidR="00DA0686" w:rsidRPr="002B68D7" w:rsidRDefault="00DA0686" w:rsidP="00DC6F4A">
      <w:pPr>
        <w:spacing w:before="240" w:after="240"/>
        <w:ind w:right="-288"/>
        <w:jc w:val="center"/>
        <w:rPr>
          <w:rFonts w:ascii="Times New Roman Bold" w:hAnsi="Times New Roman Bold"/>
          <w:b/>
          <w:caps/>
        </w:rPr>
      </w:pPr>
      <w:r w:rsidRPr="002B68D7">
        <w:rPr>
          <w:rFonts w:ascii="Times New Roman Bold" w:hAnsi="Times New Roman Bold"/>
          <w:b/>
          <w:caps/>
        </w:rPr>
        <w:t>Decision adopted by the Parties to the Cartagena Protocol on Biosafety</w:t>
      </w:r>
    </w:p>
    <w:p w14:paraId="57F6B7A1" w14:textId="57941AD2" w:rsidR="00C9161D" w:rsidRPr="002B68D7" w:rsidRDefault="0075193C" w:rsidP="00DC6F4A">
      <w:pPr>
        <w:tabs>
          <w:tab w:val="left" w:pos="9000"/>
        </w:tabs>
        <w:spacing w:before="120" w:after="240"/>
        <w:ind w:left="1713" w:right="288" w:hanging="1166"/>
        <w:jc w:val="left"/>
        <w:outlineLvl w:val="1"/>
        <w:rPr>
          <w:b/>
          <w:caps/>
        </w:rPr>
      </w:pPr>
      <w:sdt>
        <w:sdtPr>
          <w:rPr>
            <w:b/>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9D5E00" w:rsidRPr="002B68D7">
            <w:rPr>
              <w:b/>
            </w:rPr>
            <w:t>CP-10/</w:t>
          </w:r>
          <w:r w:rsidR="00892829" w:rsidRPr="002B68D7">
            <w:rPr>
              <w:b/>
            </w:rPr>
            <w:t>7</w:t>
          </w:r>
          <w:r w:rsidR="009D5E00" w:rsidRPr="002B68D7">
            <w:rPr>
              <w:b/>
            </w:rPr>
            <w:t>.</w:t>
          </w:r>
          <w:r w:rsidR="009D5E00" w:rsidRPr="002B68D7">
            <w:rPr>
              <w:b/>
            </w:rPr>
            <w:tab/>
            <w:t>Assessment and review of the effectiveness of the Protocol (Article 35) and final evaluation of the Strategic Plan for the Cartagena Protocol on Biosafety for the period 2011-2020</w:t>
          </w:r>
        </w:sdtContent>
      </w:sdt>
      <w:r w:rsidR="00105372" w:rsidRPr="002B68D7">
        <w:rPr>
          <w:b/>
          <w:caps/>
        </w:rPr>
        <w:t xml:space="preserve"> </w:t>
      </w:r>
    </w:p>
    <w:p w14:paraId="6859CA08" w14:textId="77777777" w:rsidR="008B1291" w:rsidRPr="00D5004A" w:rsidRDefault="008B1291" w:rsidP="00DC6F4A">
      <w:pPr>
        <w:suppressLineNumbers/>
        <w:suppressAutoHyphens/>
        <w:kinsoku w:val="0"/>
        <w:overflowPunct w:val="0"/>
        <w:autoSpaceDE w:val="0"/>
        <w:autoSpaceDN w:val="0"/>
        <w:adjustRightInd w:val="0"/>
        <w:snapToGrid w:val="0"/>
        <w:spacing w:before="120" w:after="120"/>
        <w:ind w:firstLine="720"/>
        <w:rPr>
          <w:i/>
          <w:snapToGrid w:val="0"/>
          <w:kern w:val="22"/>
          <w:szCs w:val="22"/>
        </w:rPr>
      </w:pPr>
      <w:r w:rsidRPr="00D5004A">
        <w:rPr>
          <w:i/>
          <w:snapToGrid w:val="0"/>
          <w:kern w:val="22"/>
          <w:szCs w:val="22"/>
        </w:rPr>
        <w:t>The Conference of the Parties serving as the meeting of the Parties to the Cartagena Protocol on Biosafety,</w:t>
      </w:r>
    </w:p>
    <w:p w14:paraId="57A87410" w14:textId="77777777" w:rsidR="008B1291" w:rsidRPr="00D5004A" w:rsidRDefault="008B1291" w:rsidP="00DC6F4A">
      <w:pPr>
        <w:suppressLineNumbers/>
        <w:suppressAutoHyphens/>
        <w:kinsoku w:val="0"/>
        <w:overflowPunct w:val="0"/>
        <w:autoSpaceDE w:val="0"/>
        <w:autoSpaceDN w:val="0"/>
        <w:adjustRightInd w:val="0"/>
        <w:snapToGrid w:val="0"/>
        <w:spacing w:before="120" w:after="120"/>
        <w:ind w:firstLine="720"/>
      </w:pPr>
      <w:r w:rsidRPr="00D5004A">
        <w:rPr>
          <w:i/>
          <w:iCs/>
        </w:rPr>
        <w:t xml:space="preserve">Recalling </w:t>
      </w:r>
      <w:r w:rsidRPr="00D5004A">
        <w:t xml:space="preserve">the objective of the Cartagena Protocol on Biosafety as set out in its </w:t>
      </w:r>
      <w:proofErr w:type="gramStart"/>
      <w:r w:rsidRPr="00D5004A">
        <w:t>Article</w:t>
      </w:r>
      <w:proofErr w:type="gramEnd"/>
      <w:r w:rsidRPr="00D5004A">
        <w:t xml:space="preserve"> 1,</w:t>
      </w:r>
    </w:p>
    <w:p w14:paraId="74797DE0" w14:textId="584D9A58" w:rsidR="008B1291" w:rsidRPr="00D5004A" w:rsidRDefault="00FE50FF" w:rsidP="00DC6F4A">
      <w:pPr>
        <w:suppressLineNumbers/>
        <w:suppressAutoHyphens/>
        <w:kinsoku w:val="0"/>
        <w:overflowPunct w:val="0"/>
        <w:autoSpaceDE w:val="0"/>
        <w:autoSpaceDN w:val="0"/>
        <w:adjustRightInd w:val="0"/>
        <w:snapToGrid w:val="0"/>
        <w:spacing w:before="120" w:after="120"/>
        <w:ind w:firstLine="720"/>
        <w:rPr>
          <w:snapToGrid w:val="0"/>
          <w:kern w:val="22"/>
          <w:szCs w:val="22"/>
        </w:rPr>
      </w:pPr>
      <w:proofErr w:type="gramStart"/>
      <w:r w:rsidRPr="00D5004A">
        <w:rPr>
          <w:i/>
          <w:iCs/>
        </w:rPr>
        <w:t>R</w:t>
      </w:r>
      <w:r w:rsidR="008B1291" w:rsidRPr="00D5004A">
        <w:rPr>
          <w:i/>
          <w:iCs/>
        </w:rPr>
        <w:t xml:space="preserve">ecalling </w:t>
      </w:r>
      <w:r w:rsidRPr="00D5004A">
        <w:rPr>
          <w:i/>
          <w:iCs/>
        </w:rPr>
        <w:t>also</w:t>
      </w:r>
      <w:proofErr w:type="gramEnd"/>
      <w:r w:rsidRPr="00D5004A">
        <w:rPr>
          <w:i/>
          <w:iCs/>
        </w:rPr>
        <w:t xml:space="preserve"> </w:t>
      </w:r>
      <w:r w:rsidR="008B1291" w:rsidRPr="00D5004A">
        <w:t>Article 22 of the Protocol</w:t>
      </w:r>
      <w:r w:rsidR="00842CA3" w:rsidRPr="00D5004A">
        <w:t>,</w:t>
      </w:r>
      <w:r w:rsidR="008B1291" w:rsidRPr="00D5004A">
        <w:t xml:space="preserve"> on capacity-building</w:t>
      </w:r>
      <w:r w:rsidR="00842CA3" w:rsidRPr="00D5004A">
        <w:t>,</w:t>
      </w:r>
      <w:r w:rsidR="008B1291" w:rsidRPr="00D5004A">
        <w:t xml:space="preserve"> and Article 28 of the Protocol</w:t>
      </w:r>
      <w:r w:rsidR="00842CA3" w:rsidRPr="00D5004A">
        <w:t>,</w:t>
      </w:r>
      <w:r w:rsidR="008B1291" w:rsidRPr="00D5004A">
        <w:t xml:space="preserve"> on the financial mechanism and resources,</w:t>
      </w:r>
    </w:p>
    <w:p w14:paraId="73DEE213" w14:textId="3426FBBC" w:rsidR="008B1291" w:rsidRPr="00D5004A" w:rsidRDefault="008B1291" w:rsidP="00AA3A3B">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D5004A">
        <w:rPr>
          <w:snapToGrid w:val="0"/>
          <w:kern w:val="22"/>
          <w:szCs w:val="22"/>
        </w:rPr>
        <w:t>1.</w:t>
      </w:r>
      <w:r w:rsidRPr="00D5004A">
        <w:rPr>
          <w:snapToGrid w:val="0"/>
          <w:kern w:val="22"/>
          <w:szCs w:val="22"/>
        </w:rPr>
        <w:tab/>
      </w:r>
      <w:r w:rsidRPr="00D5004A">
        <w:rPr>
          <w:i/>
          <w:snapToGrid w:val="0"/>
          <w:kern w:val="22"/>
          <w:szCs w:val="22"/>
        </w:rPr>
        <w:t>Recognizes</w:t>
      </w:r>
      <w:r w:rsidRPr="00D5004A">
        <w:rPr>
          <w:snapToGrid w:val="0"/>
          <w:kern w:val="22"/>
          <w:szCs w:val="22"/>
        </w:rPr>
        <w:t xml:space="preserve"> the usefulness of the Strategic Plan for the Cartagena Protocol on Biosafety for the period 2011</w:t>
      </w:r>
      <w:r w:rsidR="0033016C">
        <w:rPr>
          <w:snapToGrid w:val="0"/>
          <w:kern w:val="22"/>
          <w:szCs w:val="22"/>
        </w:rPr>
        <w:t>–</w:t>
      </w:r>
      <w:r w:rsidRPr="00D5004A">
        <w:rPr>
          <w:snapToGrid w:val="0"/>
          <w:kern w:val="22"/>
          <w:szCs w:val="22"/>
        </w:rPr>
        <w:t>2020</w:t>
      </w:r>
      <w:r w:rsidRPr="00D5004A">
        <w:rPr>
          <w:snapToGrid w:val="0"/>
          <w:kern w:val="22"/>
          <w:szCs w:val="28"/>
          <w:vertAlign w:val="superscript"/>
        </w:rPr>
        <w:footnoteReference w:id="1"/>
      </w:r>
      <w:r w:rsidRPr="00D5004A">
        <w:rPr>
          <w:snapToGrid w:val="0"/>
          <w:kern w:val="22"/>
          <w:szCs w:val="22"/>
        </w:rPr>
        <w:t xml:space="preserve"> in supporting national </w:t>
      </w:r>
      <w:proofErr w:type="gramStart"/>
      <w:r w:rsidRPr="00D5004A">
        <w:rPr>
          <w:snapToGrid w:val="0"/>
          <w:kern w:val="22"/>
          <w:szCs w:val="22"/>
        </w:rPr>
        <w:t>implementation;</w:t>
      </w:r>
      <w:proofErr w:type="gramEnd"/>
    </w:p>
    <w:p w14:paraId="4893DBBA" w14:textId="0F2E20C6" w:rsidR="008B1291" w:rsidRPr="00D5004A" w:rsidRDefault="008B1291" w:rsidP="00AA3A3B">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D5004A">
        <w:rPr>
          <w:snapToGrid w:val="0"/>
          <w:kern w:val="22"/>
          <w:szCs w:val="22"/>
        </w:rPr>
        <w:t>2.</w:t>
      </w:r>
      <w:r w:rsidRPr="00D5004A">
        <w:rPr>
          <w:snapToGrid w:val="0"/>
          <w:kern w:val="22"/>
          <w:szCs w:val="22"/>
        </w:rPr>
        <w:tab/>
      </w:r>
      <w:r w:rsidRPr="00D5004A">
        <w:rPr>
          <w:i/>
          <w:iCs/>
          <w:snapToGrid w:val="0"/>
          <w:kern w:val="22"/>
          <w:szCs w:val="22"/>
        </w:rPr>
        <w:t>Also</w:t>
      </w:r>
      <w:r w:rsidRPr="00D5004A">
        <w:rPr>
          <w:snapToGrid w:val="0"/>
          <w:kern w:val="22"/>
          <w:szCs w:val="22"/>
        </w:rPr>
        <w:t xml:space="preserve"> </w:t>
      </w:r>
      <w:r w:rsidRPr="00D5004A">
        <w:rPr>
          <w:i/>
          <w:snapToGrid w:val="0"/>
          <w:kern w:val="22"/>
          <w:szCs w:val="22"/>
        </w:rPr>
        <w:t xml:space="preserve">recognizes </w:t>
      </w:r>
      <w:r w:rsidRPr="00D5004A">
        <w:rPr>
          <w:snapToGrid w:val="0"/>
          <w:kern w:val="22"/>
          <w:szCs w:val="22"/>
        </w:rPr>
        <w:t xml:space="preserve">that the </w:t>
      </w:r>
      <w:r w:rsidR="00C354AD" w:rsidRPr="00D5004A">
        <w:rPr>
          <w:snapToGrid w:val="0"/>
          <w:kern w:val="22"/>
          <w:szCs w:val="22"/>
        </w:rPr>
        <w:t>Kunming-Montreal G</w:t>
      </w:r>
      <w:r w:rsidRPr="00D5004A">
        <w:rPr>
          <w:snapToGrid w:val="0"/>
          <w:kern w:val="22"/>
          <w:szCs w:val="22"/>
        </w:rPr>
        <w:t xml:space="preserve">lobal </w:t>
      </w:r>
      <w:r w:rsidR="00C354AD" w:rsidRPr="00D5004A">
        <w:rPr>
          <w:snapToGrid w:val="0"/>
          <w:kern w:val="22"/>
          <w:szCs w:val="22"/>
        </w:rPr>
        <w:t>B</w:t>
      </w:r>
      <w:r w:rsidRPr="00D5004A">
        <w:rPr>
          <w:snapToGrid w:val="0"/>
          <w:kern w:val="22"/>
          <w:szCs w:val="22"/>
        </w:rPr>
        <w:t xml:space="preserve">iodiversity </w:t>
      </w:r>
      <w:r w:rsidR="00C354AD" w:rsidRPr="00D5004A">
        <w:rPr>
          <w:snapToGrid w:val="0"/>
          <w:kern w:val="22"/>
          <w:szCs w:val="22"/>
        </w:rPr>
        <w:t>F</w:t>
      </w:r>
      <w:r w:rsidRPr="00D5004A">
        <w:rPr>
          <w:snapToGrid w:val="0"/>
          <w:kern w:val="22"/>
          <w:szCs w:val="22"/>
        </w:rPr>
        <w:t xml:space="preserve">ramework must contribute to the implementation of and </w:t>
      </w:r>
      <w:r w:rsidRPr="00C87469">
        <w:rPr>
          <w:snapToGrid w:val="0"/>
          <w:kern w:val="22"/>
          <w:szCs w:val="22"/>
        </w:rPr>
        <w:t xml:space="preserve">compliance with the Cartagena Protocol on Biosafety, and </w:t>
      </w:r>
      <w:r w:rsidRPr="00DC6F4A">
        <w:rPr>
          <w:snapToGrid w:val="0"/>
          <w:kern w:val="22"/>
          <w:szCs w:val="22"/>
        </w:rPr>
        <w:t>acknowledges</w:t>
      </w:r>
      <w:r w:rsidRPr="00C87469">
        <w:rPr>
          <w:snapToGrid w:val="0"/>
          <w:kern w:val="22"/>
          <w:szCs w:val="22"/>
        </w:rPr>
        <w:t xml:space="preserve"> the relevance of the Protocol</w:t>
      </w:r>
      <w:r w:rsidR="00DF7358" w:rsidRPr="00C87469">
        <w:rPr>
          <w:snapToGrid w:val="0"/>
          <w:kern w:val="22"/>
          <w:szCs w:val="22"/>
        </w:rPr>
        <w:t>,</w:t>
      </w:r>
      <w:r w:rsidRPr="00C87469">
        <w:rPr>
          <w:snapToGrid w:val="0"/>
          <w:kern w:val="22"/>
          <w:szCs w:val="22"/>
        </w:rPr>
        <w:t xml:space="preserve"> </w:t>
      </w:r>
      <w:r w:rsidR="00DF7358" w:rsidRPr="00D31942">
        <w:rPr>
          <w:snapToGrid w:val="0"/>
          <w:kern w:val="22"/>
          <w:szCs w:val="22"/>
        </w:rPr>
        <w:t xml:space="preserve">the </w:t>
      </w:r>
      <w:r w:rsidR="001A6C80" w:rsidRPr="00D31942">
        <w:rPr>
          <w:snapToGrid w:val="0"/>
          <w:kern w:val="22"/>
          <w:szCs w:val="22"/>
        </w:rPr>
        <w:t>I</w:t>
      </w:r>
      <w:r w:rsidRPr="00C87469">
        <w:rPr>
          <w:snapToGrid w:val="0"/>
          <w:kern w:val="22"/>
          <w:szCs w:val="22"/>
        </w:rPr>
        <w:t>mplementation</w:t>
      </w:r>
      <w:r w:rsidRPr="00D5004A">
        <w:rPr>
          <w:snapToGrid w:val="0"/>
          <w:kern w:val="22"/>
          <w:szCs w:val="22"/>
        </w:rPr>
        <w:t xml:space="preserve"> </w:t>
      </w:r>
      <w:r w:rsidR="001A6C80" w:rsidRPr="00DC6F4A">
        <w:rPr>
          <w:snapToGrid w:val="0"/>
          <w:kern w:val="22"/>
          <w:szCs w:val="22"/>
        </w:rPr>
        <w:t>P</w:t>
      </w:r>
      <w:r w:rsidRPr="00D5004A">
        <w:rPr>
          <w:snapToGrid w:val="0"/>
          <w:kern w:val="22"/>
          <w:szCs w:val="22"/>
        </w:rPr>
        <w:t>lan</w:t>
      </w:r>
      <w:r w:rsidR="00DF7358" w:rsidRPr="00D5004A">
        <w:rPr>
          <w:snapToGrid w:val="0"/>
          <w:kern w:val="22"/>
          <w:szCs w:val="22"/>
        </w:rPr>
        <w:t xml:space="preserve"> for the Cartagena Protocol on Biosafety</w:t>
      </w:r>
      <w:r w:rsidR="00C86F0F" w:rsidRPr="00DC6F4A">
        <w:rPr>
          <w:rStyle w:val="FootnoteReference"/>
          <w:snapToGrid w:val="0"/>
          <w:kern w:val="22"/>
          <w:szCs w:val="22"/>
        </w:rPr>
        <w:footnoteReference w:id="2"/>
      </w:r>
      <w:r w:rsidRPr="00D5004A">
        <w:rPr>
          <w:snapToGrid w:val="0"/>
          <w:kern w:val="22"/>
          <w:szCs w:val="22"/>
        </w:rPr>
        <w:t xml:space="preserve"> and </w:t>
      </w:r>
      <w:r w:rsidR="00DF7358" w:rsidRPr="00D5004A">
        <w:rPr>
          <w:snapToGrid w:val="0"/>
          <w:kern w:val="22"/>
          <w:szCs w:val="22"/>
        </w:rPr>
        <w:t xml:space="preserve">the </w:t>
      </w:r>
      <w:r w:rsidR="001A6C80" w:rsidRPr="00D5004A">
        <w:rPr>
          <w:snapToGrid w:val="0"/>
          <w:kern w:val="22"/>
          <w:szCs w:val="22"/>
        </w:rPr>
        <w:t>C</w:t>
      </w:r>
      <w:r w:rsidRPr="00D5004A">
        <w:rPr>
          <w:snapToGrid w:val="0"/>
          <w:kern w:val="22"/>
          <w:szCs w:val="22"/>
        </w:rPr>
        <w:t xml:space="preserve">apacity-building </w:t>
      </w:r>
      <w:r w:rsidR="001A6C80" w:rsidRPr="00DC6F4A">
        <w:rPr>
          <w:snapToGrid w:val="0"/>
          <w:kern w:val="22"/>
          <w:szCs w:val="22"/>
        </w:rPr>
        <w:t>A</w:t>
      </w:r>
      <w:r w:rsidRPr="00D5004A">
        <w:rPr>
          <w:snapToGrid w:val="0"/>
          <w:kern w:val="22"/>
          <w:szCs w:val="22"/>
        </w:rPr>
        <w:t xml:space="preserve">ction </w:t>
      </w:r>
      <w:r w:rsidR="001A6C80" w:rsidRPr="00DC6F4A">
        <w:rPr>
          <w:snapToGrid w:val="0"/>
          <w:kern w:val="22"/>
          <w:szCs w:val="22"/>
        </w:rPr>
        <w:t>P</w:t>
      </w:r>
      <w:r w:rsidRPr="00D5004A">
        <w:rPr>
          <w:snapToGrid w:val="0"/>
          <w:kern w:val="22"/>
          <w:szCs w:val="22"/>
        </w:rPr>
        <w:t>lan</w:t>
      </w:r>
      <w:r w:rsidR="00DF7358" w:rsidRPr="00DC6F4A">
        <w:rPr>
          <w:snapToGrid w:val="0"/>
          <w:kern w:val="22"/>
          <w:szCs w:val="22"/>
        </w:rPr>
        <w:t xml:space="preserve"> for the Cartagena Protocol on Biosafe</w:t>
      </w:r>
      <w:r w:rsidR="00CC6160" w:rsidRPr="00DC6F4A">
        <w:rPr>
          <w:snapToGrid w:val="0"/>
          <w:kern w:val="22"/>
          <w:szCs w:val="22"/>
        </w:rPr>
        <w:t>t</w:t>
      </w:r>
      <w:r w:rsidR="00DF7358" w:rsidRPr="00DC6F4A">
        <w:rPr>
          <w:snapToGrid w:val="0"/>
          <w:kern w:val="22"/>
          <w:szCs w:val="22"/>
        </w:rPr>
        <w:t>y</w:t>
      </w:r>
      <w:r w:rsidR="00C86F0F" w:rsidRPr="00DC6F4A">
        <w:rPr>
          <w:rStyle w:val="FootnoteReference"/>
          <w:snapToGrid w:val="0"/>
          <w:kern w:val="22"/>
          <w:szCs w:val="22"/>
        </w:rPr>
        <w:footnoteReference w:id="3"/>
      </w:r>
      <w:r w:rsidRPr="00D5004A">
        <w:rPr>
          <w:snapToGrid w:val="0"/>
          <w:kern w:val="22"/>
          <w:szCs w:val="22"/>
        </w:rPr>
        <w:t xml:space="preserve"> to the achievement of the three objectives of the Convention on Biological </w:t>
      </w:r>
      <w:proofErr w:type="gramStart"/>
      <w:r w:rsidRPr="00D5004A">
        <w:rPr>
          <w:snapToGrid w:val="0"/>
          <w:kern w:val="22"/>
          <w:szCs w:val="22"/>
        </w:rPr>
        <w:t>Diversity;</w:t>
      </w:r>
      <w:proofErr w:type="gramEnd"/>
    </w:p>
    <w:p w14:paraId="6B614CE7" w14:textId="3827AD89" w:rsidR="008B1291" w:rsidRPr="00D5004A" w:rsidRDefault="008B1291" w:rsidP="00AA3A3B">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D5004A">
        <w:rPr>
          <w:snapToGrid w:val="0"/>
          <w:kern w:val="22"/>
          <w:szCs w:val="22"/>
        </w:rPr>
        <w:t>3.</w:t>
      </w:r>
      <w:r w:rsidRPr="00D5004A">
        <w:rPr>
          <w:snapToGrid w:val="0"/>
          <w:kern w:val="22"/>
          <w:szCs w:val="22"/>
        </w:rPr>
        <w:tab/>
      </w:r>
      <w:r w:rsidRPr="00D5004A">
        <w:rPr>
          <w:i/>
          <w:snapToGrid w:val="0"/>
          <w:kern w:val="22"/>
          <w:szCs w:val="22"/>
        </w:rPr>
        <w:t>Welcomes</w:t>
      </w:r>
      <w:r w:rsidRPr="00D5004A">
        <w:rPr>
          <w:snapToGrid w:val="0"/>
          <w:kern w:val="22"/>
          <w:szCs w:val="22"/>
        </w:rPr>
        <w:t xml:space="preserve"> the contribution of the Liaison Group on the Cartagena Protocol </w:t>
      </w:r>
      <w:r w:rsidR="00034F69" w:rsidRPr="00D5004A">
        <w:rPr>
          <w:snapToGrid w:val="0"/>
          <w:kern w:val="22"/>
          <w:szCs w:val="22"/>
        </w:rPr>
        <w:t xml:space="preserve">on Biosafety </w:t>
      </w:r>
      <w:r w:rsidRPr="00D5004A">
        <w:rPr>
          <w:snapToGrid w:val="0"/>
          <w:kern w:val="22"/>
          <w:szCs w:val="22"/>
        </w:rPr>
        <w:t xml:space="preserve">and the Compliance Committee to the fourth assessment and review of </w:t>
      </w:r>
      <w:r w:rsidR="00084928" w:rsidRPr="00D5004A">
        <w:rPr>
          <w:snapToGrid w:val="0"/>
          <w:kern w:val="22"/>
          <w:szCs w:val="22"/>
        </w:rPr>
        <w:t xml:space="preserve">the effectiveness of </w:t>
      </w:r>
      <w:r w:rsidRPr="00D5004A">
        <w:rPr>
          <w:snapToGrid w:val="0"/>
          <w:kern w:val="22"/>
          <w:szCs w:val="22"/>
        </w:rPr>
        <w:t>the Protocol and final evaluation of the Strategic Plan for the Cartagena Protocol on Biosafety for the period 2011</w:t>
      </w:r>
      <w:r w:rsidR="00511E0C">
        <w:rPr>
          <w:snapToGrid w:val="0"/>
          <w:kern w:val="22"/>
          <w:szCs w:val="22"/>
        </w:rPr>
        <w:t>–</w:t>
      </w:r>
      <w:r w:rsidRPr="00D5004A">
        <w:rPr>
          <w:snapToGrid w:val="0"/>
          <w:kern w:val="22"/>
          <w:szCs w:val="22"/>
        </w:rPr>
        <w:t>2020,</w:t>
      </w:r>
      <w:r w:rsidRPr="00D5004A">
        <w:rPr>
          <w:snapToGrid w:val="0"/>
          <w:kern w:val="22"/>
          <w:szCs w:val="28"/>
          <w:vertAlign w:val="superscript"/>
        </w:rPr>
        <w:footnoteReference w:id="4"/>
      </w:r>
      <w:r w:rsidRPr="00D5004A">
        <w:rPr>
          <w:snapToGrid w:val="0"/>
          <w:kern w:val="22"/>
          <w:szCs w:val="22"/>
        </w:rPr>
        <w:t xml:space="preserve"> and </w:t>
      </w:r>
      <w:r w:rsidRPr="00DC6F4A">
        <w:rPr>
          <w:snapToGrid w:val="0"/>
          <w:kern w:val="22"/>
          <w:szCs w:val="22"/>
        </w:rPr>
        <w:t>requests</w:t>
      </w:r>
      <w:r w:rsidRPr="00D5004A">
        <w:rPr>
          <w:snapToGrid w:val="0"/>
          <w:kern w:val="22"/>
          <w:szCs w:val="22"/>
        </w:rPr>
        <w:t xml:space="preserve"> them to </w:t>
      </w:r>
      <w:r w:rsidR="00DA2735" w:rsidRPr="00D5004A">
        <w:rPr>
          <w:snapToGrid w:val="0"/>
          <w:kern w:val="22"/>
          <w:szCs w:val="22"/>
        </w:rPr>
        <w:t>provide</w:t>
      </w:r>
      <w:r w:rsidRPr="00D5004A">
        <w:rPr>
          <w:snapToGrid w:val="0"/>
          <w:kern w:val="22"/>
          <w:szCs w:val="22"/>
        </w:rPr>
        <w:t xml:space="preserve"> input to the fifth assessment and review and evaluation process of </w:t>
      </w:r>
      <w:r w:rsidR="00966DA4" w:rsidRPr="00D5004A">
        <w:rPr>
          <w:snapToGrid w:val="0"/>
          <w:kern w:val="22"/>
          <w:szCs w:val="22"/>
        </w:rPr>
        <w:t>the Implementation Plan for the Cartagena Protocol on Biosafety</w:t>
      </w:r>
      <w:r w:rsidRPr="00D5004A">
        <w:rPr>
          <w:snapToGrid w:val="0"/>
          <w:kern w:val="22"/>
          <w:szCs w:val="22"/>
        </w:rPr>
        <w:t xml:space="preserve">, as </w:t>
      </w:r>
      <w:proofErr w:type="gramStart"/>
      <w:r w:rsidRPr="00D5004A">
        <w:rPr>
          <w:snapToGrid w:val="0"/>
          <w:kern w:val="22"/>
          <w:szCs w:val="22"/>
        </w:rPr>
        <w:t>appropriate;</w:t>
      </w:r>
      <w:proofErr w:type="gramEnd"/>
    </w:p>
    <w:p w14:paraId="0ED02E0F" w14:textId="77777777" w:rsidR="008B1291" w:rsidRPr="00D5004A" w:rsidRDefault="008B1291" w:rsidP="00E20A56">
      <w:pPr>
        <w:keepNext/>
        <w:suppressLineNumbers/>
        <w:tabs>
          <w:tab w:val="left" w:pos="567"/>
        </w:tabs>
        <w:suppressAutoHyphens/>
        <w:kinsoku w:val="0"/>
        <w:overflowPunct w:val="0"/>
        <w:autoSpaceDE w:val="0"/>
        <w:autoSpaceDN w:val="0"/>
        <w:adjustRightInd w:val="0"/>
        <w:snapToGrid w:val="0"/>
        <w:spacing w:before="120" w:after="120"/>
        <w:jc w:val="center"/>
        <w:rPr>
          <w:b/>
          <w:snapToGrid w:val="0"/>
          <w:kern w:val="22"/>
          <w:szCs w:val="22"/>
        </w:rPr>
      </w:pPr>
      <w:r w:rsidRPr="00D5004A">
        <w:rPr>
          <w:b/>
          <w:snapToGrid w:val="0"/>
          <w:kern w:val="22"/>
          <w:szCs w:val="22"/>
        </w:rPr>
        <w:t>A.</w:t>
      </w:r>
      <w:r w:rsidRPr="00D5004A">
        <w:rPr>
          <w:b/>
          <w:snapToGrid w:val="0"/>
          <w:kern w:val="22"/>
          <w:szCs w:val="22"/>
        </w:rPr>
        <w:tab/>
        <w:t>National biosafety frameworks</w:t>
      </w:r>
    </w:p>
    <w:p w14:paraId="6383BDE7" w14:textId="77777777" w:rsidR="008B1291" w:rsidRPr="00C3075A" w:rsidRDefault="008B1291" w:rsidP="00AA3A3B">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D5004A">
        <w:rPr>
          <w:snapToGrid w:val="0"/>
          <w:kern w:val="22"/>
          <w:szCs w:val="22"/>
        </w:rPr>
        <w:t>4.</w:t>
      </w:r>
      <w:r w:rsidRPr="00D5004A">
        <w:rPr>
          <w:snapToGrid w:val="0"/>
          <w:kern w:val="22"/>
          <w:szCs w:val="22"/>
        </w:rPr>
        <w:tab/>
      </w:r>
      <w:r w:rsidRPr="00D5004A">
        <w:rPr>
          <w:i/>
          <w:snapToGrid w:val="0"/>
          <w:kern w:val="22"/>
          <w:szCs w:val="22"/>
        </w:rPr>
        <w:t>Welcomes</w:t>
      </w:r>
      <w:r w:rsidRPr="00D5004A">
        <w:rPr>
          <w:snapToGrid w:val="0"/>
          <w:kern w:val="22"/>
          <w:szCs w:val="22"/>
        </w:rPr>
        <w:t xml:space="preserve"> the progress in establishing functional administrative arrangements, </w:t>
      </w:r>
      <w:r w:rsidRPr="00DC6F4A">
        <w:rPr>
          <w:snapToGrid w:val="0"/>
          <w:kern w:val="22"/>
          <w:szCs w:val="22"/>
        </w:rPr>
        <w:t>noting</w:t>
      </w:r>
      <w:r w:rsidRPr="00D5004A">
        <w:rPr>
          <w:snapToGrid w:val="0"/>
          <w:kern w:val="22"/>
          <w:szCs w:val="22"/>
        </w:rPr>
        <w:t xml:space="preserve"> that almost all Parties have permanent staff to administer the functions related to </w:t>
      </w:r>
      <w:proofErr w:type="gramStart"/>
      <w:r w:rsidRPr="00D5004A">
        <w:rPr>
          <w:snapToGrid w:val="0"/>
          <w:kern w:val="22"/>
          <w:szCs w:val="22"/>
        </w:rPr>
        <w:t>biosafety;</w:t>
      </w:r>
      <w:proofErr w:type="gramEnd"/>
    </w:p>
    <w:p w14:paraId="5019398F" w14:textId="77777777" w:rsidR="008B1291" w:rsidRPr="00C3075A" w:rsidRDefault="008B1291" w:rsidP="00AA3A3B">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0D4302">
        <w:rPr>
          <w:snapToGrid w:val="0"/>
          <w:kern w:val="22"/>
          <w:szCs w:val="22"/>
        </w:rPr>
        <w:t>5</w:t>
      </w:r>
      <w:r w:rsidRPr="00C3075A">
        <w:rPr>
          <w:snapToGrid w:val="0"/>
          <w:kern w:val="22"/>
          <w:szCs w:val="22"/>
        </w:rPr>
        <w:tab/>
      </w:r>
      <w:r>
        <w:rPr>
          <w:i/>
          <w:snapToGrid w:val="0"/>
          <w:kern w:val="22"/>
          <w:szCs w:val="22"/>
        </w:rPr>
        <w:t>U</w:t>
      </w:r>
      <w:r w:rsidRPr="00C3075A">
        <w:rPr>
          <w:i/>
          <w:snapToGrid w:val="0"/>
          <w:kern w:val="22"/>
          <w:szCs w:val="22"/>
        </w:rPr>
        <w:t>rges</w:t>
      </w:r>
      <w:r w:rsidRPr="00C3075A">
        <w:rPr>
          <w:snapToGrid w:val="0"/>
          <w:kern w:val="22"/>
          <w:szCs w:val="22"/>
        </w:rPr>
        <w:t xml:space="preserve"> Parties to allocate the necessary resources for the operation of their biosafety institutions, given the crucial role of these institutions in implementing the </w:t>
      </w:r>
      <w:proofErr w:type="gramStart"/>
      <w:r w:rsidRPr="00C3075A">
        <w:rPr>
          <w:snapToGrid w:val="0"/>
          <w:kern w:val="22"/>
          <w:szCs w:val="22"/>
        </w:rPr>
        <w:t>Protocol;</w:t>
      </w:r>
      <w:proofErr w:type="gramEnd"/>
    </w:p>
    <w:p w14:paraId="72C1F957" w14:textId="77777777" w:rsidR="008B1291" w:rsidRPr="00C3075A" w:rsidRDefault="008B1291" w:rsidP="00AA3A3B">
      <w:pPr>
        <w:suppressLineNumbers/>
        <w:suppressAutoHyphens/>
        <w:kinsoku w:val="0"/>
        <w:overflowPunct w:val="0"/>
        <w:autoSpaceDE w:val="0"/>
        <w:autoSpaceDN w:val="0"/>
        <w:adjustRightInd w:val="0"/>
        <w:snapToGrid w:val="0"/>
        <w:spacing w:before="120" w:after="120"/>
        <w:ind w:firstLine="720"/>
        <w:rPr>
          <w:snapToGrid w:val="0"/>
          <w:kern w:val="22"/>
          <w:szCs w:val="22"/>
        </w:rPr>
      </w:pPr>
      <w:r>
        <w:rPr>
          <w:snapToGrid w:val="0"/>
          <w:kern w:val="22"/>
          <w:szCs w:val="22"/>
        </w:rPr>
        <w:t>6</w:t>
      </w:r>
      <w:r w:rsidRPr="00C3075A">
        <w:rPr>
          <w:snapToGrid w:val="0"/>
          <w:kern w:val="22"/>
          <w:szCs w:val="22"/>
        </w:rPr>
        <w:t>.</w:t>
      </w:r>
      <w:r w:rsidRPr="00C3075A">
        <w:rPr>
          <w:snapToGrid w:val="0"/>
          <w:kern w:val="22"/>
          <w:szCs w:val="22"/>
        </w:rPr>
        <w:tab/>
      </w:r>
      <w:r>
        <w:rPr>
          <w:i/>
          <w:snapToGrid w:val="0"/>
          <w:kern w:val="22"/>
          <w:szCs w:val="22"/>
        </w:rPr>
        <w:t>Also</w:t>
      </w:r>
      <w:r w:rsidRPr="00C3075A">
        <w:rPr>
          <w:snapToGrid w:val="0"/>
          <w:kern w:val="22"/>
          <w:szCs w:val="22"/>
        </w:rPr>
        <w:t xml:space="preserve"> </w:t>
      </w:r>
      <w:r w:rsidRPr="00C3075A">
        <w:rPr>
          <w:i/>
          <w:snapToGrid w:val="0"/>
          <w:kern w:val="22"/>
          <w:szCs w:val="22"/>
        </w:rPr>
        <w:t>urges</w:t>
      </w:r>
      <w:r w:rsidRPr="00C3075A">
        <w:rPr>
          <w:snapToGrid w:val="0"/>
          <w:kern w:val="22"/>
          <w:szCs w:val="22"/>
        </w:rPr>
        <w:t xml:space="preserve"> Parties to mobilize resources from all available national and international sources, including international cooperation and the private sector, to further support operation of their biosafety </w:t>
      </w:r>
      <w:proofErr w:type="gramStart"/>
      <w:r w:rsidRPr="00C3075A">
        <w:rPr>
          <w:snapToGrid w:val="0"/>
          <w:kern w:val="22"/>
          <w:szCs w:val="22"/>
        </w:rPr>
        <w:t>institutions;</w:t>
      </w:r>
      <w:proofErr w:type="gramEnd"/>
    </w:p>
    <w:p w14:paraId="16876902" w14:textId="5E0355EE" w:rsidR="008B1291" w:rsidRPr="00DC029B" w:rsidRDefault="008B1291" w:rsidP="00AA3A3B">
      <w:pPr>
        <w:suppressLineNumbers/>
        <w:suppressAutoHyphens/>
        <w:kinsoku w:val="0"/>
        <w:overflowPunct w:val="0"/>
        <w:autoSpaceDE w:val="0"/>
        <w:autoSpaceDN w:val="0"/>
        <w:adjustRightInd w:val="0"/>
        <w:snapToGrid w:val="0"/>
        <w:spacing w:before="120" w:after="120"/>
        <w:ind w:firstLine="720"/>
        <w:rPr>
          <w:snapToGrid w:val="0"/>
          <w:kern w:val="22"/>
          <w:szCs w:val="22"/>
        </w:rPr>
      </w:pPr>
      <w:r>
        <w:rPr>
          <w:snapToGrid w:val="0"/>
          <w:kern w:val="22"/>
          <w:szCs w:val="22"/>
        </w:rPr>
        <w:t>7</w:t>
      </w:r>
      <w:r w:rsidRPr="00C3075A">
        <w:rPr>
          <w:snapToGrid w:val="0"/>
          <w:kern w:val="22"/>
          <w:szCs w:val="22"/>
        </w:rPr>
        <w:t>.</w:t>
      </w:r>
      <w:r w:rsidRPr="00C3075A">
        <w:rPr>
          <w:snapToGrid w:val="0"/>
          <w:kern w:val="22"/>
          <w:szCs w:val="22"/>
        </w:rPr>
        <w:tab/>
      </w:r>
      <w:r w:rsidRPr="00C3075A">
        <w:rPr>
          <w:i/>
          <w:snapToGrid w:val="0"/>
          <w:kern w:val="22"/>
          <w:szCs w:val="22"/>
        </w:rPr>
        <w:t xml:space="preserve">Notes </w:t>
      </w:r>
      <w:r w:rsidRPr="00F7066B">
        <w:rPr>
          <w:i/>
          <w:iCs/>
          <w:snapToGrid w:val="0"/>
          <w:kern w:val="22"/>
          <w:szCs w:val="22"/>
        </w:rPr>
        <w:t xml:space="preserve">with </w:t>
      </w:r>
      <w:r w:rsidRPr="00F7066B">
        <w:rPr>
          <w:i/>
          <w:iCs/>
          <w:snapToGrid w:val="0"/>
          <w:kern w:val="22"/>
          <w:szCs w:val="22"/>
          <w:shd w:val="clear" w:color="auto" w:fill="FFFFFF" w:themeFill="background1"/>
        </w:rPr>
        <w:t>grave concern</w:t>
      </w:r>
      <w:r w:rsidRPr="00552C67">
        <w:rPr>
          <w:snapToGrid w:val="0"/>
          <w:kern w:val="22"/>
          <w:szCs w:val="22"/>
          <w:shd w:val="clear" w:color="auto" w:fill="FFFFFF" w:themeFill="background1"/>
        </w:rPr>
        <w:t xml:space="preserve"> that only about half of the</w:t>
      </w:r>
      <w:r w:rsidRPr="00C3075A">
        <w:rPr>
          <w:snapToGrid w:val="0"/>
          <w:kern w:val="22"/>
          <w:szCs w:val="22"/>
        </w:rPr>
        <w:t xml:space="preserve"> </w:t>
      </w:r>
      <w:r w:rsidRPr="00DC029B">
        <w:rPr>
          <w:snapToGrid w:val="0"/>
          <w:kern w:val="22"/>
          <w:szCs w:val="22"/>
        </w:rPr>
        <w:t xml:space="preserve">Parties have fully introduced the necessary legal, </w:t>
      </w:r>
      <w:proofErr w:type="gramStart"/>
      <w:r w:rsidRPr="00DC029B">
        <w:rPr>
          <w:snapToGrid w:val="0"/>
          <w:kern w:val="22"/>
          <w:szCs w:val="22"/>
        </w:rPr>
        <w:t>administrative</w:t>
      </w:r>
      <w:proofErr w:type="gramEnd"/>
      <w:r w:rsidRPr="00DC029B">
        <w:rPr>
          <w:snapToGrid w:val="0"/>
          <w:kern w:val="22"/>
          <w:szCs w:val="22"/>
        </w:rPr>
        <w:t xml:space="preserve"> and other measures to implement their obligations under the Protocol and that limited progress has been made in this regard since the midterm evaluation of the Strategic Plan</w:t>
      </w:r>
      <w:r w:rsidR="006B13E1" w:rsidRPr="00DC029B">
        <w:rPr>
          <w:snapToGrid w:val="0"/>
          <w:kern w:val="22"/>
          <w:szCs w:val="22"/>
        </w:rPr>
        <w:t xml:space="preserve"> for the Cartagena Protocol</w:t>
      </w:r>
      <w:r w:rsidR="006B13E1" w:rsidRPr="00DC029B">
        <w:t xml:space="preserve"> </w:t>
      </w:r>
      <w:r w:rsidR="006B13E1" w:rsidRPr="00DC029B">
        <w:rPr>
          <w:snapToGrid w:val="0"/>
          <w:kern w:val="22"/>
          <w:szCs w:val="22"/>
        </w:rPr>
        <w:t>on Biosafety for the period 2011</w:t>
      </w:r>
      <w:r w:rsidR="002F1586">
        <w:rPr>
          <w:snapToGrid w:val="0"/>
          <w:kern w:val="22"/>
          <w:szCs w:val="22"/>
        </w:rPr>
        <w:t>–</w:t>
      </w:r>
      <w:r w:rsidR="006B13E1" w:rsidRPr="00DC029B">
        <w:rPr>
          <w:snapToGrid w:val="0"/>
          <w:kern w:val="22"/>
          <w:szCs w:val="22"/>
        </w:rPr>
        <w:t>2020</w:t>
      </w:r>
      <w:r w:rsidRPr="00DC029B">
        <w:rPr>
          <w:snapToGrid w:val="0"/>
          <w:kern w:val="22"/>
          <w:szCs w:val="22"/>
        </w:rPr>
        <w:t>;</w:t>
      </w:r>
      <w:r w:rsidRPr="00DC029B">
        <w:rPr>
          <w:rFonts w:asciiTheme="majorBidi" w:hAnsiTheme="majorBidi" w:cstheme="majorBidi"/>
          <w:szCs w:val="32"/>
          <w:vertAlign w:val="superscript"/>
        </w:rPr>
        <w:footnoteReference w:id="5"/>
      </w:r>
    </w:p>
    <w:p w14:paraId="63D42281" w14:textId="77777777" w:rsidR="008B1291" w:rsidRPr="00DC029B" w:rsidRDefault="008B1291" w:rsidP="00AA3A3B">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DC029B">
        <w:rPr>
          <w:snapToGrid w:val="0"/>
          <w:kern w:val="22"/>
          <w:szCs w:val="22"/>
        </w:rPr>
        <w:t>8.</w:t>
      </w:r>
      <w:r w:rsidRPr="00DC029B">
        <w:rPr>
          <w:snapToGrid w:val="0"/>
          <w:kern w:val="22"/>
          <w:szCs w:val="22"/>
        </w:rPr>
        <w:tab/>
      </w:r>
      <w:r w:rsidRPr="00DC029B">
        <w:rPr>
          <w:i/>
          <w:snapToGrid w:val="0"/>
          <w:kern w:val="22"/>
          <w:szCs w:val="22"/>
        </w:rPr>
        <w:t>Urges</w:t>
      </w:r>
      <w:r w:rsidRPr="00DC029B">
        <w:rPr>
          <w:snapToGrid w:val="0"/>
          <w:kern w:val="22"/>
          <w:szCs w:val="22"/>
        </w:rPr>
        <w:t xml:space="preserve"> Parties that have not yet fully done so to put in place legal, administrative and other measures to implement their obligations under the Protocol, in particular biosafety legislation, as a matter of priority, and recognizes that further support is needed in this </w:t>
      </w:r>
      <w:proofErr w:type="gramStart"/>
      <w:r w:rsidRPr="00DC029B">
        <w:rPr>
          <w:snapToGrid w:val="0"/>
          <w:kern w:val="22"/>
          <w:szCs w:val="22"/>
        </w:rPr>
        <w:t>area;</w:t>
      </w:r>
      <w:proofErr w:type="gramEnd"/>
    </w:p>
    <w:p w14:paraId="5C3C9238" w14:textId="5AA20B10" w:rsidR="008B1291" w:rsidRPr="00DC029B" w:rsidRDefault="008B1291" w:rsidP="00AA3A3B">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DC029B">
        <w:rPr>
          <w:snapToGrid w:val="0"/>
          <w:kern w:val="22"/>
          <w:szCs w:val="22"/>
        </w:rPr>
        <w:t>9.</w:t>
      </w:r>
      <w:r w:rsidRPr="00DC029B">
        <w:rPr>
          <w:snapToGrid w:val="0"/>
          <w:kern w:val="22"/>
          <w:szCs w:val="22"/>
        </w:rPr>
        <w:tab/>
      </w:r>
      <w:r w:rsidRPr="00DC029B">
        <w:rPr>
          <w:i/>
          <w:snapToGrid w:val="0"/>
          <w:kern w:val="22"/>
          <w:szCs w:val="22"/>
        </w:rPr>
        <w:t xml:space="preserve">Encourages </w:t>
      </w:r>
      <w:r w:rsidRPr="00DC029B">
        <w:rPr>
          <w:snapToGrid w:val="0"/>
          <w:kern w:val="22"/>
          <w:szCs w:val="22"/>
        </w:rPr>
        <w:t xml:space="preserve">Parties to consider indigenous peoples and local communities, gender, women, youth and </w:t>
      </w:r>
      <w:r w:rsidR="00317074" w:rsidRPr="00DC029B">
        <w:rPr>
          <w:snapToGrid w:val="0"/>
          <w:kern w:val="22"/>
          <w:szCs w:val="22"/>
        </w:rPr>
        <w:t xml:space="preserve">a human </w:t>
      </w:r>
      <w:r w:rsidRPr="00DC029B">
        <w:rPr>
          <w:snapToGrid w:val="0"/>
          <w:kern w:val="22"/>
          <w:szCs w:val="22"/>
        </w:rPr>
        <w:t xml:space="preserve">rights-based approach in their national biosafety </w:t>
      </w:r>
      <w:proofErr w:type="gramStart"/>
      <w:r w:rsidRPr="00DC029B">
        <w:rPr>
          <w:snapToGrid w:val="0"/>
          <w:kern w:val="22"/>
          <w:szCs w:val="22"/>
        </w:rPr>
        <w:t>frameworks;</w:t>
      </w:r>
      <w:proofErr w:type="gramEnd"/>
    </w:p>
    <w:p w14:paraId="1AC242A4" w14:textId="77777777" w:rsidR="008B1291" w:rsidRPr="00DC029B" w:rsidRDefault="008B1291" w:rsidP="00AA3A3B">
      <w:pPr>
        <w:keepNext/>
        <w:suppressLineNumbers/>
        <w:tabs>
          <w:tab w:val="left" w:pos="1134"/>
        </w:tabs>
        <w:suppressAutoHyphens/>
        <w:kinsoku w:val="0"/>
        <w:overflowPunct w:val="0"/>
        <w:autoSpaceDE w:val="0"/>
        <w:autoSpaceDN w:val="0"/>
        <w:adjustRightInd w:val="0"/>
        <w:snapToGrid w:val="0"/>
        <w:spacing w:before="120" w:after="120"/>
        <w:jc w:val="center"/>
        <w:rPr>
          <w:b/>
          <w:snapToGrid w:val="0"/>
          <w:kern w:val="22"/>
          <w:szCs w:val="22"/>
        </w:rPr>
      </w:pPr>
      <w:r w:rsidRPr="00DC029B">
        <w:rPr>
          <w:b/>
          <w:snapToGrid w:val="0"/>
          <w:kern w:val="22"/>
          <w:szCs w:val="22"/>
        </w:rPr>
        <w:t>B.</w:t>
      </w:r>
      <w:r w:rsidRPr="00DC029B">
        <w:rPr>
          <w:b/>
          <w:snapToGrid w:val="0"/>
          <w:kern w:val="22"/>
          <w:szCs w:val="22"/>
        </w:rPr>
        <w:tab/>
        <w:t>Coordination and support</w:t>
      </w:r>
    </w:p>
    <w:p w14:paraId="29834E51" w14:textId="77777777" w:rsidR="008B1291" w:rsidRPr="00DC029B" w:rsidRDefault="008B1291" w:rsidP="00AA3A3B">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DC029B">
        <w:rPr>
          <w:snapToGrid w:val="0"/>
          <w:kern w:val="22"/>
          <w:szCs w:val="22"/>
        </w:rPr>
        <w:t>10.</w:t>
      </w:r>
      <w:r w:rsidRPr="00DC029B">
        <w:rPr>
          <w:snapToGrid w:val="0"/>
          <w:kern w:val="22"/>
          <w:szCs w:val="22"/>
        </w:rPr>
        <w:tab/>
      </w:r>
      <w:r w:rsidRPr="00DC029B">
        <w:rPr>
          <w:i/>
          <w:snapToGrid w:val="0"/>
          <w:kern w:val="22"/>
          <w:szCs w:val="22"/>
        </w:rPr>
        <w:t>Recognizes</w:t>
      </w:r>
      <w:r w:rsidRPr="00DC029B">
        <w:rPr>
          <w:snapToGrid w:val="0"/>
          <w:kern w:val="22"/>
          <w:szCs w:val="22"/>
        </w:rPr>
        <w:t xml:space="preserve"> the importance of coordination among relevant authorities and at various levels and of mainstreaming biosafety across relevant sectoral and cross-sectoral instruments, including national biodiversity strategies and action plans, for advancing the implementation of the </w:t>
      </w:r>
      <w:proofErr w:type="gramStart"/>
      <w:r w:rsidRPr="00DC029B">
        <w:rPr>
          <w:snapToGrid w:val="0"/>
          <w:kern w:val="22"/>
          <w:szCs w:val="22"/>
        </w:rPr>
        <w:t>Protocol;</w:t>
      </w:r>
      <w:proofErr w:type="gramEnd"/>
    </w:p>
    <w:p w14:paraId="2D6050DE" w14:textId="41047C3A" w:rsidR="008B1291" w:rsidRPr="00DC029B" w:rsidRDefault="008B1291" w:rsidP="00AA3A3B">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DC029B">
        <w:rPr>
          <w:snapToGrid w:val="0"/>
          <w:kern w:val="22"/>
          <w:szCs w:val="22"/>
        </w:rPr>
        <w:t>11.</w:t>
      </w:r>
      <w:r w:rsidRPr="00DC029B">
        <w:rPr>
          <w:snapToGrid w:val="0"/>
          <w:kern w:val="22"/>
          <w:szCs w:val="22"/>
        </w:rPr>
        <w:tab/>
      </w:r>
      <w:r w:rsidRPr="00DC029B">
        <w:rPr>
          <w:i/>
          <w:snapToGrid w:val="0"/>
          <w:kern w:val="22"/>
          <w:szCs w:val="22"/>
        </w:rPr>
        <w:t xml:space="preserve">Welcomes </w:t>
      </w:r>
      <w:r w:rsidRPr="00DC029B">
        <w:rPr>
          <w:snapToGrid w:val="0"/>
          <w:kern w:val="22"/>
          <w:szCs w:val="22"/>
        </w:rPr>
        <w:t>the support for capacity-building provided in furtherance of the Strategic Plan for the Cartagena Protocol</w:t>
      </w:r>
      <w:r w:rsidR="00B82CBC" w:rsidRPr="00DC029B">
        <w:t xml:space="preserve"> </w:t>
      </w:r>
      <w:r w:rsidR="00B82CBC" w:rsidRPr="00DC029B">
        <w:rPr>
          <w:snapToGrid w:val="0"/>
          <w:kern w:val="22"/>
          <w:szCs w:val="22"/>
        </w:rPr>
        <w:t>on Biosafety for the period 2011</w:t>
      </w:r>
      <w:r w:rsidR="00F85AC4">
        <w:rPr>
          <w:snapToGrid w:val="0"/>
          <w:kern w:val="22"/>
          <w:szCs w:val="22"/>
        </w:rPr>
        <w:t>–</w:t>
      </w:r>
      <w:r w:rsidR="00B82CBC" w:rsidRPr="00DC029B">
        <w:rPr>
          <w:snapToGrid w:val="0"/>
          <w:kern w:val="22"/>
          <w:szCs w:val="22"/>
        </w:rPr>
        <w:t>2020</w:t>
      </w:r>
      <w:r w:rsidRPr="00DC029B">
        <w:rPr>
          <w:snapToGrid w:val="0"/>
          <w:kern w:val="22"/>
          <w:szCs w:val="22"/>
        </w:rPr>
        <w:t xml:space="preserve">, but </w:t>
      </w:r>
      <w:r w:rsidRPr="00DC6F4A">
        <w:rPr>
          <w:snapToGrid w:val="0"/>
          <w:kern w:val="22"/>
          <w:szCs w:val="22"/>
        </w:rPr>
        <w:t>notes with concern</w:t>
      </w:r>
      <w:r w:rsidRPr="00DC029B">
        <w:rPr>
          <w:snapToGrid w:val="0"/>
          <w:kern w:val="22"/>
          <w:szCs w:val="22"/>
        </w:rPr>
        <w:t xml:space="preserve"> the lack of progress in meeting capacity</w:t>
      </w:r>
      <w:r w:rsidRPr="00DC029B">
        <w:rPr>
          <w:snapToGrid w:val="0"/>
          <w:kern w:val="22"/>
          <w:szCs w:val="22"/>
        </w:rPr>
        <w:noBreakHyphen/>
        <w:t xml:space="preserve">building needs in most </w:t>
      </w:r>
      <w:proofErr w:type="gramStart"/>
      <w:r w:rsidRPr="00DC029B">
        <w:rPr>
          <w:snapToGrid w:val="0"/>
          <w:kern w:val="22"/>
          <w:szCs w:val="22"/>
        </w:rPr>
        <w:t>regions;</w:t>
      </w:r>
      <w:proofErr w:type="gramEnd"/>
    </w:p>
    <w:p w14:paraId="630B2D83" w14:textId="16163C27" w:rsidR="008B1291" w:rsidRPr="00DC029B" w:rsidRDefault="008B1291" w:rsidP="00AA3A3B">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DC029B">
        <w:rPr>
          <w:snapToGrid w:val="0"/>
          <w:kern w:val="22"/>
          <w:szCs w:val="22"/>
        </w:rPr>
        <w:t>12.</w:t>
      </w:r>
      <w:r w:rsidRPr="00DC029B">
        <w:rPr>
          <w:snapToGrid w:val="0"/>
          <w:kern w:val="22"/>
          <w:szCs w:val="22"/>
        </w:rPr>
        <w:tab/>
      </w:r>
      <w:r w:rsidRPr="00DC029B">
        <w:rPr>
          <w:i/>
          <w:snapToGrid w:val="0"/>
          <w:kern w:val="22"/>
          <w:szCs w:val="22"/>
        </w:rPr>
        <w:t>Underlines</w:t>
      </w:r>
      <w:r w:rsidRPr="00DC029B">
        <w:rPr>
          <w:snapToGrid w:val="0"/>
          <w:kern w:val="22"/>
          <w:szCs w:val="22"/>
        </w:rPr>
        <w:t xml:space="preserve"> the ongoing need for developing and strengthening the capacities of Parties to implement the Protocol, including in the light of the ongoing rapid development of biotechnologies relevant for the Cartagena Protocol, and </w:t>
      </w:r>
      <w:r w:rsidRPr="00DC6F4A">
        <w:rPr>
          <w:snapToGrid w:val="0"/>
          <w:kern w:val="22"/>
          <w:szCs w:val="22"/>
        </w:rPr>
        <w:t>recognizes</w:t>
      </w:r>
      <w:r w:rsidRPr="00DC029B">
        <w:rPr>
          <w:snapToGrid w:val="0"/>
          <w:kern w:val="22"/>
          <w:szCs w:val="22"/>
        </w:rPr>
        <w:t xml:space="preserve"> the facilitative role that the </w:t>
      </w:r>
      <w:r w:rsidR="00DA5388" w:rsidRPr="00DC029B">
        <w:rPr>
          <w:snapToGrid w:val="0"/>
          <w:kern w:val="22"/>
          <w:szCs w:val="22"/>
        </w:rPr>
        <w:t>C</w:t>
      </w:r>
      <w:r w:rsidRPr="00DC029B">
        <w:rPr>
          <w:snapToGrid w:val="0"/>
          <w:kern w:val="22"/>
          <w:szCs w:val="22"/>
        </w:rPr>
        <w:t xml:space="preserve">apacity-building </w:t>
      </w:r>
      <w:r w:rsidR="00DA5388" w:rsidRPr="00DC029B">
        <w:rPr>
          <w:snapToGrid w:val="0"/>
          <w:kern w:val="22"/>
          <w:szCs w:val="22"/>
        </w:rPr>
        <w:t>A</w:t>
      </w:r>
      <w:r w:rsidRPr="00DC029B">
        <w:rPr>
          <w:snapToGrid w:val="0"/>
          <w:kern w:val="22"/>
          <w:szCs w:val="22"/>
        </w:rPr>
        <w:t xml:space="preserve">ction </w:t>
      </w:r>
      <w:r w:rsidR="00DA5388" w:rsidRPr="00DC029B">
        <w:rPr>
          <w:snapToGrid w:val="0"/>
          <w:kern w:val="22"/>
          <w:szCs w:val="22"/>
        </w:rPr>
        <w:t>P</w:t>
      </w:r>
      <w:r w:rsidRPr="00DC029B">
        <w:rPr>
          <w:snapToGrid w:val="0"/>
          <w:kern w:val="22"/>
          <w:szCs w:val="22"/>
        </w:rPr>
        <w:t xml:space="preserve">lan for the </w:t>
      </w:r>
      <w:r w:rsidR="00284935" w:rsidRPr="00DC029B">
        <w:rPr>
          <w:snapToGrid w:val="0"/>
          <w:kern w:val="22"/>
          <w:szCs w:val="22"/>
        </w:rPr>
        <w:t xml:space="preserve">Cartagena </w:t>
      </w:r>
      <w:r w:rsidRPr="00DC029B">
        <w:rPr>
          <w:snapToGrid w:val="0"/>
          <w:kern w:val="22"/>
          <w:szCs w:val="22"/>
        </w:rPr>
        <w:t xml:space="preserve">Protocol </w:t>
      </w:r>
      <w:r w:rsidR="00284935" w:rsidRPr="00DC029B">
        <w:rPr>
          <w:snapToGrid w:val="0"/>
          <w:kern w:val="22"/>
          <w:szCs w:val="22"/>
        </w:rPr>
        <w:t xml:space="preserve">on Biosafety </w:t>
      </w:r>
      <w:r w:rsidRPr="00DC029B">
        <w:rPr>
          <w:snapToGrid w:val="0"/>
          <w:kern w:val="22"/>
          <w:szCs w:val="22"/>
        </w:rPr>
        <w:t xml:space="preserve">can play in this </w:t>
      </w:r>
      <w:proofErr w:type="gramStart"/>
      <w:r w:rsidRPr="00DC029B">
        <w:rPr>
          <w:snapToGrid w:val="0"/>
          <w:kern w:val="22"/>
          <w:szCs w:val="22"/>
        </w:rPr>
        <w:t>regard;</w:t>
      </w:r>
      <w:proofErr w:type="gramEnd"/>
    </w:p>
    <w:p w14:paraId="3EDDE4C3" w14:textId="77777777" w:rsidR="008B1291" w:rsidRPr="00DC029B" w:rsidRDefault="008B1291" w:rsidP="00AA3A3B">
      <w:pPr>
        <w:suppressLineNumbers/>
        <w:suppressAutoHyphens/>
        <w:kinsoku w:val="0"/>
        <w:overflowPunct w:val="0"/>
        <w:autoSpaceDE w:val="0"/>
        <w:autoSpaceDN w:val="0"/>
        <w:adjustRightInd w:val="0"/>
        <w:snapToGrid w:val="0"/>
        <w:spacing w:before="120" w:after="120"/>
        <w:ind w:firstLine="720"/>
        <w:rPr>
          <w:i/>
          <w:snapToGrid w:val="0"/>
          <w:kern w:val="22"/>
          <w:szCs w:val="22"/>
        </w:rPr>
      </w:pPr>
      <w:r w:rsidRPr="00DC029B">
        <w:rPr>
          <w:snapToGrid w:val="0"/>
          <w:kern w:val="22"/>
          <w:szCs w:val="22"/>
        </w:rPr>
        <w:t>13.</w:t>
      </w:r>
      <w:r w:rsidRPr="00DC029B">
        <w:rPr>
          <w:i/>
          <w:snapToGrid w:val="0"/>
          <w:kern w:val="22"/>
          <w:szCs w:val="22"/>
        </w:rPr>
        <w:tab/>
        <w:t>Encourages</w:t>
      </w:r>
      <w:r w:rsidRPr="00DC029B">
        <w:rPr>
          <w:snapToGrid w:val="0"/>
          <w:kern w:val="22"/>
          <w:szCs w:val="22"/>
        </w:rPr>
        <w:t xml:space="preserve"> Parties to cooperate in biosafety capacity-building, including at the regional level;</w:t>
      </w:r>
    </w:p>
    <w:p w14:paraId="619DF570" w14:textId="3A6442A9" w:rsidR="008B1291" w:rsidRPr="00C3075A" w:rsidRDefault="008B1291" w:rsidP="00AA3A3B">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DC029B">
        <w:rPr>
          <w:snapToGrid w:val="0"/>
          <w:kern w:val="22"/>
          <w:szCs w:val="22"/>
        </w:rPr>
        <w:t>14.</w:t>
      </w:r>
      <w:r w:rsidRPr="00DC029B">
        <w:rPr>
          <w:snapToGrid w:val="0"/>
          <w:kern w:val="22"/>
          <w:szCs w:val="22"/>
        </w:rPr>
        <w:tab/>
      </w:r>
      <w:r w:rsidRPr="00DC029B">
        <w:rPr>
          <w:i/>
          <w:snapToGrid w:val="0"/>
          <w:kern w:val="22"/>
          <w:szCs w:val="22"/>
        </w:rPr>
        <w:t xml:space="preserve">Notes </w:t>
      </w:r>
      <w:r w:rsidRPr="00DC029B">
        <w:rPr>
          <w:snapToGrid w:val="0"/>
          <w:kern w:val="22"/>
          <w:szCs w:val="22"/>
        </w:rPr>
        <w:t xml:space="preserve">with concern that fewer Parties had access to additional financial resources beyond their national budgets, compared to the third assessment and review </w:t>
      </w:r>
      <w:r w:rsidR="00284935" w:rsidRPr="00DC029B">
        <w:rPr>
          <w:snapToGrid w:val="0"/>
          <w:kern w:val="22"/>
          <w:szCs w:val="22"/>
        </w:rPr>
        <w:t xml:space="preserve">of the effectiveness of the Cartagena Protocol </w:t>
      </w:r>
      <w:r w:rsidRPr="00DC029B">
        <w:rPr>
          <w:snapToGrid w:val="0"/>
          <w:kern w:val="22"/>
          <w:szCs w:val="22"/>
        </w:rPr>
        <w:t>and midterm evaluation of the Strategic Plan</w:t>
      </w:r>
      <w:r w:rsidR="00284935" w:rsidRPr="00DC029B">
        <w:rPr>
          <w:snapToGrid w:val="0"/>
          <w:kern w:val="22"/>
          <w:szCs w:val="22"/>
        </w:rPr>
        <w:t xml:space="preserve"> for the Cartagena Protocol on Biosafety for the period 2011</w:t>
      </w:r>
      <w:r w:rsidR="00A05E38">
        <w:rPr>
          <w:snapToGrid w:val="0"/>
          <w:kern w:val="22"/>
          <w:szCs w:val="22"/>
        </w:rPr>
        <w:t>–</w:t>
      </w:r>
      <w:proofErr w:type="gramStart"/>
      <w:r w:rsidR="00284935" w:rsidRPr="00DC029B">
        <w:rPr>
          <w:snapToGrid w:val="0"/>
          <w:kern w:val="22"/>
          <w:szCs w:val="22"/>
        </w:rPr>
        <w:t>2020</w:t>
      </w:r>
      <w:r w:rsidRPr="00DC029B">
        <w:rPr>
          <w:snapToGrid w:val="0"/>
          <w:kern w:val="22"/>
          <w:szCs w:val="22"/>
        </w:rPr>
        <w:t>;</w:t>
      </w:r>
      <w:proofErr w:type="gramEnd"/>
    </w:p>
    <w:p w14:paraId="03DDB969" w14:textId="335E2C08" w:rsidR="008B1291" w:rsidRPr="00D5004A" w:rsidRDefault="008B1291" w:rsidP="00AA3A3B">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C3075A">
        <w:rPr>
          <w:snapToGrid w:val="0"/>
          <w:kern w:val="22"/>
          <w:szCs w:val="22"/>
        </w:rPr>
        <w:t>1</w:t>
      </w:r>
      <w:r>
        <w:rPr>
          <w:snapToGrid w:val="0"/>
          <w:kern w:val="22"/>
          <w:szCs w:val="22"/>
        </w:rPr>
        <w:t>5</w:t>
      </w:r>
      <w:r w:rsidRPr="00C3075A">
        <w:rPr>
          <w:snapToGrid w:val="0"/>
          <w:kern w:val="22"/>
          <w:szCs w:val="22"/>
        </w:rPr>
        <w:t>.</w:t>
      </w:r>
      <w:r w:rsidRPr="00C3075A">
        <w:rPr>
          <w:snapToGrid w:val="0"/>
          <w:kern w:val="22"/>
          <w:szCs w:val="22"/>
        </w:rPr>
        <w:tab/>
      </w:r>
      <w:r w:rsidRPr="00C3075A">
        <w:rPr>
          <w:i/>
          <w:snapToGrid w:val="0"/>
          <w:kern w:val="22"/>
          <w:szCs w:val="22"/>
        </w:rPr>
        <w:t xml:space="preserve">Urges </w:t>
      </w:r>
      <w:r w:rsidRPr="00C3075A">
        <w:rPr>
          <w:snapToGrid w:val="0"/>
          <w:kern w:val="22"/>
          <w:szCs w:val="22"/>
        </w:rPr>
        <w:t xml:space="preserve">Parties and </w:t>
      </w:r>
      <w:r w:rsidRPr="00DC6F4A">
        <w:rPr>
          <w:iCs/>
          <w:snapToGrid w:val="0"/>
          <w:kern w:val="22"/>
          <w:szCs w:val="22"/>
        </w:rPr>
        <w:t>invites</w:t>
      </w:r>
      <w:r w:rsidRPr="00B8269F">
        <w:rPr>
          <w:iCs/>
          <w:snapToGrid w:val="0"/>
          <w:kern w:val="22"/>
          <w:szCs w:val="22"/>
        </w:rPr>
        <w:t xml:space="preserve"> o</w:t>
      </w:r>
      <w:r w:rsidRPr="00C3075A">
        <w:rPr>
          <w:snapToGrid w:val="0"/>
          <w:kern w:val="22"/>
          <w:szCs w:val="22"/>
        </w:rPr>
        <w:t>ther Governments, donors and biosafety capacity</w:t>
      </w:r>
      <w:r w:rsidRPr="00C3075A">
        <w:rPr>
          <w:snapToGrid w:val="0"/>
          <w:kern w:val="22"/>
          <w:szCs w:val="22"/>
        </w:rPr>
        <w:noBreakHyphen/>
        <w:t xml:space="preserve">building initiatives to make resources available to support Parties in their efforts to strengthen capacities and enhance the implementation of the Cartagena Protocol in </w:t>
      </w:r>
      <w:r>
        <w:rPr>
          <w:snapToGrid w:val="0"/>
          <w:kern w:val="22"/>
          <w:szCs w:val="22"/>
        </w:rPr>
        <w:t xml:space="preserve">the following priority </w:t>
      </w:r>
      <w:r w:rsidRPr="00D5004A">
        <w:rPr>
          <w:snapToGrid w:val="0"/>
          <w:kern w:val="22"/>
          <w:szCs w:val="22"/>
        </w:rPr>
        <w:t>areas: development and implementation of legal, administrative and other measures to implement the Protocol; risk assessment and risk management; detection and identification of living modified organisms; public awareness, education and participation; socioeconomic considerations; liability and redress; national reporting; and technology transfer;</w:t>
      </w:r>
    </w:p>
    <w:p w14:paraId="6C1E9DF3" w14:textId="77777777" w:rsidR="008B1291" w:rsidRPr="00D5004A" w:rsidRDefault="008B1291" w:rsidP="00E20A56">
      <w:pPr>
        <w:keepNext/>
        <w:suppressLineNumbers/>
        <w:tabs>
          <w:tab w:val="left" w:pos="567"/>
        </w:tabs>
        <w:suppressAutoHyphens/>
        <w:kinsoku w:val="0"/>
        <w:overflowPunct w:val="0"/>
        <w:autoSpaceDE w:val="0"/>
        <w:autoSpaceDN w:val="0"/>
        <w:adjustRightInd w:val="0"/>
        <w:snapToGrid w:val="0"/>
        <w:spacing w:before="120" w:after="120"/>
        <w:jc w:val="center"/>
        <w:rPr>
          <w:b/>
          <w:snapToGrid w:val="0"/>
          <w:kern w:val="22"/>
          <w:szCs w:val="22"/>
        </w:rPr>
      </w:pPr>
      <w:r w:rsidRPr="00D5004A">
        <w:rPr>
          <w:b/>
          <w:snapToGrid w:val="0"/>
          <w:kern w:val="22"/>
          <w:szCs w:val="22"/>
        </w:rPr>
        <w:t>C.</w:t>
      </w:r>
      <w:r w:rsidRPr="00D5004A">
        <w:rPr>
          <w:b/>
          <w:snapToGrid w:val="0"/>
          <w:kern w:val="22"/>
          <w:szCs w:val="22"/>
        </w:rPr>
        <w:tab/>
        <w:t>Risk assessment and risk management</w:t>
      </w:r>
    </w:p>
    <w:p w14:paraId="6D9E64F1" w14:textId="3ECBF231" w:rsidR="008B1291" w:rsidRPr="00C3075A" w:rsidRDefault="008B1291" w:rsidP="00AA3A3B">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D5004A">
        <w:rPr>
          <w:snapToGrid w:val="0"/>
          <w:kern w:val="22"/>
          <w:szCs w:val="22"/>
        </w:rPr>
        <w:t>16.</w:t>
      </w:r>
      <w:r w:rsidRPr="00D5004A">
        <w:rPr>
          <w:snapToGrid w:val="0"/>
          <w:kern w:val="22"/>
          <w:szCs w:val="22"/>
        </w:rPr>
        <w:tab/>
      </w:r>
      <w:r w:rsidRPr="00D5004A">
        <w:rPr>
          <w:i/>
          <w:snapToGrid w:val="0"/>
          <w:kern w:val="22"/>
          <w:szCs w:val="22"/>
        </w:rPr>
        <w:t>Welcomes</w:t>
      </w:r>
      <w:r w:rsidRPr="00D5004A">
        <w:rPr>
          <w:snapToGrid w:val="0"/>
          <w:kern w:val="22"/>
          <w:szCs w:val="22"/>
        </w:rPr>
        <w:t xml:space="preserve"> the progress made by </w:t>
      </w:r>
      <w:r w:rsidRPr="00385C9F">
        <w:rPr>
          <w:snapToGrid w:val="0"/>
          <w:kern w:val="22"/>
          <w:szCs w:val="22"/>
        </w:rPr>
        <w:t xml:space="preserve">Parties in carrying out risk assessments pursuant to the Protocol and in publishing risk assessment summary reports along with decisions </w:t>
      </w:r>
      <w:r w:rsidR="009909D7" w:rsidRPr="00385C9F">
        <w:rPr>
          <w:snapToGrid w:val="0"/>
          <w:kern w:val="22"/>
          <w:szCs w:val="22"/>
        </w:rPr>
        <w:t>in</w:t>
      </w:r>
      <w:r w:rsidRPr="00385C9F">
        <w:rPr>
          <w:snapToGrid w:val="0"/>
          <w:kern w:val="22"/>
          <w:szCs w:val="22"/>
        </w:rPr>
        <w:t xml:space="preserve"> the Biosafety Clearing-</w:t>
      </w:r>
      <w:proofErr w:type="gramStart"/>
      <w:r w:rsidRPr="00385C9F">
        <w:rPr>
          <w:snapToGrid w:val="0"/>
          <w:kern w:val="22"/>
          <w:szCs w:val="22"/>
        </w:rPr>
        <w:t>House;</w:t>
      </w:r>
      <w:proofErr w:type="gramEnd"/>
    </w:p>
    <w:p w14:paraId="70936084" w14:textId="31171FFD" w:rsidR="008B1291" w:rsidRPr="00C3075A" w:rsidRDefault="008B1291" w:rsidP="00AA3A3B">
      <w:pPr>
        <w:suppressLineNumbers/>
        <w:suppressAutoHyphens/>
        <w:kinsoku w:val="0"/>
        <w:overflowPunct w:val="0"/>
        <w:autoSpaceDE w:val="0"/>
        <w:autoSpaceDN w:val="0"/>
        <w:adjustRightInd w:val="0"/>
        <w:snapToGrid w:val="0"/>
        <w:spacing w:before="120" w:after="120"/>
        <w:ind w:firstLine="720"/>
        <w:rPr>
          <w:snapToGrid w:val="0"/>
          <w:kern w:val="22"/>
          <w:szCs w:val="22"/>
        </w:rPr>
      </w:pPr>
      <w:r>
        <w:rPr>
          <w:snapToGrid w:val="0"/>
          <w:kern w:val="22"/>
          <w:szCs w:val="22"/>
        </w:rPr>
        <w:t>17</w:t>
      </w:r>
      <w:r w:rsidRPr="00C3075A">
        <w:rPr>
          <w:snapToGrid w:val="0"/>
          <w:kern w:val="22"/>
          <w:szCs w:val="22"/>
        </w:rPr>
        <w:t>.</w:t>
      </w:r>
      <w:r w:rsidRPr="00C3075A">
        <w:rPr>
          <w:snapToGrid w:val="0"/>
          <w:kern w:val="22"/>
          <w:szCs w:val="22"/>
        </w:rPr>
        <w:tab/>
      </w:r>
      <w:r w:rsidRPr="00C3075A">
        <w:rPr>
          <w:i/>
          <w:snapToGrid w:val="0"/>
          <w:kern w:val="22"/>
          <w:szCs w:val="22"/>
        </w:rPr>
        <w:t xml:space="preserve">Also welcomes </w:t>
      </w:r>
      <w:r w:rsidRPr="00C3075A">
        <w:rPr>
          <w:snapToGrid w:val="0"/>
          <w:kern w:val="22"/>
          <w:szCs w:val="22"/>
        </w:rPr>
        <w:t xml:space="preserve">the progress made </w:t>
      </w:r>
      <w:r w:rsidRPr="00D375B5">
        <w:rPr>
          <w:snapToGrid w:val="0"/>
          <w:kern w:val="22"/>
          <w:szCs w:val="22"/>
        </w:rPr>
        <w:t xml:space="preserve">by Parties in adopting common approaches to risk assessment, in accordance with Annex III </w:t>
      </w:r>
      <w:r w:rsidR="00D375B5" w:rsidRPr="00D375B5">
        <w:rPr>
          <w:snapToGrid w:val="0"/>
          <w:kern w:val="22"/>
          <w:szCs w:val="22"/>
        </w:rPr>
        <w:t>to</w:t>
      </w:r>
      <w:r w:rsidRPr="00D375B5">
        <w:rPr>
          <w:snapToGrid w:val="0"/>
          <w:kern w:val="22"/>
          <w:szCs w:val="22"/>
        </w:rPr>
        <w:t xml:space="preserve"> the Cartagena Protocol, and risk management and in adopting or using voluntary guidance documents for the purpose of conducting risk assessments or evaluating risk assessment summary reports submitted by </w:t>
      </w:r>
      <w:proofErr w:type="gramStart"/>
      <w:r w:rsidRPr="00D375B5">
        <w:rPr>
          <w:snapToGrid w:val="0"/>
          <w:kern w:val="22"/>
          <w:szCs w:val="22"/>
        </w:rPr>
        <w:t>notifiers;</w:t>
      </w:r>
      <w:proofErr w:type="gramEnd"/>
    </w:p>
    <w:p w14:paraId="60EAA89A" w14:textId="77777777" w:rsidR="008B1291" w:rsidRPr="00C3075A" w:rsidRDefault="008B1291" w:rsidP="00AA3A3B">
      <w:pPr>
        <w:suppressLineNumbers/>
        <w:suppressAutoHyphens/>
        <w:kinsoku w:val="0"/>
        <w:overflowPunct w:val="0"/>
        <w:autoSpaceDE w:val="0"/>
        <w:autoSpaceDN w:val="0"/>
        <w:adjustRightInd w:val="0"/>
        <w:snapToGrid w:val="0"/>
        <w:spacing w:before="120" w:after="120"/>
        <w:ind w:firstLine="720"/>
        <w:rPr>
          <w:snapToGrid w:val="0"/>
          <w:kern w:val="22"/>
          <w:szCs w:val="22"/>
        </w:rPr>
      </w:pPr>
      <w:r>
        <w:rPr>
          <w:snapToGrid w:val="0"/>
          <w:kern w:val="22"/>
          <w:szCs w:val="22"/>
        </w:rPr>
        <w:t>18</w:t>
      </w:r>
      <w:r w:rsidRPr="00C3075A">
        <w:rPr>
          <w:snapToGrid w:val="0"/>
          <w:kern w:val="22"/>
          <w:szCs w:val="22"/>
        </w:rPr>
        <w:t>.</w:t>
      </w:r>
      <w:r w:rsidRPr="00C3075A">
        <w:rPr>
          <w:snapToGrid w:val="0"/>
          <w:kern w:val="22"/>
          <w:szCs w:val="22"/>
        </w:rPr>
        <w:tab/>
      </w:r>
      <w:r w:rsidRPr="00C3075A">
        <w:rPr>
          <w:i/>
          <w:snapToGrid w:val="0"/>
          <w:kern w:val="22"/>
          <w:szCs w:val="22"/>
        </w:rPr>
        <w:t>Recognizes</w:t>
      </w:r>
      <w:r w:rsidRPr="00C3075A">
        <w:rPr>
          <w:snapToGrid w:val="0"/>
          <w:kern w:val="22"/>
          <w:szCs w:val="22"/>
        </w:rPr>
        <w:t xml:space="preserve"> the need for further support for risk assessment and risk management, including by strengthening human resource capacities and by facilitating access to sufficient financial resources, adequate scientific knowledge and technical infrastructure;</w:t>
      </w:r>
    </w:p>
    <w:p w14:paraId="25531781" w14:textId="77777777" w:rsidR="008B1291" w:rsidRPr="00C3075A" w:rsidRDefault="008B1291" w:rsidP="00DC6F4A">
      <w:pPr>
        <w:keepNext/>
        <w:suppressLineNumbers/>
        <w:tabs>
          <w:tab w:val="left" w:pos="567"/>
        </w:tabs>
        <w:suppressAutoHyphens/>
        <w:kinsoku w:val="0"/>
        <w:overflowPunct w:val="0"/>
        <w:autoSpaceDE w:val="0"/>
        <w:autoSpaceDN w:val="0"/>
        <w:adjustRightInd w:val="0"/>
        <w:snapToGrid w:val="0"/>
        <w:spacing w:before="120" w:after="120"/>
        <w:jc w:val="center"/>
        <w:rPr>
          <w:b/>
          <w:snapToGrid w:val="0"/>
          <w:kern w:val="22"/>
          <w:szCs w:val="22"/>
        </w:rPr>
      </w:pPr>
      <w:r w:rsidRPr="00C3075A">
        <w:rPr>
          <w:b/>
          <w:snapToGrid w:val="0"/>
          <w:kern w:val="22"/>
          <w:szCs w:val="22"/>
        </w:rPr>
        <w:t>D.</w:t>
      </w:r>
      <w:r w:rsidRPr="00C3075A">
        <w:rPr>
          <w:b/>
          <w:snapToGrid w:val="0"/>
          <w:kern w:val="22"/>
          <w:szCs w:val="22"/>
        </w:rPr>
        <w:tab/>
        <w:t>Living modified organisms or traits that may have adverse effects</w:t>
      </w:r>
    </w:p>
    <w:p w14:paraId="7FB9777E" w14:textId="77777777" w:rsidR="008B1291" w:rsidRPr="00C3075A" w:rsidRDefault="008B1291" w:rsidP="00AA3A3B">
      <w:pPr>
        <w:suppressLineNumbers/>
        <w:suppressAutoHyphens/>
        <w:kinsoku w:val="0"/>
        <w:overflowPunct w:val="0"/>
        <w:autoSpaceDE w:val="0"/>
        <w:autoSpaceDN w:val="0"/>
        <w:adjustRightInd w:val="0"/>
        <w:snapToGrid w:val="0"/>
        <w:spacing w:before="120" w:after="120"/>
        <w:ind w:firstLine="720"/>
        <w:rPr>
          <w:snapToGrid w:val="0"/>
          <w:kern w:val="22"/>
          <w:szCs w:val="22"/>
        </w:rPr>
      </w:pPr>
      <w:r>
        <w:rPr>
          <w:snapToGrid w:val="0"/>
          <w:kern w:val="22"/>
          <w:szCs w:val="22"/>
        </w:rPr>
        <w:t>19</w:t>
      </w:r>
      <w:r w:rsidRPr="00C3075A">
        <w:rPr>
          <w:snapToGrid w:val="0"/>
          <w:kern w:val="22"/>
          <w:szCs w:val="22"/>
        </w:rPr>
        <w:t>.</w:t>
      </w:r>
      <w:r w:rsidRPr="00C3075A">
        <w:rPr>
          <w:snapToGrid w:val="0"/>
          <w:kern w:val="22"/>
          <w:szCs w:val="22"/>
        </w:rPr>
        <w:tab/>
      </w:r>
      <w:r w:rsidRPr="00C3075A">
        <w:rPr>
          <w:i/>
          <w:snapToGrid w:val="0"/>
          <w:kern w:val="22"/>
          <w:szCs w:val="22"/>
        </w:rPr>
        <w:t xml:space="preserve">Commends </w:t>
      </w:r>
      <w:r w:rsidRPr="00C3075A">
        <w:rPr>
          <w:snapToGrid w:val="0"/>
          <w:kern w:val="22"/>
          <w:szCs w:val="22"/>
        </w:rPr>
        <w:t xml:space="preserve">the large number of Parties that have established the capacities to detect, identify, assess and monitor living modified organisms or traits that may have adverse effects on the conservation and sustainable use of biological </w:t>
      </w:r>
      <w:proofErr w:type="gramStart"/>
      <w:r w:rsidRPr="00C3075A">
        <w:rPr>
          <w:snapToGrid w:val="0"/>
          <w:kern w:val="22"/>
          <w:szCs w:val="22"/>
        </w:rPr>
        <w:t>diversity;</w:t>
      </w:r>
      <w:proofErr w:type="gramEnd"/>
    </w:p>
    <w:p w14:paraId="092A0F7E" w14:textId="77777777" w:rsidR="008B1291" w:rsidRPr="00C3075A" w:rsidRDefault="008B1291" w:rsidP="00AA3A3B">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C3075A">
        <w:rPr>
          <w:snapToGrid w:val="0"/>
          <w:kern w:val="22"/>
          <w:szCs w:val="22"/>
        </w:rPr>
        <w:t>2</w:t>
      </w:r>
      <w:r>
        <w:rPr>
          <w:snapToGrid w:val="0"/>
          <w:kern w:val="22"/>
          <w:szCs w:val="22"/>
        </w:rPr>
        <w:t>0</w:t>
      </w:r>
      <w:r w:rsidRPr="00C3075A">
        <w:rPr>
          <w:snapToGrid w:val="0"/>
          <w:kern w:val="22"/>
          <w:szCs w:val="22"/>
        </w:rPr>
        <w:t>.</w:t>
      </w:r>
      <w:r w:rsidRPr="00C3075A">
        <w:rPr>
          <w:snapToGrid w:val="0"/>
          <w:kern w:val="22"/>
          <w:szCs w:val="22"/>
        </w:rPr>
        <w:tab/>
      </w:r>
      <w:r w:rsidRPr="00C3075A">
        <w:rPr>
          <w:i/>
          <w:snapToGrid w:val="0"/>
          <w:kern w:val="22"/>
          <w:szCs w:val="22"/>
        </w:rPr>
        <w:t>Recognizes</w:t>
      </w:r>
      <w:r w:rsidRPr="00C3075A">
        <w:rPr>
          <w:snapToGrid w:val="0"/>
          <w:kern w:val="22"/>
          <w:szCs w:val="22"/>
        </w:rPr>
        <w:t>, however, that further support is needed for strengthening human resource and institutional capacities, especially through enhanced international cooperation among Parties, to identify living modified organisms or specific traits that may have adverse effects on the conservation and sustainable use of biodiversity</w:t>
      </w:r>
      <w:r w:rsidRPr="00C3075A">
        <w:rPr>
          <w:szCs w:val="22"/>
        </w:rPr>
        <w:t>,</w:t>
      </w:r>
      <w:r w:rsidRPr="00C3075A">
        <w:rPr>
          <w:snapToGrid w:val="0"/>
          <w:kern w:val="22"/>
          <w:szCs w:val="22"/>
        </w:rPr>
        <w:t xml:space="preserve"> in accordance with Article 16</w:t>
      </w:r>
      <w:r>
        <w:rPr>
          <w:snapToGrid w:val="0"/>
          <w:kern w:val="22"/>
          <w:szCs w:val="22"/>
        </w:rPr>
        <w:t>,</w:t>
      </w:r>
      <w:r w:rsidRPr="00C3075A">
        <w:rPr>
          <w:snapToGrid w:val="0"/>
          <w:kern w:val="22"/>
          <w:szCs w:val="22"/>
        </w:rPr>
        <w:t xml:space="preserve"> and for facilitating access to adequate technical infrastructure for identifying, assessing and monitoring living modified </w:t>
      </w:r>
      <w:proofErr w:type="gramStart"/>
      <w:r w:rsidRPr="00C3075A">
        <w:rPr>
          <w:snapToGrid w:val="0"/>
          <w:kern w:val="22"/>
          <w:szCs w:val="22"/>
        </w:rPr>
        <w:t>organisms</w:t>
      </w:r>
      <w:r w:rsidRPr="00C3075A">
        <w:rPr>
          <w:szCs w:val="22"/>
        </w:rPr>
        <w:t>;</w:t>
      </w:r>
      <w:proofErr w:type="gramEnd"/>
    </w:p>
    <w:p w14:paraId="2DA10BD9" w14:textId="77777777" w:rsidR="008B1291" w:rsidRPr="00C3075A" w:rsidRDefault="008B1291" w:rsidP="003A4DA0">
      <w:pPr>
        <w:keepNext/>
        <w:suppressLineNumbers/>
        <w:tabs>
          <w:tab w:val="left" w:pos="567"/>
        </w:tabs>
        <w:suppressAutoHyphens/>
        <w:kinsoku w:val="0"/>
        <w:overflowPunct w:val="0"/>
        <w:autoSpaceDE w:val="0"/>
        <w:autoSpaceDN w:val="0"/>
        <w:adjustRightInd w:val="0"/>
        <w:snapToGrid w:val="0"/>
        <w:spacing w:before="120" w:after="120"/>
        <w:jc w:val="center"/>
        <w:rPr>
          <w:b/>
          <w:snapToGrid w:val="0"/>
          <w:kern w:val="22"/>
          <w:szCs w:val="22"/>
        </w:rPr>
      </w:pPr>
      <w:r w:rsidRPr="00C3075A">
        <w:rPr>
          <w:b/>
          <w:snapToGrid w:val="0"/>
          <w:kern w:val="22"/>
          <w:szCs w:val="22"/>
        </w:rPr>
        <w:t>E.</w:t>
      </w:r>
      <w:r w:rsidRPr="00C3075A">
        <w:rPr>
          <w:b/>
          <w:snapToGrid w:val="0"/>
          <w:kern w:val="22"/>
          <w:szCs w:val="22"/>
        </w:rPr>
        <w:tab/>
        <w:t>Liability and redress</w:t>
      </w:r>
    </w:p>
    <w:p w14:paraId="16504AB8" w14:textId="5895D6EC" w:rsidR="008B1291" w:rsidRPr="00C3075A" w:rsidRDefault="008B1291" w:rsidP="00AA3A3B">
      <w:pPr>
        <w:suppressLineNumbers/>
        <w:suppressAutoHyphens/>
        <w:kinsoku w:val="0"/>
        <w:overflowPunct w:val="0"/>
        <w:autoSpaceDE w:val="0"/>
        <w:autoSpaceDN w:val="0"/>
        <w:adjustRightInd w:val="0"/>
        <w:snapToGrid w:val="0"/>
        <w:spacing w:before="120" w:after="120"/>
        <w:ind w:firstLine="720"/>
        <w:rPr>
          <w:snapToGrid w:val="0"/>
          <w:kern w:val="22"/>
          <w:szCs w:val="22"/>
          <w:lang w:val="en-CA"/>
        </w:rPr>
      </w:pPr>
      <w:r w:rsidRPr="00C3075A">
        <w:rPr>
          <w:snapToGrid w:val="0"/>
          <w:kern w:val="22"/>
          <w:szCs w:val="22"/>
        </w:rPr>
        <w:t>2</w:t>
      </w:r>
      <w:r>
        <w:rPr>
          <w:snapToGrid w:val="0"/>
          <w:kern w:val="22"/>
          <w:szCs w:val="22"/>
        </w:rPr>
        <w:t>1</w:t>
      </w:r>
      <w:r w:rsidRPr="00C3075A">
        <w:rPr>
          <w:snapToGrid w:val="0"/>
          <w:kern w:val="22"/>
          <w:szCs w:val="22"/>
        </w:rPr>
        <w:t>.</w:t>
      </w:r>
      <w:r w:rsidRPr="00C3075A">
        <w:rPr>
          <w:snapToGrid w:val="0"/>
          <w:kern w:val="22"/>
          <w:szCs w:val="22"/>
        </w:rPr>
        <w:tab/>
      </w:r>
      <w:r w:rsidRPr="00C3075A">
        <w:rPr>
          <w:i/>
          <w:snapToGrid w:val="0"/>
          <w:kern w:val="22"/>
          <w:szCs w:val="22"/>
        </w:rPr>
        <w:t>Notes</w:t>
      </w:r>
      <w:r w:rsidRPr="00C3075A">
        <w:rPr>
          <w:snapToGrid w:val="0"/>
          <w:kern w:val="22"/>
          <w:szCs w:val="22"/>
        </w:rPr>
        <w:t xml:space="preserve"> </w:t>
      </w:r>
      <w:r w:rsidRPr="00C3075A">
        <w:rPr>
          <w:iCs/>
          <w:snapToGrid w:val="0"/>
          <w:kern w:val="22"/>
          <w:szCs w:val="22"/>
        </w:rPr>
        <w:t>t</w:t>
      </w:r>
      <w:r w:rsidRPr="00C3075A">
        <w:rPr>
          <w:snapToGrid w:val="0"/>
          <w:kern w:val="22"/>
          <w:szCs w:val="22"/>
        </w:rPr>
        <w:t>he limited number of Parties to the Cartagena Protocol on Biosafety that have ratified the Nagoya</w:t>
      </w:r>
      <w:r w:rsidR="00004298">
        <w:rPr>
          <w:snapToGrid w:val="0"/>
          <w:kern w:val="22"/>
          <w:szCs w:val="22"/>
        </w:rPr>
        <w:t xml:space="preserve"> – </w:t>
      </w:r>
      <w:r w:rsidRPr="00C3075A">
        <w:rPr>
          <w:snapToGrid w:val="0"/>
          <w:kern w:val="22"/>
          <w:szCs w:val="22"/>
        </w:rPr>
        <w:t>Kuala Lumpur Supplementary Protocol</w:t>
      </w:r>
      <w:r w:rsidR="00004298">
        <w:rPr>
          <w:snapToGrid w:val="0"/>
          <w:kern w:val="22"/>
          <w:szCs w:val="22"/>
        </w:rPr>
        <w:t xml:space="preserve"> </w:t>
      </w:r>
      <w:r w:rsidRPr="00C3075A">
        <w:rPr>
          <w:snapToGrid w:val="0"/>
          <w:kern w:val="22"/>
          <w:szCs w:val="22"/>
        </w:rPr>
        <w:t xml:space="preserve">on Liability and </w:t>
      </w:r>
      <w:proofErr w:type="gramStart"/>
      <w:r w:rsidRPr="00C3075A">
        <w:rPr>
          <w:snapToGrid w:val="0"/>
          <w:kern w:val="22"/>
          <w:szCs w:val="22"/>
        </w:rPr>
        <w:t>Redress;</w:t>
      </w:r>
      <w:proofErr w:type="gramEnd"/>
    </w:p>
    <w:p w14:paraId="1207EE48" w14:textId="18704946" w:rsidR="00C219D9" w:rsidRPr="00C3075A" w:rsidRDefault="00D36EB5" w:rsidP="00AA3A3B">
      <w:pPr>
        <w:suppressLineNumbers/>
        <w:suppressAutoHyphens/>
        <w:kinsoku w:val="0"/>
        <w:overflowPunct w:val="0"/>
        <w:autoSpaceDE w:val="0"/>
        <w:autoSpaceDN w:val="0"/>
        <w:adjustRightInd w:val="0"/>
        <w:snapToGrid w:val="0"/>
        <w:spacing w:before="120" w:after="120"/>
        <w:ind w:firstLine="720"/>
        <w:rPr>
          <w:snapToGrid w:val="0"/>
          <w:kern w:val="22"/>
          <w:szCs w:val="22"/>
        </w:rPr>
      </w:pPr>
      <w:r>
        <w:rPr>
          <w:snapToGrid w:val="0"/>
          <w:kern w:val="22"/>
          <w:szCs w:val="22"/>
        </w:rPr>
        <w:t>22.</w:t>
      </w:r>
      <w:r w:rsidR="00C219D9" w:rsidRPr="00C3075A">
        <w:rPr>
          <w:snapToGrid w:val="0"/>
          <w:kern w:val="22"/>
          <w:szCs w:val="22"/>
        </w:rPr>
        <w:tab/>
      </w:r>
      <w:r w:rsidR="00C219D9" w:rsidRPr="00C3075A" w:rsidDel="003950DB">
        <w:rPr>
          <w:i/>
          <w:snapToGrid w:val="0"/>
          <w:kern w:val="22"/>
          <w:szCs w:val="22"/>
        </w:rPr>
        <w:t>Welcomes</w:t>
      </w:r>
      <w:r w:rsidR="00C219D9" w:rsidRPr="00C3075A" w:rsidDel="003950DB">
        <w:rPr>
          <w:snapToGrid w:val="0"/>
          <w:kern w:val="22"/>
          <w:szCs w:val="22"/>
        </w:rPr>
        <w:t xml:space="preserve"> the progress by Parties to the Supplementary Protocol in introducing measures to implement the Supplementary Protocol</w:t>
      </w:r>
      <w:r w:rsidR="00AF2207">
        <w:rPr>
          <w:snapToGrid w:val="0"/>
          <w:kern w:val="22"/>
          <w:szCs w:val="22"/>
        </w:rPr>
        <w:t>,</w:t>
      </w:r>
      <w:r w:rsidR="00C219D9" w:rsidRPr="00C3075A" w:rsidDel="003950DB">
        <w:rPr>
          <w:snapToGrid w:val="0"/>
          <w:kern w:val="22"/>
          <w:szCs w:val="22"/>
        </w:rPr>
        <w:t xml:space="preserve"> while </w:t>
      </w:r>
      <w:r w:rsidR="00C219D9" w:rsidRPr="00DC6F4A" w:rsidDel="003950DB">
        <w:rPr>
          <w:snapToGrid w:val="0"/>
          <w:kern w:val="22"/>
          <w:szCs w:val="22"/>
        </w:rPr>
        <w:t>recognizing</w:t>
      </w:r>
      <w:r w:rsidR="00C219D9" w:rsidRPr="00C3075A" w:rsidDel="003950DB">
        <w:rPr>
          <w:snapToGrid w:val="0"/>
          <w:kern w:val="22"/>
          <w:szCs w:val="22"/>
        </w:rPr>
        <w:t xml:space="preserve"> that support is needed for those Parties to the Supplementary Protocol that are facing challenges in this </w:t>
      </w:r>
      <w:proofErr w:type="gramStart"/>
      <w:r w:rsidR="00C219D9" w:rsidRPr="00C3075A" w:rsidDel="003950DB">
        <w:rPr>
          <w:snapToGrid w:val="0"/>
          <w:kern w:val="22"/>
          <w:szCs w:val="22"/>
        </w:rPr>
        <w:t>regard;</w:t>
      </w:r>
      <w:proofErr w:type="gramEnd"/>
    </w:p>
    <w:p w14:paraId="73D36E95" w14:textId="27802BCA" w:rsidR="008B1291" w:rsidRPr="00C3075A" w:rsidDel="003950DB" w:rsidRDefault="00D36EB5" w:rsidP="00AA3A3B">
      <w:pPr>
        <w:suppressLineNumbers/>
        <w:suppressAutoHyphens/>
        <w:kinsoku w:val="0"/>
        <w:overflowPunct w:val="0"/>
        <w:autoSpaceDE w:val="0"/>
        <w:autoSpaceDN w:val="0"/>
        <w:adjustRightInd w:val="0"/>
        <w:snapToGrid w:val="0"/>
        <w:spacing w:before="120" w:after="120"/>
        <w:ind w:firstLine="720"/>
        <w:rPr>
          <w:snapToGrid w:val="0"/>
          <w:kern w:val="22"/>
          <w:szCs w:val="22"/>
        </w:rPr>
      </w:pPr>
      <w:r>
        <w:rPr>
          <w:snapToGrid w:val="0"/>
          <w:kern w:val="22"/>
          <w:szCs w:val="22"/>
        </w:rPr>
        <w:t>23</w:t>
      </w:r>
      <w:r w:rsidR="008B1291" w:rsidRPr="00C3075A">
        <w:rPr>
          <w:snapToGrid w:val="0"/>
          <w:kern w:val="22"/>
          <w:szCs w:val="22"/>
        </w:rPr>
        <w:t>.</w:t>
      </w:r>
      <w:r w:rsidR="008B1291" w:rsidRPr="00C3075A">
        <w:rPr>
          <w:snapToGrid w:val="0"/>
          <w:kern w:val="22"/>
          <w:szCs w:val="22"/>
        </w:rPr>
        <w:tab/>
      </w:r>
      <w:r w:rsidR="008B1291" w:rsidRPr="00C3075A" w:rsidDel="003950DB">
        <w:rPr>
          <w:i/>
          <w:snapToGrid w:val="0"/>
          <w:kern w:val="22"/>
          <w:szCs w:val="22"/>
        </w:rPr>
        <w:t>Requests</w:t>
      </w:r>
      <w:r w:rsidR="008B1291" w:rsidRPr="00C3075A" w:rsidDel="003950DB">
        <w:rPr>
          <w:snapToGrid w:val="0"/>
          <w:kern w:val="22"/>
          <w:szCs w:val="22"/>
        </w:rPr>
        <w:t xml:space="preserve"> the Executive Secretary, subject to the availability of resources, to undertake activities to support ratification efforts, and </w:t>
      </w:r>
      <w:r w:rsidR="008B1291" w:rsidRPr="00DC6F4A" w:rsidDel="003950DB">
        <w:rPr>
          <w:snapToGrid w:val="0"/>
          <w:kern w:val="22"/>
          <w:szCs w:val="22"/>
        </w:rPr>
        <w:t>invites</w:t>
      </w:r>
      <w:r w:rsidR="008B1291" w:rsidRPr="00C3075A" w:rsidDel="003950DB">
        <w:rPr>
          <w:snapToGrid w:val="0"/>
          <w:kern w:val="22"/>
          <w:szCs w:val="22"/>
        </w:rPr>
        <w:t xml:space="preserve"> other partners to also undertake awareness-raising activities on the Supplementary </w:t>
      </w:r>
      <w:proofErr w:type="gramStart"/>
      <w:r w:rsidR="008B1291" w:rsidRPr="00C3075A" w:rsidDel="003950DB">
        <w:rPr>
          <w:snapToGrid w:val="0"/>
          <w:kern w:val="22"/>
          <w:szCs w:val="22"/>
        </w:rPr>
        <w:t>Protocol;</w:t>
      </w:r>
      <w:proofErr w:type="gramEnd"/>
    </w:p>
    <w:p w14:paraId="5467BDC7" w14:textId="77777777" w:rsidR="008B1291" w:rsidRPr="00C3075A" w:rsidRDefault="008B1291" w:rsidP="00DC6F4A">
      <w:pPr>
        <w:keepNext/>
        <w:suppressLineNumbers/>
        <w:tabs>
          <w:tab w:val="left" w:pos="567"/>
        </w:tabs>
        <w:suppressAutoHyphens/>
        <w:kinsoku w:val="0"/>
        <w:overflowPunct w:val="0"/>
        <w:autoSpaceDE w:val="0"/>
        <w:autoSpaceDN w:val="0"/>
        <w:adjustRightInd w:val="0"/>
        <w:snapToGrid w:val="0"/>
        <w:spacing w:before="120" w:after="120"/>
        <w:jc w:val="center"/>
        <w:rPr>
          <w:b/>
          <w:snapToGrid w:val="0"/>
          <w:kern w:val="22"/>
          <w:szCs w:val="22"/>
        </w:rPr>
      </w:pPr>
      <w:r w:rsidRPr="00C3075A">
        <w:rPr>
          <w:b/>
          <w:snapToGrid w:val="0"/>
          <w:kern w:val="22"/>
          <w:szCs w:val="22"/>
        </w:rPr>
        <w:t xml:space="preserve">F. </w:t>
      </w:r>
      <w:r w:rsidRPr="00C3075A">
        <w:rPr>
          <w:b/>
          <w:snapToGrid w:val="0"/>
          <w:kern w:val="22"/>
          <w:szCs w:val="22"/>
        </w:rPr>
        <w:tab/>
        <w:t xml:space="preserve">Handling, transport, </w:t>
      </w:r>
      <w:proofErr w:type="gramStart"/>
      <w:r w:rsidRPr="00C3075A">
        <w:rPr>
          <w:b/>
          <w:snapToGrid w:val="0"/>
          <w:kern w:val="22"/>
          <w:szCs w:val="22"/>
        </w:rPr>
        <w:t>packaging</w:t>
      </w:r>
      <w:proofErr w:type="gramEnd"/>
      <w:r w:rsidRPr="00C3075A">
        <w:rPr>
          <w:b/>
          <w:snapToGrid w:val="0"/>
          <w:kern w:val="22"/>
          <w:szCs w:val="22"/>
        </w:rPr>
        <w:t xml:space="preserve"> and identification</w:t>
      </w:r>
    </w:p>
    <w:p w14:paraId="2AE870DB" w14:textId="77777777" w:rsidR="008B1291" w:rsidRPr="00C3075A" w:rsidRDefault="008B1291" w:rsidP="00AA3A3B">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C3075A">
        <w:rPr>
          <w:snapToGrid w:val="0"/>
          <w:kern w:val="22"/>
          <w:szCs w:val="22"/>
        </w:rPr>
        <w:t>2</w:t>
      </w:r>
      <w:r>
        <w:rPr>
          <w:snapToGrid w:val="0"/>
          <w:kern w:val="22"/>
          <w:szCs w:val="22"/>
        </w:rPr>
        <w:t>4</w:t>
      </w:r>
      <w:r w:rsidRPr="00C3075A">
        <w:rPr>
          <w:snapToGrid w:val="0"/>
          <w:kern w:val="22"/>
          <w:szCs w:val="22"/>
        </w:rPr>
        <w:t>.</w:t>
      </w:r>
      <w:r w:rsidRPr="00C3075A">
        <w:rPr>
          <w:snapToGrid w:val="0"/>
          <w:kern w:val="22"/>
          <w:szCs w:val="22"/>
        </w:rPr>
        <w:tab/>
      </w:r>
      <w:r w:rsidRPr="00C3075A">
        <w:rPr>
          <w:i/>
          <w:snapToGrid w:val="0"/>
          <w:kern w:val="22"/>
          <w:szCs w:val="22"/>
        </w:rPr>
        <w:t>Welcomes</w:t>
      </w:r>
      <w:r w:rsidRPr="00C3075A">
        <w:rPr>
          <w:snapToGrid w:val="0"/>
          <w:kern w:val="22"/>
          <w:szCs w:val="22"/>
        </w:rPr>
        <w:t xml:space="preserve"> the fact that almost all Parties have trained some laboratory personnel in the detection of living modified organisms, while </w:t>
      </w:r>
      <w:r w:rsidRPr="00DC6F4A">
        <w:rPr>
          <w:snapToGrid w:val="0"/>
          <w:kern w:val="22"/>
          <w:szCs w:val="22"/>
        </w:rPr>
        <w:t>recognizing</w:t>
      </w:r>
      <w:r w:rsidRPr="00B8269F">
        <w:rPr>
          <w:snapToGrid w:val="0"/>
          <w:kern w:val="22"/>
          <w:szCs w:val="22"/>
        </w:rPr>
        <w:t xml:space="preserve"> t</w:t>
      </w:r>
      <w:r w:rsidRPr="00C3075A">
        <w:rPr>
          <w:snapToGrid w:val="0"/>
          <w:kern w:val="22"/>
          <w:szCs w:val="22"/>
        </w:rPr>
        <w:t xml:space="preserve">hat about half of these Parties have indicated that more training would be </w:t>
      </w:r>
      <w:proofErr w:type="gramStart"/>
      <w:r w:rsidRPr="00C3075A">
        <w:rPr>
          <w:snapToGrid w:val="0"/>
          <w:kern w:val="22"/>
          <w:szCs w:val="22"/>
        </w:rPr>
        <w:t>required;</w:t>
      </w:r>
      <w:proofErr w:type="gramEnd"/>
    </w:p>
    <w:p w14:paraId="323E5B2D" w14:textId="77777777" w:rsidR="008B1291" w:rsidRPr="00B8269F" w:rsidRDefault="008B1291" w:rsidP="00AA3A3B">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C3075A">
        <w:rPr>
          <w:snapToGrid w:val="0"/>
          <w:kern w:val="22"/>
          <w:szCs w:val="22"/>
        </w:rPr>
        <w:t>2</w:t>
      </w:r>
      <w:r>
        <w:rPr>
          <w:snapToGrid w:val="0"/>
          <w:kern w:val="22"/>
          <w:szCs w:val="22"/>
        </w:rPr>
        <w:t>5</w:t>
      </w:r>
      <w:r w:rsidRPr="00C3075A">
        <w:rPr>
          <w:snapToGrid w:val="0"/>
          <w:kern w:val="22"/>
          <w:szCs w:val="22"/>
        </w:rPr>
        <w:t>.</w:t>
      </w:r>
      <w:r w:rsidRPr="00C3075A">
        <w:rPr>
          <w:snapToGrid w:val="0"/>
          <w:kern w:val="22"/>
          <w:szCs w:val="22"/>
        </w:rPr>
        <w:tab/>
      </w:r>
      <w:r w:rsidRPr="00C3075A">
        <w:rPr>
          <w:i/>
          <w:snapToGrid w:val="0"/>
          <w:kern w:val="22"/>
          <w:szCs w:val="22"/>
        </w:rPr>
        <w:t>Notes</w:t>
      </w:r>
      <w:r w:rsidRPr="00C3075A">
        <w:rPr>
          <w:snapToGrid w:val="0"/>
          <w:kern w:val="22"/>
          <w:szCs w:val="22"/>
        </w:rPr>
        <w:t xml:space="preserve"> that most Parties reported having reliable access to laboratory facilities, </w:t>
      </w:r>
      <w:r w:rsidRPr="00B8269F">
        <w:rPr>
          <w:snapToGrid w:val="0"/>
          <w:kern w:val="22"/>
          <w:szCs w:val="22"/>
        </w:rPr>
        <w:t xml:space="preserve">yet </w:t>
      </w:r>
      <w:r w:rsidRPr="00DC6F4A">
        <w:rPr>
          <w:snapToGrid w:val="0"/>
          <w:kern w:val="22"/>
          <w:szCs w:val="22"/>
        </w:rPr>
        <w:t>notes with concern</w:t>
      </w:r>
      <w:r w:rsidRPr="00B8269F">
        <w:rPr>
          <w:snapToGrid w:val="0"/>
          <w:kern w:val="22"/>
          <w:szCs w:val="22"/>
        </w:rPr>
        <w:t xml:space="preserve"> that other Parties continue to face challenges and that support is needed in that </w:t>
      </w:r>
      <w:proofErr w:type="gramStart"/>
      <w:r w:rsidRPr="00B8269F">
        <w:rPr>
          <w:snapToGrid w:val="0"/>
          <w:kern w:val="22"/>
          <w:szCs w:val="22"/>
        </w:rPr>
        <w:t>regard;</w:t>
      </w:r>
      <w:proofErr w:type="gramEnd"/>
    </w:p>
    <w:p w14:paraId="1D3C8A1E" w14:textId="16181E5B" w:rsidR="008B1291" w:rsidRPr="00C3075A" w:rsidRDefault="008B1291" w:rsidP="00DC6F4A">
      <w:pPr>
        <w:keepNext/>
        <w:suppressLineNumbers/>
        <w:tabs>
          <w:tab w:val="left" w:pos="567"/>
        </w:tabs>
        <w:suppressAutoHyphens/>
        <w:kinsoku w:val="0"/>
        <w:overflowPunct w:val="0"/>
        <w:autoSpaceDE w:val="0"/>
        <w:autoSpaceDN w:val="0"/>
        <w:adjustRightInd w:val="0"/>
        <w:snapToGrid w:val="0"/>
        <w:spacing w:before="120" w:after="120"/>
        <w:jc w:val="center"/>
        <w:rPr>
          <w:b/>
          <w:snapToGrid w:val="0"/>
          <w:kern w:val="22"/>
          <w:szCs w:val="22"/>
        </w:rPr>
      </w:pPr>
      <w:r w:rsidRPr="00C3075A">
        <w:rPr>
          <w:b/>
          <w:snapToGrid w:val="0"/>
          <w:kern w:val="22"/>
          <w:szCs w:val="22"/>
        </w:rPr>
        <w:t>G.</w:t>
      </w:r>
      <w:r w:rsidRPr="00C3075A">
        <w:rPr>
          <w:b/>
          <w:snapToGrid w:val="0"/>
          <w:kern w:val="22"/>
          <w:szCs w:val="22"/>
        </w:rPr>
        <w:tab/>
        <w:t>Socioeconomic considerations</w:t>
      </w:r>
    </w:p>
    <w:p w14:paraId="368B604A" w14:textId="36513B69" w:rsidR="008B1291" w:rsidRDefault="008B1291" w:rsidP="00AA3A3B">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C3075A">
        <w:rPr>
          <w:snapToGrid w:val="0"/>
          <w:kern w:val="22"/>
          <w:szCs w:val="22"/>
        </w:rPr>
        <w:t>2</w:t>
      </w:r>
      <w:r>
        <w:rPr>
          <w:snapToGrid w:val="0"/>
          <w:kern w:val="22"/>
          <w:szCs w:val="22"/>
        </w:rPr>
        <w:t>6</w:t>
      </w:r>
      <w:r w:rsidRPr="00C3075A">
        <w:rPr>
          <w:snapToGrid w:val="0"/>
          <w:kern w:val="22"/>
          <w:szCs w:val="22"/>
        </w:rPr>
        <w:t>.</w:t>
      </w:r>
      <w:r w:rsidRPr="00C3075A">
        <w:rPr>
          <w:snapToGrid w:val="0"/>
          <w:kern w:val="22"/>
          <w:szCs w:val="22"/>
        </w:rPr>
        <w:tab/>
      </w:r>
      <w:r w:rsidRPr="00C3075A">
        <w:rPr>
          <w:i/>
          <w:snapToGrid w:val="0"/>
          <w:kern w:val="22"/>
          <w:szCs w:val="22"/>
        </w:rPr>
        <w:t>Notes</w:t>
      </w:r>
      <w:r w:rsidRPr="00C3075A">
        <w:rPr>
          <w:snapToGrid w:val="0"/>
          <w:kern w:val="22"/>
          <w:szCs w:val="22"/>
        </w:rPr>
        <w:t xml:space="preserve"> that about half of Parties have specific approaches or requirements that facilitate how socioeconomic considerations should be taken into account in decision-making with regard to living modified </w:t>
      </w:r>
      <w:proofErr w:type="gramStart"/>
      <w:r w:rsidRPr="00C3075A">
        <w:rPr>
          <w:snapToGrid w:val="0"/>
          <w:kern w:val="22"/>
          <w:szCs w:val="22"/>
        </w:rPr>
        <w:t>organisms</w:t>
      </w:r>
      <w:r>
        <w:rPr>
          <w:snapToGrid w:val="0"/>
          <w:kern w:val="22"/>
          <w:szCs w:val="22"/>
        </w:rPr>
        <w:t>;</w:t>
      </w:r>
      <w:proofErr w:type="gramEnd"/>
    </w:p>
    <w:p w14:paraId="1BF9C3FD" w14:textId="56650514" w:rsidR="008B1291" w:rsidRPr="00C3075A" w:rsidRDefault="008B1291" w:rsidP="00AA3A3B">
      <w:pPr>
        <w:suppressLineNumbers/>
        <w:suppressAutoHyphens/>
        <w:kinsoku w:val="0"/>
        <w:overflowPunct w:val="0"/>
        <w:autoSpaceDE w:val="0"/>
        <w:autoSpaceDN w:val="0"/>
        <w:adjustRightInd w:val="0"/>
        <w:snapToGrid w:val="0"/>
        <w:spacing w:before="120" w:after="120"/>
        <w:ind w:firstLine="720"/>
        <w:rPr>
          <w:snapToGrid w:val="0"/>
          <w:kern w:val="22"/>
          <w:szCs w:val="22"/>
        </w:rPr>
      </w:pPr>
      <w:r>
        <w:rPr>
          <w:snapToGrid w:val="0"/>
          <w:kern w:val="22"/>
          <w:szCs w:val="22"/>
        </w:rPr>
        <w:t>27</w:t>
      </w:r>
      <w:r w:rsidRPr="00C3075A">
        <w:rPr>
          <w:snapToGrid w:val="0"/>
          <w:kern w:val="22"/>
          <w:szCs w:val="22"/>
        </w:rPr>
        <w:t>.</w:t>
      </w:r>
      <w:r w:rsidRPr="00C3075A">
        <w:rPr>
          <w:snapToGrid w:val="0"/>
          <w:kern w:val="22"/>
          <w:szCs w:val="22"/>
        </w:rPr>
        <w:tab/>
      </w:r>
      <w:r w:rsidRPr="00636B86">
        <w:rPr>
          <w:i/>
          <w:iCs/>
          <w:snapToGrid w:val="0"/>
          <w:kern w:val="22"/>
          <w:szCs w:val="22"/>
        </w:rPr>
        <w:t>Also</w:t>
      </w:r>
      <w:r>
        <w:rPr>
          <w:snapToGrid w:val="0"/>
          <w:kern w:val="22"/>
          <w:szCs w:val="22"/>
        </w:rPr>
        <w:t xml:space="preserve"> </w:t>
      </w:r>
      <w:r>
        <w:rPr>
          <w:i/>
          <w:snapToGrid w:val="0"/>
          <w:kern w:val="22"/>
          <w:szCs w:val="22"/>
        </w:rPr>
        <w:t>n</w:t>
      </w:r>
      <w:r w:rsidRPr="00C3075A">
        <w:rPr>
          <w:i/>
          <w:snapToGrid w:val="0"/>
          <w:kern w:val="22"/>
          <w:szCs w:val="22"/>
        </w:rPr>
        <w:t xml:space="preserve">otes </w:t>
      </w:r>
      <w:r w:rsidRPr="00C3075A">
        <w:rPr>
          <w:snapToGrid w:val="0"/>
          <w:kern w:val="22"/>
          <w:szCs w:val="22"/>
        </w:rPr>
        <w:t xml:space="preserve">that more information on methodologies and approaches should be gathered and shared, and </w:t>
      </w:r>
      <w:r w:rsidRPr="00C3075A">
        <w:rPr>
          <w:iCs/>
          <w:snapToGrid w:val="0"/>
          <w:kern w:val="22"/>
          <w:szCs w:val="22"/>
        </w:rPr>
        <w:t>encourages</w:t>
      </w:r>
      <w:r w:rsidRPr="00C3075A">
        <w:rPr>
          <w:i/>
          <w:snapToGrid w:val="0"/>
          <w:kern w:val="22"/>
          <w:szCs w:val="22"/>
        </w:rPr>
        <w:t xml:space="preserve"> </w:t>
      </w:r>
      <w:r w:rsidRPr="00C3075A">
        <w:rPr>
          <w:snapToGrid w:val="0"/>
          <w:kern w:val="22"/>
          <w:szCs w:val="22"/>
        </w:rPr>
        <w:t>Parties to exchange research and information on socioeconomic considerations to support those Parties that wish to do so to take socioeconomic considerations into account in accordance with Article 26</w:t>
      </w:r>
      <w:r>
        <w:rPr>
          <w:snapToGrid w:val="0"/>
          <w:kern w:val="22"/>
          <w:szCs w:val="22"/>
        </w:rPr>
        <w:t xml:space="preserve"> </w:t>
      </w:r>
      <w:r w:rsidRPr="00C3075A">
        <w:rPr>
          <w:snapToGrid w:val="0"/>
          <w:kern w:val="22"/>
          <w:szCs w:val="22"/>
        </w:rPr>
        <w:t xml:space="preserve">and Article 20 of the </w:t>
      </w:r>
      <w:proofErr w:type="gramStart"/>
      <w:r w:rsidRPr="00C3075A">
        <w:rPr>
          <w:snapToGrid w:val="0"/>
          <w:kern w:val="22"/>
          <w:szCs w:val="22"/>
        </w:rPr>
        <w:t>Protocol;</w:t>
      </w:r>
      <w:proofErr w:type="gramEnd"/>
    </w:p>
    <w:p w14:paraId="57E070DD" w14:textId="72353B02" w:rsidR="008B1291" w:rsidRPr="00C3075A" w:rsidRDefault="008B1291" w:rsidP="00AA3A3B">
      <w:pPr>
        <w:suppressLineNumbers/>
        <w:suppressAutoHyphens/>
        <w:kinsoku w:val="0"/>
        <w:overflowPunct w:val="0"/>
        <w:autoSpaceDE w:val="0"/>
        <w:autoSpaceDN w:val="0"/>
        <w:adjustRightInd w:val="0"/>
        <w:snapToGrid w:val="0"/>
        <w:spacing w:before="120" w:after="120"/>
        <w:ind w:firstLine="720"/>
        <w:rPr>
          <w:snapToGrid w:val="0"/>
          <w:kern w:val="22"/>
          <w:szCs w:val="22"/>
        </w:rPr>
      </w:pPr>
      <w:r>
        <w:rPr>
          <w:snapToGrid w:val="0"/>
          <w:kern w:val="22"/>
          <w:szCs w:val="22"/>
        </w:rPr>
        <w:t>28</w:t>
      </w:r>
      <w:r w:rsidRPr="00C3075A">
        <w:rPr>
          <w:snapToGrid w:val="0"/>
          <w:kern w:val="22"/>
          <w:szCs w:val="22"/>
        </w:rPr>
        <w:t>.</w:t>
      </w:r>
      <w:r w:rsidRPr="00C3075A">
        <w:rPr>
          <w:snapToGrid w:val="0"/>
          <w:kern w:val="22"/>
          <w:szCs w:val="22"/>
        </w:rPr>
        <w:tab/>
      </w:r>
      <w:r>
        <w:rPr>
          <w:i/>
          <w:snapToGrid w:val="0"/>
          <w:kern w:val="22"/>
          <w:szCs w:val="22"/>
        </w:rPr>
        <w:t>E</w:t>
      </w:r>
      <w:r w:rsidRPr="00C3075A">
        <w:rPr>
          <w:i/>
          <w:snapToGrid w:val="0"/>
          <w:kern w:val="22"/>
          <w:szCs w:val="22"/>
        </w:rPr>
        <w:t xml:space="preserve">ncourages </w:t>
      </w:r>
      <w:r w:rsidRPr="00A74DDE">
        <w:rPr>
          <w:snapToGrid w:val="0"/>
          <w:kern w:val="22"/>
          <w:szCs w:val="22"/>
        </w:rPr>
        <w:t>Parties to promote the involvement of indigenous peoples and local communities, women</w:t>
      </w:r>
      <w:r w:rsidR="00A74DDE" w:rsidRPr="00A74DDE">
        <w:rPr>
          <w:snapToGrid w:val="0"/>
          <w:kern w:val="22"/>
          <w:szCs w:val="22"/>
        </w:rPr>
        <w:t>,</w:t>
      </w:r>
      <w:r w:rsidRPr="00A74DDE">
        <w:rPr>
          <w:snapToGrid w:val="0"/>
          <w:kern w:val="22"/>
          <w:szCs w:val="22"/>
        </w:rPr>
        <w:t xml:space="preserve"> and youth when undertaking</w:t>
      </w:r>
      <w:r w:rsidRPr="00C3075A">
        <w:rPr>
          <w:snapToGrid w:val="0"/>
          <w:kern w:val="22"/>
          <w:szCs w:val="22"/>
        </w:rPr>
        <w:t xml:space="preserve"> research on socioeconomic </w:t>
      </w:r>
      <w:proofErr w:type="gramStart"/>
      <w:r w:rsidRPr="00C3075A">
        <w:rPr>
          <w:snapToGrid w:val="0"/>
          <w:kern w:val="22"/>
          <w:szCs w:val="22"/>
        </w:rPr>
        <w:t>considerations;</w:t>
      </w:r>
      <w:proofErr w:type="gramEnd"/>
    </w:p>
    <w:p w14:paraId="5856B1B7" w14:textId="77777777" w:rsidR="008B1291" w:rsidRPr="00C3075A" w:rsidRDefault="008B1291" w:rsidP="00AA3A3B">
      <w:pPr>
        <w:keepNext/>
        <w:suppressLineNumbers/>
        <w:suppressAutoHyphens/>
        <w:kinsoku w:val="0"/>
        <w:overflowPunct w:val="0"/>
        <w:autoSpaceDE w:val="0"/>
        <w:autoSpaceDN w:val="0"/>
        <w:adjustRightInd w:val="0"/>
        <w:snapToGrid w:val="0"/>
        <w:spacing w:before="120" w:after="120"/>
        <w:jc w:val="center"/>
        <w:rPr>
          <w:b/>
          <w:snapToGrid w:val="0"/>
          <w:kern w:val="22"/>
          <w:szCs w:val="22"/>
        </w:rPr>
      </w:pPr>
      <w:r w:rsidRPr="00C3075A">
        <w:rPr>
          <w:b/>
          <w:snapToGrid w:val="0"/>
          <w:kern w:val="22"/>
          <w:szCs w:val="22"/>
        </w:rPr>
        <w:t>H.</w:t>
      </w:r>
      <w:r w:rsidRPr="00C3075A">
        <w:rPr>
          <w:b/>
          <w:snapToGrid w:val="0"/>
          <w:kern w:val="22"/>
          <w:szCs w:val="22"/>
        </w:rPr>
        <w:tab/>
        <w:t xml:space="preserve">Transit, contained use, unintentional transboundary </w:t>
      </w:r>
      <w:proofErr w:type="gramStart"/>
      <w:r w:rsidRPr="00C3075A">
        <w:rPr>
          <w:b/>
          <w:snapToGrid w:val="0"/>
          <w:kern w:val="22"/>
          <w:szCs w:val="22"/>
        </w:rPr>
        <w:t>movements</w:t>
      </w:r>
      <w:proofErr w:type="gramEnd"/>
      <w:r w:rsidRPr="00C3075A">
        <w:rPr>
          <w:b/>
          <w:snapToGrid w:val="0"/>
          <w:kern w:val="22"/>
          <w:szCs w:val="22"/>
        </w:rPr>
        <w:t xml:space="preserve"> and emergency measures</w:t>
      </w:r>
    </w:p>
    <w:p w14:paraId="10EC94BF" w14:textId="77777777" w:rsidR="008B1291" w:rsidRPr="00C3075A" w:rsidRDefault="008B1291" w:rsidP="00AA3A3B">
      <w:pPr>
        <w:suppressLineNumbers/>
        <w:suppressAutoHyphens/>
        <w:kinsoku w:val="0"/>
        <w:overflowPunct w:val="0"/>
        <w:autoSpaceDE w:val="0"/>
        <w:autoSpaceDN w:val="0"/>
        <w:adjustRightInd w:val="0"/>
        <w:snapToGrid w:val="0"/>
        <w:spacing w:before="120" w:after="120"/>
        <w:ind w:firstLine="720"/>
        <w:rPr>
          <w:snapToGrid w:val="0"/>
          <w:kern w:val="22"/>
          <w:szCs w:val="22"/>
        </w:rPr>
      </w:pPr>
      <w:r>
        <w:rPr>
          <w:snapToGrid w:val="0"/>
          <w:kern w:val="22"/>
          <w:szCs w:val="22"/>
        </w:rPr>
        <w:t>29</w:t>
      </w:r>
      <w:r w:rsidRPr="00C3075A">
        <w:rPr>
          <w:snapToGrid w:val="0"/>
          <w:kern w:val="22"/>
          <w:szCs w:val="22"/>
        </w:rPr>
        <w:t>.</w:t>
      </w:r>
      <w:r w:rsidRPr="00C3075A">
        <w:rPr>
          <w:snapToGrid w:val="0"/>
          <w:kern w:val="22"/>
          <w:szCs w:val="22"/>
        </w:rPr>
        <w:tab/>
      </w:r>
      <w:r w:rsidRPr="00C3075A">
        <w:rPr>
          <w:i/>
          <w:snapToGrid w:val="0"/>
          <w:kern w:val="22"/>
          <w:szCs w:val="22"/>
        </w:rPr>
        <w:t xml:space="preserve">Welcomes </w:t>
      </w:r>
      <w:r w:rsidRPr="00C3075A">
        <w:rPr>
          <w:snapToGrid w:val="0"/>
          <w:kern w:val="22"/>
          <w:szCs w:val="22"/>
        </w:rPr>
        <w:t xml:space="preserve">the fact that approximately three quarters of Parties have measures in place to regulate contained use of living modified organisms and living modified organisms in </w:t>
      </w:r>
      <w:proofErr w:type="gramStart"/>
      <w:r w:rsidRPr="00C3075A">
        <w:rPr>
          <w:snapToGrid w:val="0"/>
          <w:kern w:val="22"/>
          <w:szCs w:val="22"/>
        </w:rPr>
        <w:t>transit;</w:t>
      </w:r>
      <w:proofErr w:type="gramEnd"/>
    </w:p>
    <w:p w14:paraId="5F132001" w14:textId="77777777" w:rsidR="008B1291" w:rsidRPr="00C3075A" w:rsidRDefault="008B1291" w:rsidP="00AA3A3B">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C3075A">
        <w:rPr>
          <w:snapToGrid w:val="0"/>
          <w:kern w:val="22"/>
          <w:szCs w:val="22"/>
        </w:rPr>
        <w:t>3</w:t>
      </w:r>
      <w:r>
        <w:rPr>
          <w:snapToGrid w:val="0"/>
          <w:kern w:val="22"/>
          <w:szCs w:val="22"/>
        </w:rPr>
        <w:t>0</w:t>
      </w:r>
      <w:r w:rsidRPr="00C3075A">
        <w:rPr>
          <w:snapToGrid w:val="0"/>
          <w:kern w:val="22"/>
          <w:szCs w:val="22"/>
        </w:rPr>
        <w:t>.</w:t>
      </w:r>
      <w:r w:rsidRPr="00C3075A">
        <w:rPr>
          <w:snapToGrid w:val="0"/>
          <w:kern w:val="22"/>
          <w:szCs w:val="22"/>
        </w:rPr>
        <w:tab/>
      </w:r>
      <w:r w:rsidRPr="007E2485">
        <w:rPr>
          <w:i/>
          <w:iCs/>
          <w:snapToGrid w:val="0"/>
          <w:kern w:val="22"/>
          <w:szCs w:val="22"/>
        </w:rPr>
        <w:t>Also</w:t>
      </w:r>
      <w:r>
        <w:rPr>
          <w:snapToGrid w:val="0"/>
          <w:kern w:val="22"/>
          <w:szCs w:val="22"/>
        </w:rPr>
        <w:t xml:space="preserve"> </w:t>
      </w:r>
      <w:r>
        <w:rPr>
          <w:i/>
          <w:snapToGrid w:val="0"/>
          <w:kern w:val="22"/>
          <w:szCs w:val="22"/>
        </w:rPr>
        <w:t>w</w:t>
      </w:r>
      <w:r w:rsidRPr="00C3075A">
        <w:rPr>
          <w:i/>
          <w:snapToGrid w:val="0"/>
          <w:kern w:val="22"/>
          <w:szCs w:val="22"/>
        </w:rPr>
        <w:t xml:space="preserve">elcomes </w:t>
      </w:r>
      <w:r w:rsidRPr="00C3075A">
        <w:rPr>
          <w:snapToGrid w:val="0"/>
          <w:kern w:val="22"/>
          <w:szCs w:val="22"/>
        </w:rPr>
        <w:t xml:space="preserve">the fact </w:t>
      </w:r>
      <w:r w:rsidRPr="00552C67">
        <w:rPr>
          <w:snapToGrid w:val="0"/>
          <w:kern w:val="22"/>
          <w:szCs w:val="22"/>
        </w:rPr>
        <w:t>that nearly two thirds of Parties have</w:t>
      </w:r>
      <w:r w:rsidRPr="00C3075A">
        <w:rPr>
          <w:snapToGrid w:val="0"/>
          <w:kern w:val="22"/>
          <w:szCs w:val="22"/>
        </w:rPr>
        <w:t xml:space="preserve"> the capacity to take appropriate measures in case of unintentional transboundary movements of living modified </w:t>
      </w:r>
      <w:proofErr w:type="gramStart"/>
      <w:r w:rsidRPr="00C3075A">
        <w:rPr>
          <w:snapToGrid w:val="0"/>
          <w:kern w:val="22"/>
          <w:szCs w:val="22"/>
        </w:rPr>
        <w:t>organisms;</w:t>
      </w:r>
      <w:proofErr w:type="gramEnd"/>
    </w:p>
    <w:p w14:paraId="7BBF9E2D" w14:textId="77777777" w:rsidR="008B1291" w:rsidRPr="00C3075A" w:rsidRDefault="008B1291" w:rsidP="00AA3A3B">
      <w:pPr>
        <w:suppressLineNumbers/>
        <w:suppressAutoHyphens/>
        <w:kinsoku w:val="0"/>
        <w:overflowPunct w:val="0"/>
        <w:autoSpaceDE w:val="0"/>
        <w:autoSpaceDN w:val="0"/>
        <w:adjustRightInd w:val="0"/>
        <w:snapToGrid w:val="0"/>
        <w:spacing w:before="120" w:after="120"/>
        <w:ind w:firstLine="720"/>
        <w:rPr>
          <w:snapToGrid w:val="0"/>
          <w:spacing w:val="-2"/>
          <w:kern w:val="22"/>
          <w:szCs w:val="22"/>
        </w:rPr>
      </w:pPr>
      <w:r w:rsidRPr="00C3075A">
        <w:rPr>
          <w:snapToGrid w:val="0"/>
          <w:spacing w:val="-2"/>
          <w:kern w:val="22"/>
          <w:szCs w:val="22"/>
        </w:rPr>
        <w:t>3</w:t>
      </w:r>
      <w:r>
        <w:rPr>
          <w:snapToGrid w:val="0"/>
          <w:spacing w:val="-2"/>
          <w:kern w:val="22"/>
          <w:szCs w:val="22"/>
        </w:rPr>
        <w:t>1</w:t>
      </w:r>
      <w:r w:rsidRPr="00C3075A">
        <w:rPr>
          <w:snapToGrid w:val="0"/>
          <w:spacing w:val="-2"/>
          <w:kern w:val="22"/>
          <w:szCs w:val="22"/>
        </w:rPr>
        <w:t>.</w:t>
      </w:r>
      <w:r w:rsidRPr="00C3075A">
        <w:rPr>
          <w:snapToGrid w:val="0"/>
          <w:spacing w:val="-2"/>
          <w:kern w:val="22"/>
          <w:szCs w:val="22"/>
        </w:rPr>
        <w:tab/>
      </w:r>
      <w:r w:rsidRPr="00C3075A">
        <w:rPr>
          <w:i/>
          <w:snapToGrid w:val="0"/>
          <w:spacing w:val="-2"/>
          <w:kern w:val="22"/>
          <w:szCs w:val="22"/>
        </w:rPr>
        <w:t>Encourages</w:t>
      </w:r>
      <w:r w:rsidRPr="00C3075A">
        <w:rPr>
          <w:snapToGrid w:val="0"/>
          <w:spacing w:val="-2"/>
          <w:kern w:val="22"/>
          <w:szCs w:val="22"/>
        </w:rPr>
        <w:t xml:space="preserve"> Parties that have not yet done so to adopt the necessary measures to regulate contained use of living modified organisms and living modified organisms in transit as well as unintentional transboundary movement of living modified organisms, and </w:t>
      </w:r>
      <w:r w:rsidRPr="00DC6F4A">
        <w:rPr>
          <w:iCs/>
          <w:snapToGrid w:val="0"/>
          <w:spacing w:val="-2"/>
          <w:kern w:val="22"/>
          <w:szCs w:val="22"/>
        </w:rPr>
        <w:t>recognizes</w:t>
      </w:r>
      <w:r w:rsidRPr="00B8269F">
        <w:rPr>
          <w:iCs/>
          <w:snapToGrid w:val="0"/>
          <w:spacing w:val="-2"/>
          <w:kern w:val="22"/>
          <w:szCs w:val="22"/>
        </w:rPr>
        <w:t xml:space="preserve"> </w:t>
      </w:r>
      <w:r w:rsidRPr="00C3075A">
        <w:rPr>
          <w:snapToGrid w:val="0"/>
          <w:spacing w:val="-2"/>
          <w:kern w:val="22"/>
          <w:szCs w:val="22"/>
        </w:rPr>
        <w:t xml:space="preserve">the importance of supporting those Parties in adopting such measures and developing capacities in that </w:t>
      </w:r>
      <w:proofErr w:type="gramStart"/>
      <w:r w:rsidRPr="00C3075A">
        <w:rPr>
          <w:snapToGrid w:val="0"/>
          <w:spacing w:val="-2"/>
          <w:kern w:val="22"/>
          <w:szCs w:val="22"/>
        </w:rPr>
        <w:t>regard;</w:t>
      </w:r>
      <w:proofErr w:type="gramEnd"/>
    </w:p>
    <w:p w14:paraId="0124200F" w14:textId="77777777" w:rsidR="008B1291" w:rsidRPr="00385C9F" w:rsidRDefault="008B1291" w:rsidP="00AA3A3B">
      <w:pPr>
        <w:keepNext/>
        <w:suppressLineNumbers/>
        <w:tabs>
          <w:tab w:val="left" w:pos="709"/>
        </w:tabs>
        <w:suppressAutoHyphens/>
        <w:kinsoku w:val="0"/>
        <w:overflowPunct w:val="0"/>
        <w:autoSpaceDE w:val="0"/>
        <w:autoSpaceDN w:val="0"/>
        <w:adjustRightInd w:val="0"/>
        <w:snapToGrid w:val="0"/>
        <w:spacing w:before="120" w:after="120"/>
        <w:jc w:val="center"/>
        <w:rPr>
          <w:b/>
          <w:snapToGrid w:val="0"/>
          <w:kern w:val="22"/>
          <w:szCs w:val="22"/>
        </w:rPr>
      </w:pPr>
      <w:r w:rsidRPr="00C3075A">
        <w:rPr>
          <w:b/>
          <w:snapToGrid w:val="0"/>
          <w:kern w:val="22"/>
          <w:szCs w:val="22"/>
        </w:rPr>
        <w:t>I.</w:t>
      </w:r>
      <w:r w:rsidRPr="00C3075A">
        <w:rPr>
          <w:b/>
          <w:snapToGrid w:val="0"/>
          <w:kern w:val="22"/>
          <w:szCs w:val="22"/>
        </w:rPr>
        <w:tab/>
      </w:r>
      <w:r w:rsidRPr="00385C9F">
        <w:rPr>
          <w:b/>
          <w:snapToGrid w:val="0"/>
          <w:kern w:val="22"/>
          <w:szCs w:val="22"/>
        </w:rPr>
        <w:t>Information-sharing</w:t>
      </w:r>
    </w:p>
    <w:p w14:paraId="61EE8EBA" w14:textId="7F25B03D" w:rsidR="008B1291" w:rsidRPr="00C3075A" w:rsidRDefault="008B1291" w:rsidP="00AA3A3B">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385C9F">
        <w:rPr>
          <w:snapToGrid w:val="0"/>
          <w:kern w:val="22"/>
          <w:szCs w:val="22"/>
        </w:rPr>
        <w:t>32.</w:t>
      </w:r>
      <w:r w:rsidRPr="00385C9F">
        <w:rPr>
          <w:snapToGrid w:val="0"/>
          <w:kern w:val="22"/>
          <w:szCs w:val="22"/>
        </w:rPr>
        <w:tab/>
      </w:r>
      <w:r w:rsidRPr="00385C9F">
        <w:rPr>
          <w:i/>
          <w:snapToGrid w:val="0"/>
          <w:kern w:val="22"/>
          <w:szCs w:val="22"/>
        </w:rPr>
        <w:t xml:space="preserve">Notes </w:t>
      </w:r>
      <w:r w:rsidRPr="00385C9F">
        <w:rPr>
          <w:snapToGrid w:val="0"/>
          <w:kern w:val="22"/>
          <w:szCs w:val="22"/>
        </w:rPr>
        <w:t xml:space="preserve">the positive trends regarding information-sharing </w:t>
      </w:r>
      <w:r w:rsidR="00CC7D5E" w:rsidRPr="00385C9F">
        <w:rPr>
          <w:snapToGrid w:val="0"/>
          <w:kern w:val="22"/>
          <w:szCs w:val="22"/>
        </w:rPr>
        <w:t>through</w:t>
      </w:r>
      <w:r w:rsidRPr="00385C9F">
        <w:rPr>
          <w:snapToGrid w:val="0"/>
          <w:kern w:val="22"/>
          <w:szCs w:val="22"/>
        </w:rPr>
        <w:t xml:space="preserve"> the Biosafety Clearing</w:t>
      </w:r>
      <w:r w:rsidRPr="00385C9F">
        <w:rPr>
          <w:snapToGrid w:val="0"/>
          <w:kern w:val="22"/>
          <w:szCs w:val="22"/>
        </w:rPr>
        <w:noBreakHyphen/>
        <w:t xml:space="preserve">House, including in relation to the number of national records and reference records published, and the number of </w:t>
      </w:r>
      <w:proofErr w:type="gramStart"/>
      <w:r w:rsidRPr="00385C9F">
        <w:rPr>
          <w:snapToGrid w:val="0"/>
          <w:kern w:val="22"/>
          <w:szCs w:val="22"/>
        </w:rPr>
        <w:t>visitors;</w:t>
      </w:r>
      <w:proofErr w:type="gramEnd"/>
    </w:p>
    <w:p w14:paraId="17E66704" w14:textId="77777777" w:rsidR="008B1291" w:rsidRPr="00C3075A" w:rsidRDefault="008B1291" w:rsidP="00AA3A3B">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C3075A">
        <w:rPr>
          <w:snapToGrid w:val="0"/>
          <w:kern w:val="22"/>
          <w:szCs w:val="22"/>
        </w:rPr>
        <w:t>3</w:t>
      </w:r>
      <w:r>
        <w:rPr>
          <w:snapToGrid w:val="0"/>
          <w:kern w:val="22"/>
          <w:szCs w:val="22"/>
        </w:rPr>
        <w:t>3</w:t>
      </w:r>
      <w:r w:rsidRPr="00C3075A">
        <w:rPr>
          <w:snapToGrid w:val="0"/>
          <w:kern w:val="22"/>
          <w:szCs w:val="22"/>
        </w:rPr>
        <w:t>.</w:t>
      </w:r>
      <w:r w:rsidRPr="00C3075A">
        <w:rPr>
          <w:snapToGrid w:val="0"/>
          <w:kern w:val="22"/>
          <w:szCs w:val="22"/>
        </w:rPr>
        <w:tab/>
      </w:r>
      <w:r w:rsidRPr="00C3075A">
        <w:rPr>
          <w:i/>
          <w:snapToGrid w:val="0"/>
          <w:kern w:val="22"/>
          <w:szCs w:val="22"/>
        </w:rPr>
        <w:t xml:space="preserve">Calls </w:t>
      </w:r>
      <w:r w:rsidRPr="00C3075A">
        <w:rPr>
          <w:snapToGrid w:val="0"/>
          <w:kern w:val="22"/>
          <w:szCs w:val="22"/>
        </w:rPr>
        <w:t xml:space="preserve">on Parties and </w:t>
      </w:r>
      <w:r w:rsidRPr="00DC6F4A">
        <w:rPr>
          <w:snapToGrid w:val="0"/>
          <w:kern w:val="22"/>
          <w:szCs w:val="22"/>
        </w:rPr>
        <w:t>encourages</w:t>
      </w:r>
      <w:r w:rsidRPr="00B8269F">
        <w:rPr>
          <w:snapToGrid w:val="0"/>
          <w:kern w:val="22"/>
          <w:szCs w:val="22"/>
        </w:rPr>
        <w:t xml:space="preserve"> o</w:t>
      </w:r>
      <w:r w:rsidRPr="00C3075A">
        <w:rPr>
          <w:snapToGrid w:val="0"/>
          <w:kern w:val="22"/>
          <w:szCs w:val="22"/>
        </w:rPr>
        <w:t xml:space="preserve">ther users to ensure that records remain up to </w:t>
      </w:r>
      <w:proofErr w:type="gramStart"/>
      <w:r w:rsidRPr="00C3075A">
        <w:rPr>
          <w:snapToGrid w:val="0"/>
          <w:kern w:val="22"/>
          <w:szCs w:val="22"/>
        </w:rPr>
        <w:t>date;</w:t>
      </w:r>
      <w:proofErr w:type="gramEnd"/>
    </w:p>
    <w:p w14:paraId="7D0AC38A" w14:textId="77777777" w:rsidR="008B1291" w:rsidRPr="00C3075A" w:rsidRDefault="008B1291" w:rsidP="00AA3A3B">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C3075A">
        <w:rPr>
          <w:snapToGrid w:val="0"/>
          <w:kern w:val="22"/>
          <w:szCs w:val="22"/>
        </w:rPr>
        <w:t>3</w:t>
      </w:r>
      <w:r>
        <w:rPr>
          <w:snapToGrid w:val="0"/>
          <w:kern w:val="22"/>
          <w:szCs w:val="22"/>
        </w:rPr>
        <w:t>4</w:t>
      </w:r>
      <w:r w:rsidRPr="00C3075A">
        <w:rPr>
          <w:snapToGrid w:val="0"/>
          <w:kern w:val="22"/>
          <w:szCs w:val="22"/>
        </w:rPr>
        <w:t>.</w:t>
      </w:r>
      <w:r w:rsidRPr="00C3075A">
        <w:rPr>
          <w:snapToGrid w:val="0"/>
          <w:kern w:val="22"/>
          <w:szCs w:val="22"/>
        </w:rPr>
        <w:tab/>
      </w:r>
      <w:r w:rsidRPr="00C3075A">
        <w:rPr>
          <w:i/>
          <w:snapToGrid w:val="0"/>
          <w:kern w:val="22"/>
          <w:szCs w:val="22"/>
        </w:rPr>
        <w:t>Welcomes</w:t>
      </w:r>
      <w:r w:rsidRPr="00C3075A">
        <w:rPr>
          <w:snapToGrid w:val="0"/>
          <w:kern w:val="22"/>
          <w:szCs w:val="22"/>
        </w:rPr>
        <w:t xml:space="preserve"> the fact that almost all Parties have designated their national focal point for the Cartagena Protocol and their focal point for the Biosafety Clearing-</w:t>
      </w:r>
      <w:proofErr w:type="gramStart"/>
      <w:r w:rsidRPr="00C3075A">
        <w:rPr>
          <w:snapToGrid w:val="0"/>
          <w:kern w:val="22"/>
          <w:szCs w:val="22"/>
        </w:rPr>
        <w:t>House;</w:t>
      </w:r>
      <w:proofErr w:type="gramEnd"/>
    </w:p>
    <w:p w14:paraId="20FC8317" w14:textId="77777777" w:rsidR="008B1291" w:rsidRPr="00C3075A" w:rsidRDefault="008B1291" w:rsidP="00AA3A3B">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C3075A">
        <w:rPr>
          <w:snapToGrid w:val="0"/>
          <w:kern w:val="22"/>
          <w:szCs w:val="22"/>
        </w:rPr>
        <w:t>3</w:t>
      </w:r>
      <w:r>
        <w:rPr>
          <w:snapToGrid w:val="0"/>
          <w:kern w:val="22"/>
          <w:szCs w:val="22"/>
        </w:rPr>
        <w:t>5</w:t>
      </w:r>
      <w:r w:rsidRPr="00C3075A">
        <w:rPr>
          <w:snapToGrid w:val="0"/>
          <w:kern w:val="22"/>
          <w:szCs w:val="22"/>
        </w:rPr>
        <w:t>.</w:t>
      </w:r>
      <w:r w:rsidRPr="00C3075A">
        <w:rPr>
          <w:snapToGrid w:val="0"/>
          <w:kern w:val="22"/>
          <w:szCs w:val="22"/>
        </w:rPr>
        <w:tab/>
      </w:r>
      <w:r w:rsidRPr="00C3075A">
        <w:rPr>
          <w:i/>
          <w:snapToGrid w:val="0"/>
          <w:kern w:val="22"/>
          <w:szCs w:val="22"/>
        </w:rPr>
        <w:t>Notes</w:t>
      </w:r>
      <w:r w:rsidRPr="00C3075A">
        <w:rPr>
          <w:snapToGrid w:val="0"/>
          <w:kern w:val="22"/>
          <w:szCs w:val="22"/>
        </w:rPr>
        <w:t xml:space="preserve"> the progress by Parties in designating their point of contact for the purposes of receiving notifications under Article 17 (Unintentional transboundary movements and emergency measures</w:t>
      </w:r>
      <w:proofErr w:type="gramStart"/>
      <w:r w:rsidRPr="00C3075A">
        <w:rPr>
          <w:snapToGrid w:val="0"/>
          <w:kern w:val="22"/>
          <w:szCs w:val="22"/>
        </w:rPr>
        <w:t>);</w:t>
      </w:r>
      <w:proofErr w:type="gramEnd"/>
    </w:p>
    <w:p w14:paraId="123DC9DF" w14:textId="63E6FF61" w:rsidR="008B1291" w:rsidRPr="00C3075A" w:rsidRDefault="008B1291" w:rsidP="00AA3A3B">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C3075A">
        <w:rPr>
          <w:snapToGrid w:val="0"/>
          <w:kern w:val="22"/>
          <w:szCs w:val="22"/>
        </w:rPr>
        <w:t>3</w:t>
      </w:r>
      <w:r>
        <w:rPr>
          <w:snapToGrid w:val="0"/>
          <w:kern w:val="22"/>
          <w:szCs w:val="22"/>
        </w:rPr>
        <w:t>6</w:t>
      </w:r>
      <w:r w:rsidRPr="00C3075A">
        <w:rPr>
          <w:snapToGrid w:val="0"/>
          <w:kern w:val="22"/>
          <w:szCs w:val="22"/>
        </w:rPr>
        <w:t>.</w:t>
      </w:r>
      <w:r w:rsidRPr="00C3075A">
        <w:rPr>
          <w:snapToGrid w:val="0"/>
          <w:kern w:val="22"/>
          <w:szCs w:val="22"/>
        </w:rPr>
        <w:tab/>
      </w:r>
      <w:r w:rsidRPr="00C3075A">
        <w:rPr>
          <w:i/>
          <w:snapToGrid w:val="0"/>
          <w:kern w:val="22"/>
          <w:szCs w:val="22"/>
        </w:rPr>
        <w:t xml:space="preserve">Urges </w:t>
      </w:r>
      <w:r w:rsidRPr="00C3075A">
        <w:rPr>
          <w:snapToGrid w:val="0"/>
          <w:kern w:val="22"/>
          <w:szCs w:val="22"/>
        </w:rPr>
        <w:t>Parties that have not yet completely done so to make all required information available to the Biosafety Clearing-House and keep their rec</w:t>
      </w:r>
      <w:r w:rsidRPr="004126EF">
        <w:rPr>
          <w:snapToGrid w:val="0"/>
          <w:kern w:val="22"/>
          <w:szCs w:val="22"/>
        </w:rPr>
        <w:t>ords up to date, focusing</w:t>
      </w:r>
      <w:r w:rsidRPr="00C3075A">
        <w:rPr>
          <w:snapToGrid w:val="0"/>
          <w:kern w:val="22"/>
          <w:szCs w:val="22"/>
        </w:rPr>
        <w:t xml:space="preserve"> in particular on information related to (a) national legislation, regulations and guidelines; (b) summaries of risk assessments; (c) final decisions regarding the importation or release of living modified organisms; (d) national focal points, national points of contact and competent national authorities; (e) information on bilateral, regional or multilateral agreements or arrangements into which they have entered; and (f) information concerning illegal transboundary movements of living modified organisms;</w:t>
      </w:r>
    </w:p>
    <w:p w14:paraId="6776328C" w14:textId="77777777" w:rsidR="008B1291" w:rsidRPr="004B21A3" w:rsidRDefault="008B1291" w:rsidP="00AA3A3B">
      <w:pPr>
        <w:suppressLineNumbers/>
        <w:suppressAutoHyphens/>
        <w:kinsoku w:val="0"/>
        <w:overflowPunct w:val="0"/>
        <w:autoSpaceDE w:val="0"/>
        <w:autoSpaceDN w:val="0"/>
        <w:adjustRightInd w:val="0"/>
        <w:snapToGrid w:val="0"/>
        <w:spacing w:before="120" w:after="120"/>
        <w:ind w:firstLine="720"/>
        <w:rPr>
          <w:snapToGrid w:val="0"/>
          <w:kern w:val="22"/>
          <w:szCs w:val="22"/>
        </w:rPr>
      </w:pPr>
      <w:r>
        <w:rPr>
          <w:snapToGrid w:val="0"/>
          <w:kern w:val="22"/>
          <w:szCs w:val="22"/>
        </w:rPr>
        <w:t>37</w:t>
      </w:r>
      <w:r w:rsidRPr="00C3075A">
        <w:rPr>
          <w:snapToGrid w:val="0"/>
          <w:kern w:val="22"/>
          <w:szCs w:val="22"/>
        </w:rPr>
        <w:t>.</w:t>
      </w:r>
      <w:r w:rsidRPr="00C3075A">
        <w:rPr>
          <w:snapToGrid w:val="0"/>
          <w:kern w:val="22"/>
          <w:szCs w:val="22"/>
        </w:rPr>
        <w:tab/>
      </w:r>
      <w:r w:rsidRPr="00C3075A">
        <w:rPr>
          <w:i/>
          <w:snapToGrid w:val="0"/>
          <w:kern w:val="22"/>
          <w:szCs w:val="22"/>
        </w:rPr>
        <w:t>Requests</w:t>
      </w:r>
      <w:r w:rsidRPr="00C3075A">
        <w:rPr>
          <w:snapToGrid w:val="0"/>
          <w:kern w:val="22"/>
          <w:szCs w:val="22"/>
        </w:rPr>
        <w:t xml:space="preserve"> the Executive Secretary to </w:t>
      </w:r>
      <w:r w:rsidRPr="004B21A3">
        <w:rPr>
          <w:snapToGrid w:val="0"/>
          <w:kern w:val="22"/>
          <w:szCs w:val="22"/>
        </w:rPr>
        <w:t xml:space="preserve">ensure that adequate support is provided to the Biosafety </w:t>
      </w:r>
      <w:proofErr w:type="gramStart"/>
      <w:r w:rsidRPr="004B21A3">
        <w:rPr>
          <w:snapToGrid w:val="0"/>
          <w:kern w:val="22"/>
          <w:szCs w:val="22"/>
        </w:rPr>
        <w:t>Clearing-House</w:t>
      </w:r>
      <w:proofErr w:type="gramEnd"/>
      <w:r w:rsidRPr="004B21A3">
        <w:rPr>
          <w:snapToGrid w:val="0"/>
          <w:kern w:val="22"/>
          <w:szCs w:val="22"/>
        </w:rPr>
        <w:t xml:space="preserve"> to enable the mechanism to function to its full capacity and potential;</w:t>
      </w:r>
    </w:p>
    <w:p w14:paraId="3C7E0A17" w14:textId="77777777" w:rsidR="008B1291" w:rsidRPr="00C3075A" w:rsidRDefault="008B1291" w:rsidP="004C522A">
      <w:pPr>
        <w:keepNext/>
        <w:suppressLineNumbers/>
        <w:tabs>
          <w:tab w:val="left" w:pos="567"/>
        </w:tabs>
        <w:suppressAutoHyphens/>
        <w:kinsoku w:val="0"/>
        <w:overflowPunct w:val="0"/>
        <w:autoSpaceDE w:val="0"/>
        <w:autoSpaceDN w:val="0"/>
        <w:adjustRightInd w:val="0"/>
        <w:snapToGrid w:val="0"/>
        <w:spacing w:before="120" w:after="120"/>
        <w:jc w:val="center"/>
        <w:rPr>
          <w:b/>
          <w:snapToGrid w:val="0"/>
          <w:kern w:val="22"/>
          <w:szCs w:val="22"/>
        </w:rPr>
      </w:pPr>
      <w:r w:rsidRPr="004B21A3">
        <w:rPr>
          <w:b/>
          <w:snapToGrid w:val="0"/>
          <w:kern w:val="22"/>
          <w:szCs w:val="22"/>
        </w:rPr>
        <w:t>J.</w:t>
      </w:r>
      <w:r w:rsidRPr="004B21A3">
        <w:rPr>
          <w:b/>
          <w:snapToGrid w:val="0"/>
          <w:kern w:val="22"/>
          <w:szCs w:val="22"/>
        </w:rPr>
        <w:tab/>
        <w:t>Compliance and review</w:t>
      </w:r>
    </w:p>
    <w:p w14:paraId="4A55D70B" w14:textId="77777777" w:rsidR="008B1291" w:rsidRPr="00C3075A" w:rsidRDefault="008B1291" w:rsidP="00AA3A3B">
      <w:pPr>
        <w:suppressLineNumbers/>
        <w:suppressAutoHyphens/>
        <w:kinsoku w:val="0"/>
        <w:overflowPunct w:val="0"/>
        <w:autoSpaceDE w:val="0"/>
        <w:autoSpaceDN w:val="0"/>
        <w:adjustRightInd w:val="0"/>
        <w:snapToGrid w:val="0"/>
        <w:spacing w:before="120" w:after="120"/>
        <w:ind w:firstLine="720"/>
        <w:rPr>
          <w:snapToGrid w:val="0"/>
          <w:kern w:val="22"/>
          <w:szCs w:val="22"/>
        </w:rPr>
      </w:pPr>
      <w:r>
        <w:rPr>
          <w:snapToGrid w:val="0"/>
          <w:kern w:val="22"/>
          <w:szCs w:val="22"/>
        </w:rPr>
        <w:t>38</w:t>
      </w:r>
      <w:r w:rsidRPr="00C3075A">
        <w:rPr>
          <w:snapToGrid w:val="0"/>
          <w:kern w:val="22"/>
          <w:szCs w:val="22"/>
        </w:rPr>
        <w:t>.</w:t>
      </w:r>
      <w:r w:rsidRPr="00C3075A">
        <w:rPr>
          <w:snapToGrid w:val="0"/>
          <w:kern w:val="22"/>
          <w:szCs w:val="22"/>
        </w:rPr>
        <w:tab/>
      </w:r>
      <w:r w:rsidRPr="00C3075A">
        <w:rPr>
          <w:i/>
          <w:snapToGrid w:val="0"/>
          <w:kern w:val="22"/>
          <w:szCs w:val="22"/>
        </w:rPr>
        <w:t>Notes</w:t>
      </w:r>
      <w:r w:rsidRPr="00C3075A">
        <w:rPr>
          <w:snapToGrid w:val="0"/>
          <w:kern w:val="22"/>
          <w:szCs w:val="22"/>
        </w:rPr>
        <w:t xml:space="preserve"> considerable variations in progress by Parties to comply with key obligations under the </w:t>
      </w:r>
      <w:proofErr w:type="gramStart"/>
      <w:r w:rsidRPr="00C3075A">
        <w:rPr>
          <w:snapToGrid w:val="0"/>
          <w:kern w:val="22"/>
          <w:szCs w:val="22"/>
        </w:rPr>
        <w:t>Protocol;</w:t>
      </w:r>
      <w:proofErr w:type="gramEnd"/>
    </w:p>
    <w:p w14:paraId="5A278DCC" w14:textId="45AE4161" w:rsidR="008B1291" w:rsidRPr="00C3075A" w:rsidRDefault="008B1291" w:rsidP="00AA3A3B">
      <w:pPr>
        <w:suppressLineNumbers/>
        <w:suppressAutoHyphens/>
        <w:kinsoku w:val="0"/>
        <w:overflowPunct w:val="0"/>
        <w:autoSpaceDE w:val="0"/>
        <w:autoSpaceDN w:val="0"/>
        <w:adjustRightInd w:val="0"/>
        <w:snapToGrid w:val="0"/>
        <w:spacing w:before="120" w:after="120"/>
        <w:ind w:firstLine="720"/>
        <w:rPr>
          <w:snapToGrid w:val="0"/>
          <w:kern w:val="22"/>
          <w:szCs w:val="22"/>
        </w:rPr>
      </w:pPr>
      <w:r>
        <w:rPr>
          <w:snapToGrid w:val="0"/>
          <w:kern w:val="22"/>
          <w:szCs w:val="22"/>
        </w:rPr>
        <w:t>39</w:t>
      </w:r>
      <w:r w:rsidRPr="00C3075A">
        <w:rPr>
          <w:snapToGrid w:val="0"/>
          <w:kern w:val="22"/>
          <w:szCs w:val="22"/>
        </w:rPr>
        <w:t>.</w:t>
      </w:r>
      <w:r w:rsidRPr="00C3075A">
        <w:rPr>
          <w:snapToGrid w:val="0"/>
          <w:kern w:val="22"/>
          <w:szCs w:val="22"/>
        </w:rPr>
        <w:tab/>
      </w:r>
      <w:r w:rsidRPr="00C3075A">
        <w:rPr>
          <w:i/>
          <w:snapToGrid w:val="0"/>
          <w:kern w:val="22"/>
          <w:szCs w:val="22"/>
        </w:rPr>
        <w:t>Welcomes</w:t>
      </w:r>
      <w:r w:rsidRPr="00C3075A">
        <w:rPr>
          <w:snapToGrid w:val="0"/>
          <w:kern w:val="22"/>
          <w:szCs w:val="22"/>
        </w:rPr>
        <w:t xml:space="preserve"> the progress made by Parties in complying with their obligations under the Protocol, including the obligations concerning (a) making certain information available to the Biosafety Clearing House</w:t>
      </w:r>
      <w:r w:rsidR="00ED28A4">
        <w:rPr>
          <w:snapToGrid w:val="0"/>
          <w:kern w:val="22"/>
          <w:szCs w:val="22"/>
        </w:rPr>
        <w:t>,</w:t>
      </w:r>
      <w:r w:rsidRPr="00C3075A">
        <w:rPr>
          <w:snapToGrid w:val="0"/>
          <w:kern w:val="22"/>
          <w:szCs w:val="22"/>
        </w:rPr>
        <w:t xml:space="preserve"> and (b) the designation of national focal points and competent national </w:t>
      </w:r>
      <w:proofErr w:type="gramStart"/>
      <w:r w:rsidRPr="00C3075A">
        <w:rPr>
          <w:snapToGrid w:val="0"/>
          <w:kern w:val="22"/>
          <w:szCs w:val="22"/>
        </w:rPr>
        <w:t>authorities;</w:t>
      </w:r>
      <w:proofErr w:type="gramEnd"/>
    </w:p>
    <w:p w14:paraId="3A77ABEB" w14:textId="490EFA88" w:rsidR="008B1291" w:rsidRPr="00C3075A" w:rsidRDefault="008B1291" w:rsidP="00AA3A3B">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C3075A">
        <w:rPr>
          <w:snapToGrid w:val="0"/>
          <w:kern w:val="22"/>
          <w:szCs w:val="22"/>
        </w:rPr>
        <w:t>4</w:t>
      </w:r>
      <w:r>
        <w:rPr>
          <w:snapToGrid w:val="0"/>
          <w:kern w:val="22"/>
          <w:szCs w:val="22"/>
        </w:rPr>
        <w:t>0</w:t>
      </w:r>
      <w:r w:rsidRPr="00C3075A">
        <w:rPr>
          <w:snapToGrid w:val="0"/>
          <w:kern w:val="22"/>
          <w:szCs w:val="22"/>
        </w:rPr>
        <w:t>.</w:t>
      </w:r>
      <w:r w:rsidRPr="00C3075A">
        <w:rPr>
          <w:snapToGrid w:val="0"/>
          <w:kern w:val="22"/>
          <w:szCs w:val="22"/>
        </w:rPr>
        <w:tab/>
      </w:r>
      <w:r w:rsidRPr="00C3075A">
        <w:rPr>
          <w:i/>
          <w:snapToGrid w:val="0"/>
          <w:kern w:val="22"/>
          <w:szCs w:val="22"/>
        </w:rPr>
        <w:t>Notes</w:t>
      </w:r>
      <w:r w:rsidRPr="00C3075A">
        <w:rPr>
          <w:snapToGrid w:val="0"/>
          <w:kern w:val="22"/>
          <w:szCs w:val="22"/>
        </w:rPr>
        <w:t xml:space="preserve"> </w:t>
      </w:r>
      <w:r w:rsidRPr="00C3075A">
        <w:rPr>
          <w:i/>
          <w:iCs/>
          <w:snapToGrid w:val="0"/>
          <w:kern w:val="22"/>
          <w:szCs w:val="22"/>
        </w:rPr>
        <w:t>with concern</w:t>
      </w:r>
      <w:r w:rsidRPr="00C3075A">
        <w:rPr>
          <w:snapToGrid w:val="0"/>
          <w:kern w:val="22"/>
          <w:szCs w:val="22"/>
        </w:rPr>
        <w:t xml:space="preserve"> that a large number of Parties are not in full compliance with key obligations under the Protocol, including (a) the obligation to take the necessary legal, administrative and other measures to implement the Protocol, and (b) the obligation to submit a national report in a timely </w:t>
      </w:r>
      <w:proofErr w:type="gramStart"/>
      <w:r w:rsidRPr="00C3075A">
        <w:rPr>
          <w:snapToGrid w:val="0"/>
          <w:kern w:val="22"/>
          <w:szCs w:val="22"/>
        </w:rPr>
        <w:t>manner;</w:t>
      </w:r>
      <w:proofErr w:type="gramEnd"/>
    </w:p>
    <w:p w14:paraId="1C0B23ED" w14:textId="77777777" w:rsidR="008B1291" w:rsidRPr="00C3075A" w:rsidRDefault="008B1291" w:rsidP="00AA3A3B">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C3075A">
        <w:rPr>
          <w:snapToGrid w:val="0"/>
          <w:kern w:val="22"/>
          <w:szCs w:val="22"/>
        </w:rPr>
        <w:t>4</w:t>
      </w:r>
      <w:r>
        <w:rPr>
          <w:snapToGrid w:val="0"/>
          <w:kern w:val="22"/>
          <w:szCs w:val="22"/>
        </w:rPr>
        <w:t>1</w:t>
      </w:r>
      <w:r w:rsidRPr="00C3075A">
        <w:rPr>
          <w:snapToGrid w:val="0"/>
          <w:kern w:val="22"/>
          <w:szCs w:val="22"/>
        </w:rPr>
        <w:t>.</w:t>
      </w:r>
      <w:r w:rsidRPr="00C3075A">
        <w:rPr>
          <w:snapToGrid w:val="0"/>
          <w:kern w:val="22"/>
          <w:szCs w:val="22"/>
        </w:rPr>
        <w:tab/>
      </w:r>
      <w:r w:rsidRPr="00C3075A">
        <w:rPr>
          <w:i/>
          <w:snapToGrid w:val="0"/>
          <w:kern w:val="22"/>
          <w:szCs w:val="22"/>
        </w:rPr>
        <w:t>Recognizes</w:t>
      </w:r>
      <w:r w:rsidRPr="00C3075A">
        <w:rPr>
          <w:snapToGrid w:val="0"/>
          <w:kern w:val="22"/>
          <w:szCs w:val="22"/>
        </w:rPr>
        <w:t xml:space="preserve"> the need for Parties to have in place monitoring and enforcement systems for the implementation of the </w:t>
      </w:r>
      <w:proofErr w:type="gramStart"/>
      <w:r w:rsidRPr="00C3075A">
        <w:rPr>
          <w:snapToGrid w:val="0"/>
          <w:kern w:val="22"/>
          <w:szCs w:val="22"/>
        </w:rPr>
        <w:t>Protocol;</w:t>
      </w:r>
      <w:proofErr w:type="gramEnd"/>
    </w:p>
    <w:p w14:paraId="726DEE7F" w14:textId="5EAE1A82" w:rsidR="008B1291" w:rsidRPr="00C3075A" w:rsidRDefault="008B1291" w:rsidP="00AA3A3B">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C3075A">
        <w:rPr>
          <w:snapToGrid w:val="0"/>
          <w:kern w:val="22"/>
          <w:szCs w:val="22"/>
        </w:rPr>
        <w:t>4</w:t>
      </w:r>
      <w:r>
        <w:rPr>
          <w:snapToGrid w:val="0"/>
          <w:kern w:val="22"/>
          <w:szCs w:val="22"/>
        </w:rPr>
        <w:t>2</w:t>
      </w:r>
      <w:r w:rsidRPr="00C3075A">
        <w:rPr>
          <w:snapToGrid w:val="0"/>
          <w:kern w:val="22"/>
          <w:szCs w:val="22"/>
        </w:rPr>
        <w:t>.</w:t>
      </w:r>
      <w:r w:rsidRPr="00C3075A">
        <w:rPr>
          <w:snapToGrid w:val="0"/>
          <w:kern w:val="22"/>
          <w:szCs w:val="22"/>
        </w:rPr>
        <w:tab/>
      </w:r>
      <w:r w:rsidRPr="00C3075A">
        <w:rPr>
          <w:i/>
          <w:snapToGrid w:val="0"/>
          <w:kern w:val="22"/>
          <w:szCs w:val="22"/>
        </w:rPr>
        <w:t xml:space="preserve">Welcomes </w:t>
      </w:r>
      <w:r w:rsidRPr="00C3075A">
        <w:rPr>
          <w:snapToGrid w:val="0"/>
          <w:kern w:val="22"/>
          <w:szCs w:val="22"/>
        </w:rPr>
        <w:t xml:space="preserve">the </w:t>
      </w:r>
      <w:r w:rsidR="006B3CE8" w:rsidRPr="00C3075A">
        <w:rPr>
          <w:snapToGrid w:val="0"/>
          <w:kern w:val="22"/>
          <w:szCs w:val="22"/>
        </w:rPr>
        <w:t xml:space="preserve">supportive role </w:t>
      </w:r>
      <w:r w:rsidR="006B3CE8">
        <w:rPr>
          <w:snapToGrid w:val="0"/>
          <w:kern w:val="22"/>
          <w:szCs w:val="22"/>
        </w:rPr>
        <w:t xml:space="preserve">of the </w:t>
      </w:r>
      <w:r w:rsidRPr="00C3075A">
        <w:rPr>
          <w:snapToGrid w:val="0"/>
          <w:kern w:val="22"/>
          <w:szCs w:val="22"/>
        </w:rPr>
        <w:t xml:space="preserve">Compliance Committee, carried out pursuant to decision BS-V/1, as a contribution to the progress reported by Parties in implementing their obligations under the </w:t>
      </w:r>
      <w:proofErr w:type="gramStart"/>
      <w:r w:rsidRPr="00C3075A">
        <w:rPr>
          <w:snapToGrid w:val="0"/>
          <w:kern w:val="22"/>
          <w:szCs w:val="22"/>
        </w:rPr>
        <w:t>Protocol;</w:t>
      </w:r>
      <w:proofErr w:type="gramEnd"/>
    </w:p>
    <w:p w14:paraId="7E636F33" w14:textId="77777777" w:rsidR="008B1291" w:rsidRPr="00C3075A" w:rsidRDefault="008B1291" w:rsidP="00AA3A3B">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C3075A">
        <w:rPr>
          <w:snapToGrid w:val="0"/>
          <w:kern w:val="22"/>
          <w:szCs w:val="22"/>
        </w:rPr>
        <w:t>4</w:t>
      </w:r>
      <w:r>
        <w:rPr>
          <w:snapToGrid w:val="0"/>
          <w:kern w:val="22"/>
          <w:szCs w:val="22"/>
        </w:rPr>
        <w:t>3</w:t>
      </w:r>
      <w:r w:rsidRPr="00C3075A">
        <w:rPr>
          <w:snapToGrid w:val="0"/>
          <w:kern w:val="22"/>
          <w:szCs w:val="22"/>
        </w:rPr>
        <w:t>.</w:t>
      </w:r>
      <w:r w:rsidRPr="00C3075A">
        <w:rPr>
          <w:snapToGrid w:val="0"/>
          <w:kern w:val="22"/>
          <w:szCs w:val="22"/>
        </w:rPr>
        <w:tab/>
      </w:r>
      <w:r w:rsidRPr="00C3075A">
        <w:rPr>
          <w:i/>
          <w:snapToGrid w:val="0"/>
          <w:kern w:val="22"/>
          <w:szCs w:val="22"/>
        </w:rPr>
        <w:t>Requests</w:t>
      </w:r>
      <w:r w:rsidRPr="00C3075A">
        <w:rPr>
          <w:snapToGrid w:val="0"/>
          <w:kern w:val="22"/>
          <w:szCs w:val="22"/>
        </w:rPr>
        <w:t xml:space="preserve"> the Executive Secretary, as appropriate and following guidance provided by the Compliance Committee, to continue following up with Parties that have not yet fully complied with their obligations under the Protocol, and </w:t>
      </w:r>
      <w:r w:rsidRPr="00DC6F4A">
        <w:rPr>
          <w:snapToGrid w:val="0"/>
          <w:kern w:val="22"/>
          <w:szCs w:val="22"/>
        </w:rPr>
        <w:t>requests</w:t>
      </w:r>
      <w:r w:rsidRPr="00AE01A9">
        <w:rPr>
          <w:snapToGrid w:val="0"/>
          <w:kern w:val="22"/>
          <w:szCs w:val="22"/>
        </w:rPr>
        <w:t xml:space="preserve"> Par</w:t>
      </w:r>
      <w:r w:rsidRPr="00C3075A">
        <w:rPr>
          <w:snapToGrid w:val="0"/>
          <w:kern w:val="22"/>
          <w:szCs w:val="22"/>
        </w:rPr>
        <w:t xml:space="preserve">ties to collaborate fully in this </w:t>
      </w:r>
      <w:proofErr w:type="gramStart"/>
      <w:r w:rsidRPr="00C3075A">
        <w:rPr>
          <w:snapToGrid w:val="0"/>
          <w:kern w:val="22"/>
          <w:szCs w:val="22"/>
        </w:rPr>
        <w:t>regard;</w:t>
      </w:r>
      <w:proofErr w:type="gramEnd"/>
    </w:p>
    <w:p w14:paraId="47ADFB7A" w14:textId="77777777" w:rsidR="008B1291" w:rsidRPr="00C3075A" w:rsidRDefault="008B1291" w:rsidP="004C522A">
      <w:pPr>
        <w:keepNext/>
        <w:suppressLineNumbers/>
        <w:tabs>
          <w:tab w:val="left" w:pos="567"/>
        </w:tabs>
        <w:suppressAutoHyphens/>
        <w:kinsoku w:val="0"/>
        <w:overflowPunct w:val="0"/>
        <w:autoSpaceDE w:val="0"/>
        <w:autoSpaceDN w:val="0"/>
        <w:adjustRightInd w:val="0"/>
        <w:snapToGrid w:val="0"/>
        <w:spacing w:before="120" w:after="120"/>
        <w:jc w:val="center"/>
        <w:rPr>
          <w:b/>
          <w:snapToGrid w:val="0"/>
          <w:kern w:val="22"/>
          <w:szCs w:val="22"/>
        </w:rPr>
      </w:pPr>
      <w:r w:rsidRPr="00C3075A">
        <w:rPr>
          <w:b/>
          <w:snapToGrid w:val="0"/>
          <w:kern w:val="22"/>
          <w:szCs w:val="22"/>
        </w:rPr>
        <w:t>K.</w:t>
      </w:r>
      <w:r w:rsidRPr="00C3075A">
        <w:rPr>
          <w:b/>
          <w:snapToGrid w:val="0"/>
          <w:kern w:val="22"/>
          <w:szCs w:val="22"/>
        </w:rPr>
        <w:tab/>
        <w:t xml:space="preserve">Public awareness and participation, biosafety </w:t>
      </w:r>
      <w:proofErr w:type="gramStart"/>
      <w:r w:rsidRPr="00C3075A">
        <w:rPr>
          <w:b/>
          <w:snapToGrid w:val="0"/>
          <w:kern w:val="22"/>
          <w:szCs w:val="22"/>
        </w:rPr>
        <w:t>education</w:t>
      </w:r>
      <w:proofErr w:type="gramEnd"/>
      <w:r w:rsidRPr="00C3075A">
        <w:rPr>
          <w:b/>
          <w:snapToGrid w:val="0"/>
          <w:kern w:val="22"/>
          <w:szCs w:val="22"/>
        </w:rPr>
        <w:t xml:space="preserve"> and training</w:t>
      </w:r>
    </w:p>
    <w:p w14:paraId="78954C36" w14:textId="42B320CB" w:rsidR="008B1291" w:rsidRPr="00C3075A" w:rsidRDefault="008B1291" w:rsidP="00AA3A3B">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C3075A">
        <w:rPr>
          <w:snapToGrid w:val="0"/>
          <w:kern w:val="22"/>
          <w:szCs w:val="22"/>
        </w:rPr>
        <w:t>4</w:t>
      </w:r>
      <w:r>
        <w:rPr>
          <w:snapToGrid w:val="0"/>
          <w:kern w:val="22"/>
          <w:szCs w:val="22"/>
        </w:rPr>
        <w:t>4</w:t>
      </w:r>
      <w:r w:rsidRPr="00C3075A">
        <w:rPr>
          <w:snapToGrid w:val="0"/>
          <w:kern w:val="22"/>
          <w:szCs w:val="22"/>
        </w:rPr>
        <w:t>.</w:t>
      </w:r>
      <w:r w:rsidRPr="00C3075A">
        <w:rPr>
          <w:snapToGrid w:val="0"/>
          <w:kern w:val="22"/>
          <w:szCs w:val="22"/>
        </w:rPr>
        <w:tab/>
      </w:r>
      <w:r w:rsidRPr="00C3075A">
        <w:rPr>
          <w:i/>
          <w:snapToGrid w:val="0"/>
          <w:kern w:val="22"/>
          <w:szCs w:val="22"/>
        </w:rPr>
        <w:t xml:space="preserve">Stresses </w:t>
      </w:r>
      <w:r w:rsidRPr="00C3075A">
        <w:rPr>
          <w:snapToGrid w:val="0"/>
          <w:kern w:val="22"/>
          <w:szCs w:val="22"/>
        </w:rPr>
        <w:t xml:space="preserve">the importance of public awareness, education and participation for the implementation of the Protocol, recognizing that more support in this area is </w:t>
      </w:r>
      <w:proofErr w:type="gramStart"/>
      <w:r w:rsidRPr="00C3075A">
        <w:rPr>
          <w:snapToGrid w:val="0"/>
          <w:kern w:val="22"/>
          <w:szCs w:val="22"/>
        </w:rPr>
        <w:t>needed;</w:t>
      </w:r>
      <w:proofErr w:type="gramEnd"/>
    </w:p>
    <w:p w14:paraId="1299AC1B" w14:textId="77777777" w:rsidR="008B1291" w:rsidRPr="00C3075A" w:rsidRDefault="008B1291" w:rsidP="00AA3A3B">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C3075A">
        <w:rPr>
          <w:snapToGrid w:val="0"/>
          <w:kern w:val="22"/>
          <w:szCs w:val="22"/>
        </w:rPr>
        <w:t>4</w:t>
      </w:r>
      <w:r>
        <w:rPr>
          <w:snapToGrid w:val="0"/>
          <w:kern w:val="22"/>
          <w:szCs w:val="22"/>
        </w:rPr>
        <w:t>5</w:t>
      </w:r>
      <w:r w:rsidRPr="00C3075A">
        <w:rPr>
          <w:snapToGrid w:val="0"/>
          <w:kern w:val="22"/>
          <w:szCs w:val="22"/>
        </w:rPr>
        <w:t>.</w:t>
      </w:r>
      <w:r w:rsidRPr="00C3075A">
        <w:rPr>
          <w:snapToGrid w:val="0"/>
          <w:kern w:val="22"/>
          <w:szCs w:val="22"/>
        </w:rPr>
        <w:tab/>
      </w:r>
      <w:r w:rsidRPr="00C3075A">
        <w:rPr>
          <w:i/>
          <w:snapToGrid w:val="0"/>
          <w:kern w:val="22"/>
          <w:szCs w:val="22"/>
        </w:rPr>
        <w:t>Notes</w:t>
      </w:r>
      <w:r w:rsidRPr="00C3075A">
        <w:rPr>
          <w:snapToGrid w:val="0"/>
          <w:kern w:val="22"/>
          <w:szCs w:val="22"/>
        </w:rPr>
        <w:t xml:space="preserve"> the progress in the development of mechanisms for public participation in decision-making on living modified organisms and in the number of Parties that have academic institutions that offer biosafety education and training </w:t>
      </w:r>
      <w:proofErr w:type="gramStart"/>
      <w:r w:rsidRPr="00C3075A">
        <w:rPr>
          <w:snapToGrid w:val="0"/>
          <w:kern w:val="22"/>
          <w:szCs w:val="22"/>
        </w:rPr>
        <w:t>programmes;</w:t>
      </w:r>
      <w:proofErr w:type="gramEnd"/>
    </w:p>
    <w:p w14:paraId="2C6C3E48" w14:textId="77777777" w:rsidR="008B1291" w:rsidRPr="00C3075A" w:rsidRDefault="008B1291" w:rsidP="00AA3A3B">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C3075A">
        <w:rPr>
          <w:snapToGrid w:val="0"/>
          <w:kern w:val="22"/>
          <w:szCs w:val="22"/>
        </w:rPr>
        <w:t>4</w:t>
      </w:r>
      <w:r>
        <w:rPr>
          <w:snapToGrid w:val="0"/>
          <w:kern w:val="22"/>
          <w:szCs w:val="22"/>
        </w:rPr>
        <w:t>6</w:t>
      </w:r>
      <w:r w:rsidRPr="00C3075A">
        <w:rPr>
          <w:snapToGrid w:val="0"/>
          <w:kern w:val="22"/>
          <w:szCs w:val="22"/>
        </w:rPr>
        <w:t>.</w:t>
      </w:r>
      <w:r w:rsidRPr="00C3075A">
        <w:rPr>
          <w:snapToGrid w:val="0"/>
          <w:kern w:val="22"/>
          <w:szCs w:val="22"/>
        </w:rPr>
        <w:tab/>
      </w:r>
      <w:r w:rsidRPr="00C3075A">
        <w:rPr>
          <w:i/>
          <w:snapToGrid w:val="0"/>
          <w:kern w:val="22"/>
          <w:szCs w:val="22"/>
        </w:rPr>
        <w:t>Encourages</w:t>
      </w:r>
      <w:r w:rsidRPr="00C3075A">
        <w:rPr>
          <w:snapToGrid w:val="0"/>
          <w:kern w:val="22"/>
          <w:szCs w:val="22"/>
        </w:rPr>
        <w:t xml:space="preserve"> Parties and invites </w:t>
      </w:r>
      <w:r w:rsidRPr="008F3154">
        <w:rPr>
          <w:snapToGrid w:val="0"/>
          <w:kern w:val="22"/>
          <w:szCs w:val="22"/>
        </w:rPr>
        <w:t>other users to share relevant materials on public awareness, education and participation through the Biosafety Clearing-</w:t>
      </w:r>
      <w:proofErr w:type="gramStart"/>
      <w:r w:rsidRPr="008F3154">
        <w:rPr>
          <w:snapToGrid w:val="0"/>
          <w:kern w:val="22"/>
          <w:szCs w:val="22"/>
        </w:rPr>
        <w:t>House;</w:t>
      </w:r>
      <w:proofErr w:type="gramEnd"/>
    </w:p>
    <w:p w14:paraId="4F9E2C05" w14:textId="77777777" w:rsidR="008B1291" w:rsidRPr="00C3075A" w:rsidRDefault="008B1291" w:rsidP="00DC6F4A">
      <w:pPr>
        <w:keepNext/>
        <w:suppressLineNumbers/>
        <w:tabs>
          <w:tab w:val="left" w:pos="567"/>
        </w:tabs>
        <w:suppressAutoHyphens/>
        <w:kinsoku w:val="0"/>
        <w:overflowPunct w:val="0"/>
        <w:autoSpaceDE w:val="0"/>
        <w:autoSpaceDN w:val="0"/>
        <w:adjustRightInd w:val="0"/>
        <w:snapToGrid w:val="0"/>
        <w:spacing w:before="120" w:after="120"/>
        <w:jc w:val="center"/>
        <w:rPr>
          <w:b/>
          <w:snapToGrid w:val="0"/>
          <w:kern w:val="22"/>
          <w:szCs w:val="22"/>
        </w:rPr>
      </w:pPr>
      <w:r w:rsidRPr="00C3075A">
        <w:rPr>
          <w:b/>
          <w:snapToGrid w:val="0"/>
          <w:kern w:val="22"/>
          <w:szCs w:val="22"/>
        </w:rPr>
        <w:t>L.</w:t>
      </w:r>
      <w:r w:rsidRPr="00C3075A">
        <w:rPr>
          <w:b/>
          <w:snapToGrid w:val="0"/>
          <w:kern w:val="22"/>
          <w:szCs w:val="22"/>
        </w:rPr>
        <w:tab/>
        <w:t>Outreach and cooperation</w:t>
      </w:r>
    </w:p>
    <w:p w14:paraId="020B89D2" w14:textId="77777777" w:rsidR="008B1291" w:rsidRPr="00C3075A" w:rsidRDefault="008B1291" w:rsidP="00AA3A3B">
      <w:pPr>
        <w:suppressLineNumbers/>
        <w:suppressAutoHyphens/>
        <w:kinsoku w:val="0"/>
        <w:overflowPunct w:val="0"/>
        <w:autoSpaceDE w:val="0"/>
        <w:autoSpaceDN w:val="0"/>
        <w:adjustRightInd w:val="0"/>
        <w:snapToGrid w:val="0"/>
        <w:spacing w:before="120" w:after="120"/>
        <w:ind w:firstLine="720"/>
        <w:rPr>
          <w:snapToGrid w:val="0"/>
          <w:kern w:val="22"/>
          <w:szCs w:val="22"/>
        </w:rPr>
      </w:pPr>
      <w:r>
        <w:rPr>
          <w:snapToGrid w:val="0"/>
          <w:kern w:val="22"/>
          <w:szCs w:val="22"/>
        </w:rPr>
        <w:t>47</w:t>
      </w:r>
      <w:r w:rsidRPr="00C3075A">
        <w:rPr>
          <w:snapToGrid w:val="0"/>
          <w:kern w:val="22"/>
          <w:szCs w:val="22"/>
        </w:rPr>
        <w:t>.</w:t>
      </w:r>
      <w:r w:rsidRPr="00C3075A">
        <w:rPr>
          <w:snapToGrid w:val="0"/>
          <w:kern w:val="22"/>
          <w:szCs w:val="22"/>
        </w:rPr>
        <w:tab/>
      </w:r>
      <w:r w:rsidRPr="00C3075A">
        <w:rPr>
          <w:i/>
          <w:snapToGrid w:val="0"/>
          <w:kern w:val="22"/>
          <w:szCs w:val="22"/>
        </w:rPr>
        <w:t>Stresses</w:t>
      </w:r>
      <w:r w:rsidRPr="00C3075A">
        <w:rPr>
          <w:snapToGrid w:val="0"/>
          <w:kern w:val="22"/>
          <w:szCs w:val="22"/>
        </w:rPr>
        <w:t xml:space="preserve"> the importance of cooperation among Parties in addition to cooperation among intergovernmental organizations to support the implementation of the </w:t>
      </w:r>
      <w:proofErr w:type="gramStart"/>
      <w:r w:rsidRPr="00C3075A">
        <w:rPr>
          <w:snapToGrid w:val="0"/>
          <w:kern w:val="22"/>
          <w:szCs w:val="22"/>
        </w:rPr>
        <w:t>Protocol;</w:t>
      </w:r>
      <w:proofErr w:type="gramEnd"/>
    </w:p>
    <w:p w14:paraId="0FB2F424" w14:textId="77777777" w:rsidR="008B1291" w:rsidRPr="00C3075A" w:rsidRDefault="008B1291" w:rsidP="00AA3A3B">
      <w:pPr>
        <w:suppressLineNumbers/>
        <w:suppressAutoHyphens/>
        <w:kinsoku w:val="0"/>
        <w:overflowPunct w:val="0"/>
        <w:autoSpaceDE w:val="0"/>
        <w:autoSpaceDN w:val="0"/>
        <w:adjustRightInd w:val="0"/>
        <w:snapToGrid w:val="0"/>
        <w:spacing w:before="120" w:after="120"/>
        <w:ind w:firstLine="720"/>
        <w:rPr>
          <w:snapToGrid w:val="0"/>
          <w:kern w:val="22"/>
          <w:szCs w:val="22"/>
        </w:rPr>
      </w:pPr>
      <w:r>
        <w:rPr>
          <w:snapToGrid w:val="0"/>
          <w:kern w:val="22"/>
          <w:szCs w:val="22"/>
        </w:rPr>
        <w:t>48</w:t>
      </w:r>
      <w:r w:rsidRPr="00C3075A">
        <w:rPr>
          <w:snapToGrid w:val="0"/>
          <w:kern w:val="22"/>
          <w:szCs w:val="22"/>
        </w:rPr>
        <w:t>.</w:t>
      </w:r>
      <w:r w:rsidRPr="00C3075A">
        <w:rPr>
          <w:snapToGrid w:val="0"/>
          <w:kern w:val="22"/>
          <w:szCs w:val="22"/>
        </w:rPr>
        <w:tab/>
      </w:r>
      <w:r w:rsidRPr="00C3075A">
        <w:rPr>
          <w:i/>
          <w:snapToGrid w:val="0"/>
          <w:kern w:val="22"/>
          <w:szCs w:val="22"/>
        </w:rPr>
        <w:t>Also stresses</w:t>
      </w:r>
      <w:r w:rsidRPr="00C3075A">
        <w:rPr>
          <w:snapToGrid w:val="0"/>
          <w:kern w:val="22"/>
          <w:szCs w:val="22"/>
        </w:rPr>
        <w:t xml:space="preserve"> the importance of outreach and cooperation with indigenous peoples and local communities as well as women, youth and other relevant stakeholders for the effective implementation of the </w:t>
      </w:r>
      <w:proofErr w:type="gramStart"/>
      <w:r w:rsidRPr="00C3075A">
        <w:rPr>
          <w:snapToGrid w:val="0"/>
          <w:kern w:val="22"/>
          <w:szCs w:val="22"/>
        </w:rPr>
        <w:t>Protocol;</w:t>
      </w:r>
      <w:proofErr w:type="gramEnd"/>
    </w:p>
    <w:p w14:paraId="5F4CBB0E" w14:textId="77777777" w:rsidR="008B1291" w:rsidRPr="00C3075A" w:rsidRDefault="008B1291" w:rsidP="00AA3A3B">
      <w:pPr>
        <w:suppressLineNumbers/>
        <w:suppressAutoHyphens/>
        <w:kinsoku w:val="0"/>
        <w:overflowPunct w:val="0"/>
        <w:autoSpaceDE w:val="0"/>
        <w:autoSpaceDN w:val="0"/>
        <w:adjustRightInd w:val="0"/>
        <w:snapToGrid w:val="0"/>
        <w:spacing w:before="120" w:after="120"/>
        <w:ind w:firstLine="720"/>
        <w:rPr>
          <w:i/>
          <w:iCs/>
          <w:szCs w:val="22"/>
        </w:rPr>
      </w:pPr>
      <w:r>
        <w:rPr>
          <w:szCs w:val="22"/>
        </w:rPr>
        <w:t>49</w:t>
      </w:r>
      <w:r w:rsidRPr="00C3075A">
        <w:rPr>
          <w:szCs w:val="22"/>
        </w:rPr>
        <w:t>.</w:t>
      </w:r>
      <w:r w:rsidRPr="00C3075A">
        <w:rPr>
          <w:szCs w:val="22"/>
        </w:rPr>
        <w:tab/>
      </w:r>
      <w:r w:rsidRPr="00C3075A">
        <w:rPr>
          <w:i/>
          <w:snapToGrid w:val="0"/>
          <w:kern w:val="22"/>
          <w:szCs w:val="22"/>
        </w:rPr>
        <w:t>Encourages</w:t>
      </w:r>
      <w:r w:rsidRPr="00C3075A">
        <w:rPr>
          <w:snapToGrid w:val="0"/>
          <w:kern w:val="22"/>
          <w:szCs w:val="22"/>
        </w:rPr>
        <w:t xml:space="preserve"> Parties to provide support, especially for developing countries, for effective participation in biotechnological and biosafety research activities, in accordance with Article 22 of the Protocol and Article 19 of the Convention.</w:t>
      </w:r>
    </w:p>
    <w:p w14:paraId="3093D971" w14:textId="70281CA6" w:rsidR="00B3369F" w:rsidRPr="00C9161D" w:rsidRDefault="000F73F5" w:rsidP="00AA3A3B">
      <w:pPr>
        <w:jc w:val="center"/>
      </w:pPr>
      <w:r>
        <w:t>_____</w:t>
      </w:r>
      <w:r w:rsidR="00AA3A3B">
        <w:t>_____</w:t>
      </w:r>
    </w:p>
    <w:sectPr w:rsidR="00B3369F" w:rsidRPr="00C9161D" w:rsidSect="00032E88">
      <w:headerReference w:type="even" r:id="rId15"/>
      <w:headerReference w:type="default" r:id="rId16"/>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6F05F" w14:textId="77777777" w:rsidR="0075193C" w:rsidRDefault="0075193C" w:rsidP="00CF1848">
      <w:r>
        <w:separator/>
      </w:r>
    </w:p>
  </w:endnote>
  <w:endnote w:type="continuationSeparator" w:id="0">
    <w:p w14:paraId="1E8A1575" w14:textId="77777777" w:rsidR="0075193C" w:rsidRDefault="0075193C"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Calibri"/>
    <w:charset w:val="00"/>
    <w:family w:val="swiss"/>
    <w:pitch w:val="variable"/>
    <w:sig w:usb0="80000287" w:usb1="00000000" w:usb2="00000000" w:usb3="00000000" w:csb0="0000000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0B412" w14:textId="77777777" w:rsidR="0075193C" w:rsidRDefault="0075193C" w:rsidP="00CF1848">
      <w:r>
        <w:separator/>
      </w:r>
    </w:p>
  </w:footnote>
  <w:footnote w:type="continuationSeparator" w:id="0">
    <w:p w14:paraId="5F258E03" w14:textId="77777777" w:rsidR="0075193C" w:rsidRDefault="0075193C" w:rsidP="00CF1848">
      <w:r>
        <w:continuationSeparator/>
      </w:r>
    </w:p>
  </w:footnote>
  <w:footnote w:id="1">
    <w:p w14:paraId="2A2DA0DA" w14:textId="77777777" w:rsidR="008B1291" w:rsidRPr="00A44BC7" w:rsidRDefault="008B1291" w:rsidP="00DC6F4A">
      <w:pPr>
        <w:pStyle w:val="FootnoteText"/>
        <w:ind w:firstLine="0"/>
        <w:jc w:val="left"/>
        <w:rPr>
          <w:szCs w:val="18"/>
        </w:rPr>
      </w:pPr>
      <w:r w:rsidRPr="00B92695">
        <w:rPr>
          <w:rStyle w:val="FootnoteReference"/>
          <w:sz w:val="18"/>
          <w:szCs w:val="18"/>
        </w:rPr>
        <w:footnoteRef/>
      </w:r>
      <w:r w:rsidRPr="00A44BC7">
        <w:rPr>
          <w:szCs w:val="18"/>
        </w:rPr>
        <w:t xml:space="preserve"> Decision BS-V/16, annex I.</w:t>
      </w:r>
    </w:p>
  </w:footnote>
  <w:footnote w:id="2">
    <w:p w14:paraId="59CCEE03" w14:textId="28D7379E" w:rsidR="00C86F0F" w:rsidRPr="00C86F0F" w:rsidRDefault="00C86F0F" w:rsidP="00DC6F4A">
      <w:pPr>
        <w:pStyle w:val="FootnoteText"/>
        <w:ind w:firstLine="0"/>
        <w:rPr>
          <w:szCs w:val="18"/>
        </w:rPr>
      </w:pPr>
      <w:r w:rsidRPr="00DC6F4A">
        <w:rPr>
          <w:rStyle w:val="FootnoteReference"/>
          <w:sz w:val="18"/>
          <w:szCs w:val="18"/>
        </w:rPr>
        <w:footnoteRef/>
      </w:r>
      <w:r w:rsidRPr="00C86F0F">
        <w:rPr>
          <w:szCs w:val="18"/>
        </w:rPr>
        <w:t xml:space="preserve"> Decision CP-10/3, annex.</w:t>
      </w:r>
    </w:p>
  </w:footnote>
  <w:footnote w:id="3">
    <w:p w14:paraId="5020264D" w14:textId="20D5EBA7" w:rsidR="00C86F0F" w:rsidRPr="00C86F0F" w:rsidRDefault="00C86F0F" w:rsidP="00DC6F4A">
      <w:pPr>
        <w:pStyle w:val="FootnoteText"/>
        <w:ind w:firstLine="0"/>
      </w:pPr>
      <w:r w:rsidRPr="00DC6F4A">
        <w:rPr>
          <w:rStyle w:val="FootnoteReference"/>
          <w:sz w:val="18"/>
          <w:szCs w:val="18"/>
        </w:rPr>
        <w:footnoteRef/>
      </w:r>
      <w:r w:rsidRPr="00C86F0F">
        <w:rPr>
          <w:szCs w:val="18"/>
        </w:rPr>
        <w:t xml:space="preserve"> Decision CP-10/4, annex.</w:t>
      </w:r>
    </w:p>
  </w:footnote>
  <w:footnote w:id="4">
    <w:p w14:paraId="338092C1" w14:textId="77777777" w:rsidR="008B1291" w:rsidRPr="006D6D86" w:rsidRDefault="008B1291" w:rsidP="00DC6F4A">
      <w:pPr>
        <w:pStyle w:val="FootnoteText"/>
        <w:ind w:firstLine="0"/>
        <w:jc w:val="left"/>
      </w:pPr>
      <w:r w:rsidRPr="00B92695">
        <w:rPr>
          <w:rStyle w:val="FootnoteReference"/>
          <w:sz w:val="18"/>
          <w:szCs w:val="18"/>
        </w:rPr>
        <w:footnoteRef/>
      </w:r>
      <w:r w:rsidRPr="00A44BC7">
        <w:rPr>
          <w:szCs w:val="18"/>
        </w:rPr>
        <w:t xml:space="preserve"> </w:t>
      </w:r>
      <w:proofErr w:type="gramStart"/>
      <w:r w:rsidRPr="00A44BC7">
        <w:rPr>
          <w:szCs w:val="18"/>
        </w:rPr>
        <w:t>CBD/SBI/3/3,</w:t>
      </w:r>
      <w:proofErr w:type="gramEnd"/>
      <w:r w:rsidRPr="00A44BC7">
        <w:rPr>
          <w:szCs w:val="18"/>
        </w:rPr>
        <w:t xml:space="preserve"> annexes I and II, respectively.</w:t>
      </w:r>
    </w:p>
  </w:footnote>
  <w:footnote w:id="5">
    <w:p w14:paraId="28201E1B" w14:textId="613E57B0" w:rsidR="00C219D9" w:rsidRPr="00C219D9" w:rsidRDefault="008B1291" w:rsidP="008B1291">
      <w:pPr>
        <w:pStyle w:val="FootnoteText"/>
        <w:suppressLineNumbers/>
        <w:suppressAutoHyphens/>
        <w:kinsoku w:val="0"/>
        <w:overflowPunct w:val="0"/>
        <w:autoSpaceDE w:val="0"/>
        <w:autoSpaceDN w:val="0"/>
        <w:ind w:firstLine="0"/>
        <w:jc w:val="left"/>
        <w:rPr>
          <w:i/>
          <w:iCs/>
          <w:kern w:val="18"/>
          <w:szCs w:val="18"/>
        </w:rPr>
      </w:pPr>
      <w:r w:rsidRPr="00A3081E">
        <w:rPr>
          <w:rStyle w:val="FootnoteReference"/>
          <w:rFonts w:asciiTheme="majorBidi" w:hAnsiTheme="majorBidi" w:cstheme="majorBidi"/>
          <w:sz w:val="18"/>
          <w:szCs w:val="18"/>
        </w:rPr>
        <w:footnoteRef/>
      </w:r>
      <w:r w:rsidRPr="00A3081E">
        <w:rPr>
          <w:kern w:val="18"/>
          <w:szCs w:val="18"/>
        </w:rPr>
        <w:t xml:space="preserve"> See decision CP-VIII/15.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nl-NL"/>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BC20A3F" w14:textId="4DDFFB20" w:rsidR="00534681" w:rsidRPr="00A771ED" w:rsidRDefault="00892829" w:rsidP="00534681">
        <w:pPr>
          <w:pStyle w:val="Header"/>
          <w:rPr>
            <w:lang w:val="nl-NL"/>
          </w:rPr>
        </w:pPr>
        <w:r>
          <w:rPr>
            <w:lang w:val="nl-NL"/>
          </w:rPr>
          <w:t>CBD/CP/MOP/DEC/10/7</w:t>
        </w:r>
      </w:p>
    </w:sdtContent>
  </w:sdt>
  <w:p w14:paraId="1E0FDE0B" w14:textId="77777777" w:rsidR="00534681" w:rsidRPr="00A771ED" w:rsidRDefault="00534681" w:rsidP="00534681">
    <w:pPr>
      <w:pStyle w:val="Header"/>
      <w:rPr>
        <w:lang w:val="nl-NL"/>
      </w:rPr>
    </w:pPr>
    <w:r w:rsidRPr="00A771ED">
      <w:rPr>
        <w:lang w:val="nl-NL"/>
      </w:rPr>
      <w:t xml:space="preserve">Page </w:t>
    </w:r>
    <w:r>
      <w:fldChar w:fldCharType="begin"/>
    </w:r>
    <w:r w:rsidRPr="00A771ED">
      <w:rPr>
        <w:lang w:val="nl-NL"/>
      </w:rPr>
      <w:instrText xml:space="preserve"> PAGE   \* MERGEFORMAT </w:instrText>
    </w:r>
    <w:r>
      <w:fldChar w:fldCharType="separate"/>
    </w:r>
    <w:r w:rsidR="00F6586C" w:rsidRPr="00A771ED">
      <w:rPr>
        <w:noProof/>
        <w:lang w:val="nl-NL"/>
      </w:rPr>
      <w:t>2</w:t>
    </w:r>
    <w:r>
      <w:rPr>
        <w:noProof/>
      </w:rPr>
      <w:fldChar w:fldCharType="end"/>
    </w:r>
  </w:p>
  <w:p w14:paraId="61C60697" w14:textId="77777777" w:rsidR="00534681" w:rsidRPr="00A771ED" w:rsidRDefault="00534681">
    <w:pPr>
      <w:pStyle w:val="Header"/>
      <w:rPr>
        <w:lang w:val="nl-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nl-NL"/>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C4EC37E" w14:textId="24B1C6FB" w:rsidR="009505C9" w:rsidRPr="00A771ED" w:rsidRDefault="00892829" w:rsidP="009505C9">
        <w:pPr>
          <w:pStyle w:val="Header"/>
          <w:jc w:val="right"/>
          <w:rPr>
            <w:lang w:val="nl-NL"/>
          </w:rPr>
        </w:pPr>
        <w:r>
          <w:rPr>
            <w:lang w:val="nl-NL"/>
          </w:rPr>
          <w:t>CBD/CP/MOP/DEC/10/7</w:t>
        </w:r>
      </w:p>
    </w:sdtContent>
  </w:sdt>
  <w:p w14:paraId="64AE8439" w14:textId="77777777" w:rsidR="009505C9" w:rsidRPr="00A771ED" w:rsidRDefault="009505C9" w:rsidP="009505C9">
    <w:pPr>
      <w:pStyle w:val="Header"/>
      <w:jc w:val="right"/>
      <w:rPr>
        <w:lang w:val="nl-NL"/>
      </w:rPr>
    </w:pPr>
    <w:r w:rsidRPr="00A771ED">
      <w:rPr>
        <w:lang w:val="nl-NL"/>
      </w:rPr>
      <w:t xml:space="preserve">Page </w:t>
    </w:r>
    <w:r>
      <w:fldChar w:fldCharType="begin"/>
    </w:r>
    <w:r w:rsidRPr="00A771ED">
      <w:rPr>
        <w:lang w:val="nl-NL"/>
      </w:rPr>
      <w:instrText xml:space="preserve"> PAGE   \* MERGEFORMAT </w:instrText>
    </w:r>
    <w:r>
      <w:fldChar w:fldCharType="separate"/>
    </w:r>
    <w:r w:rsidR="00F6586C" w:rsidRPr="00A771ED">
      <w:rPr>
        <w:noProof/>
        <w:lang w:val="nl-NL"/>
      </w:rPr>
      <w:t>3</w:t>
    </w:r>
    <w:r>
      <w:rPr>
        <w:noProof/>
      </w:rPr>
      <w:fldChar w:fldCharType="end"/>
    </w:r>
  </w:p>
  <w:p w14:paraId="16137B8A" w14:textId="77777777" w:rsidR="009505C9" w:rsidRPr="00A771ED" w:rsidRDefault="009505C9">
    <w:pPr>
      <w:pStyle w:val="Header"/>
      <w:rPr>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1296787">
    <w:abstractNumId w:val="3"/>
  </w:num>
  <w:num w:numId="2" w16cid:durableId="1903366122">
    <w:abstractNumId w:val="6"/>
  </w:num>
  <w:num w:numId="3" w16cid:durableId="1263604885">
    <w:abstractNumId w:val="4"/>
  </w:num>
  <w:num w:numId="4" w16cid:durableId="493033751">
    <w:abstractNumId w:val="6"/>
  </w:num>
  <w:num w:numId="5" w16cid:durableId="798301034">
    <w:abstractNumId w:val="5"/>
  </w:num>
  <w:num w:numId="6" w16cid:durableId="1806315993">
    <w:abstractNumId w:val="0"/>
  </w:num>
  <w:num w:numId="7" w16cid:durableId="1438676577">
    <w:abstractNumId w:val="2"/>
  </w:num>
  <w:num w:numId="8" w16cid:durableId="1683317218">
    <w:abstractNumId w:val="4"/>
    <w:lvlOverride w:ilvl="0">
      <w:startOverride w:val="1"/>
    </w:lvlOverride>
  </w:num>
  <w:num w:numId="9" w16cid:durableId="798957010">
    <w:abstractNumId w:val="9"/>
  </w:num>
  <w:num w:numId="10" w16cid:durableId="1997953835">
    <w:abstractNumId w:val="4"/>
    <w:lvlOverride w:ilvl="0">
      <w:startOverride w:val="1"/>
    </w:lvlOverride>
  </w:num>
  <w:num w:numId="11" w16cid:durableId="49816530">
    <w:abstractNumId w:val="4"/>
    <w:lvlOverride w:ilvl="0">
      <w:startOverride w:val="1"/>
    </w:lvlOverride>
  </w:num>
  <w:num w:numId="12" w16cid:durableId="429352489">
    <w:abstractNumId w:val="4"/>
    <w:lvlOverride w:ilvl="0">
      <w:startOverride w:val="1"/>
    </w:lvlOverride>
  </w:num>
  <w:num w:numId="13" w16cid:durableId="113134598">
    <w:abstractNumId w:val="4"/>
    <w:lvlOverride w:ilvl="0">
      <w:startOverride w:val="1"/>
    </w:lvlOverride>
  </w:num>
  <w:num w:numId="14" w16cid:durableId="227109700">
    <w:abstractNumId w:val="8"/>
  </w:num>
  <w:num w:numId="15" w16cid:durableId="1502502432">
    <w:abstractNumId w:val="7"/>
  </w:num>
  <w:num w:numId="16" w16cid:durableId="978876816">
    <w:abstractNumId w:val="1"/>
  </w:num>
  <w:num w:numId="17" w16cid:durableId="1727560893">
    <w:abstractNumId w:val="10"/>
  </w:num>
  <w:num w:numId="18" w16cid:durableId="8101703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4298"/>
    <w:rsid w:val="00007582"/>
    <w:rsid w:val="00020A25"/>
    <w:rsid w:val="00027FC9"/>
    <w:rsid w:val="00032E88"/>
    <w:rsid w:val="00034F69"/>
    <w:rsid w:val="0004168D"/>
    <w:rsid w:val="00041997"/>
    <w:rsid w:val="0007171B"/>
    <w:rsid w:val="00074631"/>
    <w:rsid w:val="00084928"/>
    <w:rsid w:val="0008699B"/>
    <w:rsid w:val="0009075D"/>
    <w:rsid w:val="000B0F2F"/>
    <w:rsid w:val="000C64C2"/>
    <w:rsid w:val="000D087B"/>
    <w:rsid w:val="000E673A"/>
    <w:rsid w:val="000F73F5"/>
    <w:rsid w:val="000F74F5"/>
    <w:rsid w:val="000F7E5D"/>
    <w:rsid w:val="00105372"/>
    <w:rsid w:val="0012234C"/>
    <w:rsid w:val="00125405"/>
    <w:rsid w:val="001312AD"/>
    <w:rsid w:val="0013142E"/>
    <w:rsid w:val="00131E7A"/>
    <w:rsid w:val="00134846"/>
    <w:rsid w:val="00172AF6"/>
    <w:rsid w:val="00176CEE"/>
    <w:rsid w:val="0018473C"/>
    <w:rsid w:val="00184D5B"/>
    <w:rsid w:val="00186DD8"/>
    <w:rsid w:val="001A3B9F"/>
    <w:rsid w:val="001A6C80"/>
    <w:rsid w:val="001B13FE"/>
    <w:rsid w:val="001D2643"/>
    <w:rsid w:val="001F055E"/>
    <w:rsid w:val="00201591"/>
    <w:rsid w:val="002275E0"/>
    <w:rsid w:val="00234E89"/>
    <w:rsid w:val="00263C9C"/>
    <w:rsid w:val="00274193"/>
    <w:rsid w:val="00284935"/>
    <w:rsid w:val="0029045E"/>
    <w:rsid w:val="002A4124"/>
    <w:rsid w:val="002B68D7"/>
    <w:rsid w:val="002F1586"/>
    <w:rsid w:val="0030169D"/>
    <w:rsid w:val="003036DE"/>
    <w:rsid w:val="003060EB"/>
    <w:rsid w:val="003153EB"/>
    <w:rsid w:val="00317074"/>
    <w:rsid w:val="00321985"/>
    <w:rsid w:val="0032467B"/>
    <w:rsid w:val="0033016C"/>
    <w:rsid w:val="00336A7C"/>
    <w:rsid w:val="00336E02"/>
    <w:rsid w:val="00351205"/>
    <w:rsid w:val="00353685"/>
    <w:rsid w:val="00361F77"/>
    <w:rsid w:val="00372F74"/>
    <w:rsid w:val="00376245"/>
    <w:rsid w:val="00382AAF"/>
    <w:rsid w:val="00382F73"/>
    <w:rsid w:val="00385C9F"/>
    <w:rsid w:val="003922B1"/>
    <w:rsid w:val="003A4DA0"/>
    <w:rsid w:val="003B0846"/>
    <w:rsid w:val="003B1DB0"/>
    <w:rsid w:val="003B7152"/>
    <w:rsid w:val="003B7BB2"/>
    <w:rsid w:val="003C1437"/>
    <w:rsid w:val="003D2661"/>
    <w:rsid w:val="003F7224"/>
    <w:rsid w:val="003F7420"/>
    <w:rsid w:val="00406CC9"/>
    <w:rsid w:val="004126EF"/>
    <w:rsid w:val="00427D21"/>
    <w:rsid w:val="004336D2"/>
    <w:rsid w:val="00440D01"/>
    <w:rsid w:val="00441A58"/>
    <w:rsid w:val="004511DB"/>
    <w:rsid w:val="00454899"/>
    <w:rsid w:val="00456CB7"/>
    <w:rsid w:val="004644C2"/>
    <w:rsid w:val="00467F9C"/>
    <w:rsid w:val="004911BF"/>
    <w:rsid w:val="004B21A3"/>
    <w:rsid w:val="004B2F40"/>
    <w:rsid w:val="004B6442"/>
    <w:rsid w:val="004B687D"/>
    <w:rsid w:val="004C522A"/>
    <w:rsid w:val="00502535"/>
    <w:rsid w:val="00511E0C"/>
    <w:rsid w:val="00512CA9"/>
    <w:rsid w:val="00521A45"/>
    <w:rsid w:val="00534681"/>
    <w:rsid w:val="00550815"/>
    <w:rsid w:val="00563442"/>
    <w:rsid w:val="00565B42"/>
    <w:rsid w:val="00594C3E"/>
    <w:rsid w:val="0059781B"/>
    <w:rsid w:val="005B1406"/>
    <w:rsid w:val="005B1D62"/>
    <w:rsid w:val="005B2855"/>
    <w:rsid w:val="005B4ADC"/>
    <w:rsid w:val="005C4CE6"/>
    <w:rsid w:val="005C6A2C"/>
    <w:rsid w:val="005D193D"/>
    <w:rsid w:val="005D6A9B"/>
    <w:rsid w:val="005E0ED3"/>
    <w:rsid w:val="005E782B"/>
    <w:rsid w:val="005F52F8"/>
    <w:rsid w:val="006122BA"/>
    <w:rsid w:val="00617402"/>
    <w:rsid w:val="00626F0E"/>
    <w:rsid w:val="0063588C"/>
    <w:rsid w:val="006479E1"/>
    <w:rsid w:val="00662AAA"/>
    <w:rsid w:val="00666BB4"/>
    <w:rsid w:val="006A4A95"/>
    <w:rsid w:val="006A5DF6"/>
    <w:rsid w:val="006B13E1"/>
    <w:rsid w:val="006B2290"/>
    <w:rsid w:val="006B3CE8"/>
    <w:rsid w:val="006E4ECC"/>
    <w:rsid w:val="006F0666"/>
    <w:rsid w:val="00706702"/>
    <w:rsid w:val="00706F14"/>
    <w:rsid w:val="00717D88"/>
    <w:rsid w:val="00731FD2"/>
    <w:rsid w:val="00750EEA"/>
    <w:rsid w:val="0075193C"/>
    <w:rsid w:val="007552CE"/>
    <w:rsid w:val="00755E84"/>
    <w:rsid w:val="007765DD"/>
    <w:rsid w:val="00782606"/>
    <w:rsid w:val="00786056"/>
    <w:rsid w:val="00793F51"/>
    <w:rsid w:val="007942D3"/>
    <w:rsid w:val="007B2099"/>
    <w:rsid w:val="007B6C09"/>
    <w:rsid w:val="007B7741"/>
    <w:rsid w:val="007E09DA"/>
    <w:rsid w:val="00803233"/>
    <w:rsid w:val="0080725C"/>
    <w:rsid w:val="008178B6"/>
    <w:rsid w:val="00842CA3"/>
    <w:rsid w:val="00846F8A"/>
    <w:rsid w:val="0085606C"/>
    <w:rsid w:val="00857718"/>
    <w:rsid w:val="00865B74"/>
    <w:rsid w:val="008867FD"/>
    <w:rsid w:val="00892829"/>
    <w:rsid w:val="008974F0"/>
    <w:rsid w:val="008B012A"/>
    <w:rsid w:val="008B1291"/>
    <w:rsid w:val="008E0DFC"/>
    <w:rsid w:val="008F3154"/>
    <w:rsid w:val="00906E17"/>
    <w:rsid w:val="00912208"/>
    <w:rsid w:val="009205C0"/>
    <w:rsid w:val="00930BA1"/>
    <w:rsid w:val="0093169E"/>
    <w:rsid w:val="00933144"/>
    <w:rsid w:val="0093591F"/>
    <w:rsid w:val="00935F49"/>
    <w:rsid w:val="00937130"/>
    <w:rsid w:val="00943D16"/>
    <w:rsid w:val="009505C9"/>
    <w:rsid w:val="00950752"/>
    <w:rsid w:val="0096472C"/>
    <w:rsid w:val="00965766"/>
    <w:rsid w:val="00966424"/>
    <w:rsid w:val="00966DA4"/>
    <w:rsid w:val="0097649C"/>
    <w:rsid w:val="00982D3A"/>
    <w:rsid w:val="009909D7"/>
    <w:rsid w:val="009A635C"/>
    <w:rsid w:val="009B57CB"/>
    <w:rsid w:val="009B7ADC"/>
    <w:rsid w:val="009C2DE6"/>
    <w:rsid w:val="009C6BD3"/>
    <w:rsid w:val="009D5E00"/>
    <w:rsid w:val="009E39C5"/>
    <w:rsid w:val="00A05E38"/>
    <w:rsid w:val="00A1252A"/>
    <w:rsid w:val="00A3081E"/>
    <w:rsid w:val="00A44BC7"/>
    <w:rsid w:val="00A60A86"/>
    <w:rsid w:val="00A74DDE"/>
    <w:rsid w:val="00A771ED"/>
    <w:rsid w:val="00A901BE"/>
    <w:rsid w:val="00AA3A3B"/>
    <w:rsid w:val="00AA6F92"/>
    <w:rsid w:val="00AB0944"/>
    <w:rsid w:val="00AB6934"/>
    <w:rsid w:val="00AC03FA"/>
    <w:rsid w:val="00AC1A13"/>
    <w:rsid w:val="00AC3E17"/>
    <w:rsid w:val="00AC4061"/>
    <w:rsid w:val="00AC5E5C"/>
    <w:rsid w:val="00AD077B"/>
    <w:rsid w:val="00AD7EC0"/>
    <w:rsid w:val="00AD7FFC"/>
    <w:rsid w:val="00AE01A9"/>
    <w:rsid w:val="00AF2207"/>
    <w:rsid w:val="00AF42DE"/>
    <w:rsid w:val="00AF4DCC"/>
    <w:rsid w:val="00B0356D"/>
    <w:rsid w:val="00B26ACD"/>
    <w:rsid w:val="00B316CD"/>
    <w:rsid w:val="00B3369F"/>
    <w:rsid w:val="00B70430"/>
    <w:rsid w:val="00B8269F"/>
    <w:rsid w:val="00B82CBC"/>
    <w:rsid w:val="00B85944"/>
    <w:rsid w:val="00B91411"/>
    <w:rsid w:val="00B92695"/>
    <w:rsid w:val="00B94E6C"/>
    <w:rsid w:val="00BB4606"/>
    <w:rsid w:val="00BF11F9"/>
    <w:rsid w:val="00C04CAB"/>
    <w:rsid w:val="00C13D8F"/>
    <w:rsid w:val="00C16722"/>
    <w:rsid w:val="00C20421"/>
    <w:rsid w:val="00C219D9"/>
    <w:rsid w:val="00C23D2F"/>
    <w:rsid w:val="00C26CCA"/>
    <w:rsid w:val="00C316B5"/>
    <w:rsid w:val="00C354AD"/>
    <w:rsid w:val="00C443BD"/>
    <w:rsid w:val="00C451C5"/>
    <w:rsid w:val="00C86F0F"/>
    <w:rsid w:val="00C87469"/>
    <w:rsid w:val="00C9161D"/>
    <w:rsid w:val="00C969B2"/>
    <w:rsid w:val="00CA0C1D"/>
    <w:rsid w:val="00CA36CB"/>
    <w:rsid w:val="00CA67EB"/>
    <w:rsid w:val="00CC3163"/>
    <w:rsid w:val="00CC6160"/>
    <w:rsid w:val="00CC7D5E"/>
    <w:rsid w:val="00CD643C"/>
    <w:rsid w:val="00CF1848"/>
    <w:rsid w:val="00D12044"/>
    <w:rsid w:val="00D30264"/>
    <w:rsid w:val="00D31942"/>
    <w:rsid w:val="00D33EFC"/>
    <w:rsid w:val="00D36EB5"/>
    <w:rsid w:val="00D375B5"/>
    <w:rsid w:val="00D40DBC"/>
    <w:rsid w:val="00D5004A"/>
    <w:rsid w:val="00D5413E"/>
    <w:rsid w:val="00D67904"/>
    <w:rsid w:val="00D76A18"/>
    <w:rsid w:val="00D80849"/>
    <w:rsid w:val="00D82E8F"/>
    <w:rsid w:val="00D85B4A"/>
    <w:rsid w:val="00DA0686"/>
    <w:rsid w:val="00DA2735"/>
    <w:rsid w:val="00DA5388"/>
    <w:rsid w:val="00DA6469"/>
    <w:rsid w:val="00DC029B"/>
    <w:rsid w:val="00DC3227"/>
    <w:rsid w:val="00DC6F4A"/>
    <w:rsid w:val="00DD118C"/>
    <w:rsid w:val="00DD19BD"/>
    <w:rsid w:val="00DE08CF"/>
    <w:rsid w:val="00DF07FA"/>
    <w:rsid w:val="00DF7358"/>
    <w:rsid w:val="00E119E4"/>
    <w:rsid w:val="00E20A56"/>
    <w:rsid w:val="00E572BA"/>
    <w:rsid w:val="00E66235"/>
    <w:rsid w:val="00E668D7"/>
    <w:rsid w:val="00E83C24"/>
    <w:rsid w:val="00E9318D"/>
    <w:rsid w:val="00EB5A9F"/>
    <w:rsid w:val="00EC1F46"/>
    <w:rsid w:val="00ED28A4"/>
    <w:rsid w:val="00EF3B41"/>
    <w:rsid w:val="00EF400E"/>
    <w:rsid w:val="00F01AA9"/>
    <w:rsid w:val="00F01CC9"/>
    <w:rsid w:val="00F02592"/>
    <w:rsid w:val="00F53193"/>
    <w:rsid w:val="00F5357E"/>
    <w:rsid w:val="00F56E4E"/>
    <w:rsid w:val="00F6586C"/>
    <w:rsid w:val="00F85AC4"/>
    <w:rsid w:val="00F94774"/>
    <w:rsid w:val="00FA0E9A"/>
    <w:rsid w:val="00FA663B"/>
    <w:rsid w:val="00FB523A"/>
    <w:rsid w:val="00FC25F8"/>
    <w:rsid w:val="00FC53DB"/>
    <w:rsid w:val="00FE2131"/>
    <w:rsid w:val="00FE50FF"/>
    <w:rsid w:val="00FF3DFC"/>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44B5DE"/>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semiHidden/>
    <w:rsid w:val="00427D21"/>
    <w:rPr>
      <w:sz w:val="22"/>
      <w:u w:val="none"/>
      <w:vertAlign w:val="superscript"/>
    </w:rPr>
  </w:style>
  <w:style w:type="paragraph" w:styleId="FootnoteText">
    <w:name w:val="footnote text"/>
    <w:basedOn w:val="Normal"/>
    <w:link w:val="FootnoteTextChar"/>
    <w:semiHidden/>
    <w:rsid w:val="007E09DA"/>
    <w:pPr>
      <w:keepLines/>
      <w:spacing w:after="60"/>
      <w:ind w:firstLine="720"/>
    </w:pPr>
    <w:rPr>
      <w:sz w:val="18"/>
    </w:rPr>
  </w:style>
  <w:style w:type="character" w:customStyle="1" w:styleId="FootnoteTextChar">
    <w:name w:val="Footnote Text Char"/>
    <w:basedOn w:val="DefaultParagraphFont"/>
    <w:link w:val="FootnoteText"/>
    <w:semiHidden/>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styleId="Revision">
    <w:name w:val="Revision"/>
    <w:hidden/>
    <w:uiPriority w:val="99"/>
    <w:semiHidden/>
    <w:rsid w:val="00317074"/>
    <w:rPr>
      <w:rFonts w:ascii="Times New Roman" w:eastAsia="Times New Roman" w:hAnsi="Times New Roman" w:cs="Times New Roman"/>
      <w:sz w:val="22"/>
      <w:lang w:val="en-GB"/>
    </w:rPr>
  </w:style>
  <w:style w:type="paragraph" w:styleId="CommentSubject">
    <w:name w:val="annotation subject"/>
    <w:basedOn w:val="CommentText"/>
    <w:next w:val="CommentText"/>
    <w:link w:val="CommentSubjectChar"/>
    <w:uiPriority w:val="99"/>
    <w:semiHidden/>
    <w:unhideWhenUsed/>
    <w:rsid w:val="00361F77"/>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361F77"/>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Calibri"/>
    <w:charset w:val="00"/>
    <w:family w:val="swiss"/>
    <w:pitch w:val="variable"/>
    <w:sig w:usb0="80000287" w:usb1="00000000" w:usb2="00000000" w:usb3="00000000" w:csb0="0000000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40662"/>
    <w:rsid w:val="000938CD"/>
    <w:rsid w:val="000D3A13"/>
    <w:rsid w:val="0016789F"/>
    <w:rsid w:val="00194603"/>
    <w:rsid w:val="001B2C93"/>
    <w:rsid w:val="001F71B9"/>
    <w:rsid w:val="004335CA"/>
    <w:rsid w:val="0046422C"/>
    <w:rsid w:val="004760CF"/>
    <w:rsid w:val="00484D4B"/>
    <w:rsid w:val="004E092F"/>
    <w:rsid w:val="00500A2B"/>
    <w:rsid w:val="00535D10"/>
    <w:rsid w:val="00551639"/>
    <w:rsid w:val="0058288D"/>
    <w:rsid w:val="005A1B38"/>
    <w:rsid w:val="00665C6B"/>
    <w:rsid w:val="006801B3"/>
    <w:rsid w:val="00692E4D"/>
    <w:rsid w:val="006D3795"/>
    <w:rsid w:val="00790B9A"/>
    <w:rsid w:val="007E330F"/>
    <w:rsid w:val="00810A55"/>
    <w:rsid w:val="00855AB8"/>
    <w:rsid w:val="008C6619"/>
    <w:rsid w:val="008D420E"/>
    <w:rsid w:val="00961E06"/>
    <w:rsid w:val="0098642F"/>
    <w:rsid w:val="009A6DDC"/>
    <w:rsid w:val="009E06D8"/>
    <w:rsid w:val="009F361F"/>
    <w:rsid w:val="00A25104"/>
    <w:rsid w:val="00AA0DF1"/>
    <w:rsid w:val="00AC24FA"/>
    <w:rsid w:val="00B27D2C"/>
    <w:rsid w:val="00BC4703"/>
    <w:rsid w:val="00C8104B"/>
    <w:rsid w:val="00CA44FB"/>
    <w:rsid w:val="00CC22AC"/>
    <w:rsid w:val="00D31D12"/>
    <w:rsid w:val="00EE5CE1"/>
    <w:rsid w:val="00EF0048"/>
    <w:rsid w:val="00F05965"/>
    <w:rsid w:val="00F23B77"/>
    <w:rsid w:val="00FE76A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5C6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EA89652-2315-4A5F-8F29-CDAB1790A3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4.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5.xml><?xml version="1.0" encoding="utf-8"?>
<ds:datastoreItem xmlns:ds="http://schemas.openxmlformats.org/officeDocument/2006/customXml" ds:itemID="{892A0005-6FD8-455B-8E42-C9C8F0DF2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2108</Words>
  <Characters>12019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CP-10/2.	Assessment and review of the effectiveness of the Protocol (Article 35) and final evaluation of the Strategic Plan for the Cartagena Protocol on Biosafety for the period 2011-2020</vt:lpstr>
    </vt:vector>
  </TitlesOfParts>
  <Company>SCBD</Company>
  <LinksUpToDate>false</LinksUpToDate>
  <CharactersWithSpaces>14099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CP-10/7.	Assessment and review of the effectiveness of the Protocol (Article 35) and final evaluation of the Strategic Plan for the Cartagena Protocol on Biosafety for the period 2011-2020</dc:title>
  <dc:subject>CBD/CP/MOP/DEC/10/7</dc:subject>
  <dc:creator>SCBD</dc:creator>
  <cp:keywords>Decision adopted by the Parties to the Cartagena Protocol on Biosafety</cp:keywords>
  <cp:lastModifiedBy>Veronique Lefebvre</cp:lastModifiedBy>
  <cp:revision>5</cp:revision>
  <cp:lastPrinted>2023-02-08T23:07:00Z</cp:lastPrinted>
  <dcterms:created xsi:type="dcterms:W3CDTF">2023-02-22T19:46:00Z</dcterms:created>
  <dcterms:modified xsi:type="dcterms:W3CDTF">2023-02-22T19:48:00Z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