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8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292"/>
        <w:gridCol w:w="5220"/>
      </w:tblGrid>
      <w:tr w:rsidR="00C9161D" w:rsidRPr="009A635C" w14:paraId="07F6750D" w14:textId="77777777" w:rsidTr="00DC6F4A">
        <w:trPr>
          <w:trHeight w:val="851"/>
        </w:trPr>
        <w:tc>
          <w:tcPr>
            <w:tcW w:w="976" w:type="dxa"/>
            <w:tcBorders>
              <w:bottom w:val="single" w:sz="12" w:space="0" w:color="auto"/>
            </w:tcBorders>
          </w:tcPr>
          <w:p w14:paraId="1DEFF495" w14:textId="77777777" w:rsidR="00C9161D" w:rsidRPr="009A635C" w:rsidRDefault="00C9161D" w:rsidP="00321985">
            <w:r w:rsidRPr="009A635C">
              <w:rPr>
                <w:noProof/>
                <w:lang w:val="fr-FR" w:eastAsia="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292" w:type="dxa"/>
            <w:tcBorders>
              <w:bottom w:val="single" w:sz="12" w:space="0" w:color="auto"/>
            </w:tcBorders>
            <w:shd w:val="clear" w:color="auto" w:fill="auto"/>
            <w:tcFitText/>
          </w:tcPr>
          <w:p w14:paraId="1986B63F" w14:textId="4D5648B9" w:rsidR="00FA663B" w:rsidRPr="009A635C" w:rsidRDefault="00D0177D" w:rsidP="00321985">
            <w:r w:rsidRPr="00D0177D">
              <w:rPr>
                <w:noProof/>
                <w:lang w:val="fr-FR" w:eastAsia="fr-FR"/>
              </w:rPr>
              <w:drawing>
                <wp:inline distT="0" distB="0" distL="0" distR="0" wp14:anchorId="0230C4DE" wp14:editId="23FD1C17">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5220" w:type="dxa"/>
            <w:tcBorders>
              <w:bottom w:val="single" w:sz="12" w:space="0" w:color="auto"/>
            </w:tcBorders>
          </w:tcPr>
          <w:p w14:paraId="600A589D" w14:textId="77777777" w:rsidR="00C9161D" w:rsidRPr="009A635C" w:rsidRDefault="00C9161D" w:rsidP="00C9161D">
            <w:pPr>
              <w:jc w:val="right"/>
              <w:rPr>
                <w:rFonts w:ascii="Arial" w:hAnsi="Arial" w:cs="Arial"/>
                <w:b/>
                <w:sz w:val="32"/>
                <w:szCs w:val="32"/>
              </w:rPr>
            </w:pPr>
            <w:r w:rsidRPr="009A635C">
              <w:rPr>
                <w:rFonts w:ascii="Arial" w:hAnsi="Arial" w:cs="Arial"/>
                <w:b/>
                <w:sz w:val="32"/>
                <w:szCs w:val="32"/>
              </w:rPr>
              <w:t>CBD</w:t>
            </w:r>
          </w:p>
        </w:tc>
      </w:tr>
      <w:tr w:rsidR="00C9161D" w14:paraId="6F751905" w14:textId="77777777" w:rsidTr="00DC6F4A">
        <w:tc>
          <w:tcPr>
            <w:tcW w:w="5268" w:type="dxa"/>
            <w:gridSpan w:val="2"/>
            <w:tcBorders>
              <w:top w:val="single" w:sz="12" w:space="0" w:color="auto"/>
              <w:bottom w:val="single" w:sz="36" w:space="0" w:color="auto"/>
            </w:tcBorders>
            <w:vAlign w:val="center"/>
          </w:tcPr>
          <w:p w14:paraId="14F52A6C" w14:textId="193112E2" w:rsidR="00C9161D" w:rsidRPr="009A635C" w:rsidRDefault="00D0177D" w:rsidP="00C9161D">
            <w:r w:rsidRPr="006E78A2">
              <w:rPr>
                <w:bCs/>
                <w:noProof/>
                <w:szCs w:val="22"/>
                <w:lang w:val="fr-FR" w:eastAsia="fr-FR"/>
              </w:rPr>
              <w:drawing>
                <wp:inline distT="0" distB="0" distL="0" distR="0" wp14:anchorId="0AAE3402" wp14:editId="580DE447">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5220" w:type="dxa"/>
            <w:tcBorders>
              <w:top w:val="single" w:sz="12" w:space="0" w:color="auto"/>
              <w:bottom w:val="single" w:sz="36" w:space="0" w:color="auto"/>
            </w:tcBorders>
          </w:tcPr>
          <w:p w14:paraId="1C693BA4" w14:textId="77777777" w:rsidR="00C9161D" w:rsidRPr="009A635C" w:rsidRDefault="00C9161D" w:rsidP="00DC6F4A">
            <w:pPr>
              <w:ind w:left="1965"/>
              <w:rPr>
                <w:szCs w:val="22"/>
              </w:rPr>
            </w:pPr>
            <w:r w:rsidRPr="009A635C">
              <w:rPr>
                <w:szCs w:val="22"/>
              </w:rPr>
              <w:t>Distr.</w:t>
            </w:r>
          </w:p>
          <w:p w14:paraId="0C21C438" w14:textId="6870ECB6" w:rsidR="00C9161D" w:rsidRPr="009A635C" w:rsidRDefault="00D0177D" w:rsidP="00DC6F4A">
            <w:pPr>
              <w:ind w:left="1965"/>
              <w:rPr>
                <w:szCs w:val="22"/>
              </w:rPr>
            </w:pPr>
            <w:r>
              <w:rPr>
                <w:caps/>
                <w:szCs w:val="22"/>
              </w:rPr>
              <w:t>GÉnÉ</w:t>
            </w:r>
            <w:r w:rsidR="00E572BA" w:rsidRPr="009A635C">
              <w:rPr>
                <w:caps/>
                <w:szCs w:val="22"/>
              </w:rPr>
              <w:t>ral</w:t>
            </w:r>
            <w:r>
              <w:rPr>
                <w:caps/>
                <w:szCs w:val="22"/>
              </w:rPr>
              <w:t>e</w:t>
            </w:r>
          </w:p>
          <w:p w14:paraId="06715052" w14:textId="77777777" w:rsidR="00C9161D" w:rsidRPr="009A635C" w:rsidRDefault="00C9161D" w:rsidP="00DC6F4A">
            <w:pPr>
              <w:ind w:left="1965"/>
              <w:rPr>
                <w:szCs w:val="22"/>
              </w:rPr>
            </w:pPr>
          </w:p>
          <w:p w14:paraId="44230134" w14:textId="36C85FF8" w:rsidR="00C9161D" w:rsidRPr="009A635C" w:rsidRDefault="00342207" w:rsidP="00DC6F4A">
            <w:pPr>
              <w:ind w:left="196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8699B" w:rsidRPr="009A635C">
                  <w:rPr>
                    <w:lang w:val="en-US"/>
                  </w:rPr>
                  <w:t>CBD/CP/MOP/DEC/10/</w:t>
                </w:r>
                <w:r w:rsidR="00892829">
                  <w:rPr>
                    <w:lang w:val="en-US"/>
                  </w:rPr>
                  <w:t>7</w:t>
                </w:r>
              </w:sdtContent>
            </w:sdt>
          </w:p>
          <w:p w14:paraId="0DF1F033" w14:textId="31DA5AC4" w:rsidR="00C9161D" w:rsidRPr="009A635C" w:rsidRDefault="0008699B" w:rsidP="00DC6F4A">
            <w:pPr>
              <w:ind w:left="1965"/>
              <w:rPr>
                <w:szCs w:val="22"/>
              </w:rPr>
            </w:pPr>
            <w:r w:rsidRPr="009A635C">
              <w:rPr>
                <w:szCs w:val="22"/>
                <w:lang w:val="en-US"/>
              </w:rPr>
              <w:t>1</w:t>
            </w:r>
            <w:r w:rsidR="00D0177D">
              <w:rPr>
                <w:szCs w:val="22"/>
                <w:lang w:val="en-US"/>
              </w:rPr>
              <w:t>9 décemb</w:t>
            </w:r>
            <w:r w:rsidR="008B1291" w:rsidRPr="009A635C">
              <w:rPr>
                <w:szCs w:val="22"/>
                <w:lang w:val="en-US"/>
              </w:rPr>
              <w:t>r</w:t>
            </w:r>
            <w:r w:rsidR="00D0177D">
              <w:rPr>
                <w:szCs w:val="22"/>
                <w:lang w:val="en-US"/>
              </w:rPr>
              <w:t>e</w:t>
            </w:r>
            <w:r w:rsidR="00F6586C" w:rsidRPr="009A635C">
              <w:rPr>
                <w:szCs w:val="22"/>
                <w:lang w:val="en-US"/>
              </w:rPr>
              <w:t xml:space="preserve"> 20</w:t>
            </w:r>
            <w:r w:rsidR="00FC25F8" w:rsidRPr="009A635C">
              <w:rPr>
                <w:szCs w:val="22"/>
                <w:lang w:val="en-US"/>
              </w:rPr>
              <w:t>2</w:t>
            </w:r>
            <w:r w:rsidR="00B26ACD" w:rsidRPr="009A635C">
              <w:rPr>
                <w:szCs w:val="22"/>
                <w:lang w:val="en-US"/>
              </w:rPr>
              <w:t>2</w:t>
            </w:r>
          </w:p>
          <w:p w14:paraId="159892DF" w14:textId="77777777" w:rsidR="00C9161D" w:rsidRPr="009A635C" w:rsidRDefault="00C9161D" w:rsidP="00DC6F4A">
            <w:pPr>
              <w:ind w:left="1965"/>
              <w:rPr>
                <w:szCs w:val="22"/>
              </w:rPr>
            </w:pPr>
          </w:p>
          <w:p w14:paraId="27FB506F" w14:textId="6A4D8648" w:rsidR="00D0177D" w:rsidRDefault="00D0177D" w:rsidP="00DC6F4A">
            <w:pPr>
              <w:ind w:left="1965"/>
              <w:rPr>
                <w:szCs w:val="22"/>
              </w:rPr>
            </w:pPr>
            <w:r>
              <w:rPr>
                <w:szCs w:val="22"/>
              </w:rPr>
              <w:t>FRANÇAIS</w:t>
            </w:r>
          </w:p>
          <w:p w14:paraId="19472D49" w14:textId="7B5FD806" w:rsidR="00C9161D" w:rsidRPr="00C9161D" w:rsidRDefault="006B2290" w:rsidP="00DC6F4A">
            <w:pPr>
              <w:ind w:left="1965"/>
              <w:rPr>
                <w:szCs w:val="22"/>
              </w:rPr>
            </w:pPr>
            <w:r w:rsidRPr="009A635C">
              <w:rPr>
                <w:szCs w:val="22"/>
              </w:rPr>
              <w:t>ORIGINAL</w:t>
            </w:r>
            <w:r w:rsidR="00D0177D">
              <w:rPr>
                <w:szCs w:val="22"/>
              </w:rPr>
              <w:t xml:space="preserve"> </w:t>
            </w:r>
            <w:r w:rsidRPr="009A635C">
              <w:rPr>
                <w:szCs w:val="22"/>
              </w:rPr>
              <w:t xml:space="preserve">: </w:t>
            </w:r>
            <w:r w:rsidR="00D0177D">
              <w:rPr>
                <w:szCs w:val="22"/>
              </w:rPr>
              <w:t>A</w:t>
            </w:r>
            <w:r w:rsidR="00C9161D" w:rsidRPr="009A635C">
              <w:rPr>
                <w:szCs w:val="22"/>
              </w:rPr>
              <w:t>NGL</w:t>
            </w:r>
            <w:r w:rsidR="00D0177D">
              <w:rPr>
                <w:szCs w:val="22"/>
              </w:rPr>
              <w:t>AIS</w:t>
            </w:r>
          </w:p>
          <w:p w14:paraId="5AA10CCE" w14:textId="77777777" w:rsidR="00C9161D" w:rsidRDefault="00C9161D"/>
        </w:tc>
      </w:tr>
    </w:tbl>
    <w:p w14:paraId="660065BF" w14:textId="77777777" w:rsidR="00D0177D" w:rsidRPr="00147180" w:rsidRDefault="00D0177D" w:rsidP="00D0177D">
      <w:pPr>
        <w:pStyle w:val="Cornernotation"/>
        <w:kinsoku w:val="0"/>
        <w:overflowPunct w:val="0"/>
        <w:autoSpaceDE w:val="0"/>
        <w:autoSpaceDN w:val="0"/>
        <w:spacing w:before="60"/>
        <w:ind w:left="142" w:right="4115" w:hanging="142"/>
        <w:rPr>
          <w:snapToGrid w:val="0"/>
          <w:kern w:val="22"/>
          <w:lang w:val="fr-CA"/>
        </w:rPr>
      </w:pPr>
      <w:r>
        <w:rPr>
          <w:snapToGrid w:val="0"/>
          <w:kern w:val="22"/>
          <w:lang w:val="fr-CA"/>
        </w:rPr>
        <w:t>CONFÉRENCE DES PARTIES SIÉGEANT EN TANT QUE RÉUNION DES PARTIES AU PROTOCOLE DE CARTAGENA SUR LA PRÉVENTION DES RISQUES BIOTECHNOLOGIQUES</w:t>
      </w:r>
    </w:p>
    <w:p w14:paraId="384C3C36" w14:textId="77777777" w:rsidR="00D0177D" w:rsidRPr="00147180" w:rsidRDefault="00D0177D" w:rsidP="00D0177D">
      <w:pPr>
        <w:pStyle w:val="Cornernotation"/>
        <w:ind w:right="4115"/>
        <w:rPr>
          <w:lang w:val="fr-CA"/>
        </w:rPr>
      </w:pPr>
      <w:r>
        <w:rPr>
          <w:lang w:val="fr-CA"/>
        </w:rPr>
        <w:t>Dixième réunion, deuxième partie</w:t>
      </w:r>
    </w:p>
    <w:p w14:paraId="5FAEA5B4" w14:textId="62FB0C82" w:rsidR="00D0177D" w:rsidRPr="00D0177D" w:rsidRDefault="00D0177D" w:rsidP="00D0177D">
      <w:pPr>
        <w:pStyle w:val="Cornernotation"/>
        <w:kinsoku w:val="0"/>
        <w:overflowPunct w:val="0"/>
        <w:autoSpaceDE w:val="0"/>
        <w:autoSpaceDN w:val="0"/>
        <w:ind w:left="227" w:right="4075" w:hanging="227"/>
        <w:rPr>
          <w:snapToGrid w:val="0"/>
          <w:kern w:val="22"/>
          <w:szCs w:val="22"/>
          <w:lang w:val="en-AU" w:eastAsia="nb-NO"/>
        </w:rPr>
      </w:pPr>
      <w:r w:rsidRPr="00D0177D">
        <w:rPr>
          <w:snapToGrid w:val="0"/>
          <w:kern w:val="22"/>
          <w:szCs w:val="22"/>
          <w:lang w:val="en-AU" w:eastAsia="nb-NO"/>
        </w:rPr>
        <w:t>Montréal, Canada</w:t>
      </w:r>
      <w:r>
        <w:rPr>
          <w:snapToGrid w:val="0"/>
          <w:kern w:val="22"/>
          <w:szCs w:val="22"/>
          <w:lang w:val="en-AU" w:eastAsia="nb-NO"/>
        </w:rPr>
        <w:t>,</w:t>
      </w:r>
      <w:r w:rsidRPr="00D0177D">
        <w:rPr>
          <w:snapToGrid w:val="0"/>
          <w:kern w:val="22"/>
          <w:szCs w:val="22"/>
          <w:lang w:val="en-AU" w:eastAsia="nb-NO"/>
        </w:rPr>
        <w:t xml:space="preserve"> 7-19 décembre 2022</w:t>
      </w:r>
    </w:p>
    <w:p w14:paraId="4A17CC2C" w14:textId="77777777" w:rsidR="00D0177D" w:rsidRPr="00D0177D" w:rsidRDefault="00D0177D" w:rsidP="00D0177D">
      <w:pPr>
        <w:rPr>
          <w:lang w:val="en-AU"/>
        </w:rPr>
      </w:pPr>
      <w:r w:rsidRPr="00D0177D">
        <w:rPr>
          <w:lang w:val="en-AU"/>
        </w:rPr>
        <w:t>Point 9 de l’ordre du jour</w:t>
      </w:r>
      <w:r w:rsidRPr="00D0177D">
        <w:rPr>
          <w:snapToGrid w:val="0"/>
          <w:kern w:val="22"/>
          <w:szCs w:val="22"/>
          <w:lang w:val="en-AU"/>
        </w:rPr>
        <w:t xml:space="preserve"> </w:t>
      </w:r>
    </w:p>
    <w:p w14:paraId="5C84FA31" w14:textId="1933FCF5" w:rsidR="00DA0686" w:rsidRPr="00D0177D" w:rsidRDefault="00D0177D" w:rsidP="00D0177D">
      <w:pPr>
        <w:spacing w:before="240" w:after="240"/>
        <w:ind w:right="-288"/>
        <w:jc w:val="center"/>
        <w:rPr>
          <w:rFonts w:ascii="Times New Roman Bold" w:hAnsi="Times New Roman Bold"/>
          <w:b/>
          <w:caps/>
          <w:lang w:val="fr-FR"/>
        </w:rPr>
      </w:pPr>
      <w:r w:rsidRPr="00C976D0">
        <w:rPr>
          <w:rFonts w:ascii="Times New Roman Bold" w:hAnsi="Times New Roman Bold"/>
          <w:b/>
          <w:caps/>
          <w:lang w:val="fr-FR"/>
        </w:rPr>
        <w:t>DÉcision adoptÉ</w:t>
      </w:r>
      <w:r>
        <w:rPr>
          <w:rFonts w:ascii="Times New Roman Bold" w:hAnsi="Times New Roman Bold"/>
          <w:b/>
          <w:caps/>
          <w:lang w:val="fr-FR"/>
        </w:rPr>
        <w:t>e PAR LES Parties AU PROTOCOLE DE Cartagena SUR LA PRÉVENTION des risques biotechnologiques</w:t>
      </w:r>
    </w:p>
    <w:p w14:paraId="57F6B7A1" w14:textId="23BF08AF" w:rsidR="00C9161D" w:rsidRPr="00D0177D" w:rsidRDefault="00C25CE8" w:rsidP="00DC6F4A">
      <w:pPr>
        <w:tabs>
          <w:tab w:val="left" w:pos="9000"/>
        </w:tabs>
        <w:spacing w:before="120" w:after="240"/>
        <w:ind w:left="1713" w:right="288" w:hanging="1166"/>
        <w:jc w:val="left"/>
        <w:outlineLvl w:val="1"/>
        <w:rPr>
          <w:b/>
          <w:caps/>
          <w:lang w:val="fr-FR"/>
        </w:rPr>
      </w:pPr>
      <w:sdt>
        <w:sdtPr>
          <w:rPr>
            <w:b/>
            <w:snapToGrid w:val="0"/>
            <w:kern w:val="22"/>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D0177D">
            <w:rPr>
              <w:b/>
              <w:snapToGrid w:val="0"/>
              <w:kern w:val="22"/>
              <w:szCs w:val="22"/>
              <w:lang w:val="fr-FR"/>
            </w:rPr>
            <w:t>CP-10/7.</w:t>
          </w:r>
          <w:r w:rsidRPr="00D0177D">
            <w:rPr>
              <w:b/>
              <w:snapToGrid w:val="0"/>
              <w:kern w:val="22"/>
              <w:szCs w:val="22"/>
              <w:lang w:val="fr-FR"/>
            </w:rPr>
            <w:tab/>
            <w:t>Évaluation et examen de l’efficacité du Protocole (article 35) et évaluation final</w:t>
          </w:r>
          <w:r>
            <w:rPr>
              <w:b/>
              <w:snapToGrid w:val="0"/>
              <w:kern w:val="22"/>
              <w:szCs w:val="22"/>
              <w:lang w:val="fr-FR"/>
            </w:rPr>
            <w:t>e du Plan stratégique du</w:t>
          </w:r>
          <w:r w:rsidRPr="00D0177D">
            <w:rPr>
              <w:b/>
              <w:snapToGrid w:val="0"/>
              <w:kern w:val="22"/>
              <w:szCs w:val="22"/>
              <w:lang w:val="fr-FR"/>
            </w:rPr>
            <w:t xml:space="preserve"> Protocole de Car</w:t>
          </w:r>
          <w:r w:rsidR="00D0177D">
            <w:rPr>
              <w:b/>
              <w:snapToGrid w:val="0"/>
              <w:kern w:val="22"/>
              <w:szCs w:val="22"/>
              <w:lang w:val="fr-FR"/>
            </w:rPr>
            <w:t>tagena pour la période 2011-</w:t>
          </w:r>
          <w:r w:rsidRPr="00D0177D">
            <w:rPr>
              <w:b/>
              <w:snapToGrid w:val="0"/>
              <w:kern w:val="22"/>
              <w:szCs w:val="22"/>
              <w:lang w:val="fr-FR"/>
            </w:rPr>
            <w:t>2020</w:t>
          </w:r>
        </w:sdtContent>
      </w:sdt>
      <w:r w:rsidR="00105372" w:rsidRPr="00D0177D">
        <w:rPr>
          <w:b/>
          <w:caps/>
          <w:lang w:val="fr-FR"/>
        </w:rPr>
        <w:t xml:space="preserve"> </w:t>
      </w:r>
    </w:p>
    <w:p w14:paraId="072F4BDA" w14:textId="2ED885EB" w:rsidR="00D0177D" w:rsidRDefault="00D0177D" w:rsidP="00575539">
      <w:pPr>
        <w:suppressLineNumbers/>
        <w:suppressAutoHyphens/>
        <w:spacing w:before="120" w:after="120"/>
        <w:ind w:firstLine="720"/>
        <w:rPr>
          <w:i/>
          <w:iCs/>
          <w:kern w:val="22"/>
          <w:lang w:val="fr-CA"/>
        </w:rPr>
      </w:pPr>
      <w:r>
        <w:rPr>
          <w:i/>
          <w:iCs/>
          <w:kern w:val="22"/>
          <w:lang w:val="fr-CA"/>
        </w:rPr>
        <w:t>La Conférence des Parties siégeant en tant que réunion des Parties au Protocole de Cartagena sur la prévention des risques biotechnologiques,</w:t>
      </w:r>
    </w:p>
    <w:p w14:paraId="3CDF8115" w14:textId="43965C5E" w:rsidR="00D0177D" w:rsidRDefault="00D0177D" w:rsidP="00575539">
      <w:pPr>
        <w:suppressLineNumbers/>
        <w:suppressAutoHyphens/>
        <w:spacing w:before="120" w:after="120"/>
        <w:ind w:firstLine="720"/>
        <w:rPr>
          <w:i/>
          <w:iCs/>
          <w:kern w:val="22"/>
          <w:lang w:val="fr-CA"/>
        </w:rPr>
      </w:pPr>
      <w:r>
        <w:rPr>
          <w:i/>
          <w:iCs/>
          <w:kern w:val="22"/>
          <w:lang w:val="fr-CA"/>
        </w:rPr>
        <w:t xml:space="preserve">Rappelant </w:t>
      </w:r>
      <w:r w:rsidRPr="00ED0AA7">
        <w:rPr>
          <w:kern w:val="22"/>
          <w:lang w:val="fr-CA"/>
        </w:rPr>
        <w:t>l’objectif du Protocole de Cartagena sur la prévention des risques</w:t>
      </w:r>
      <w:r w:rsidR="00575539">
        <w:rPr>
          <w:kern w:val="22"/>
          <w:lang w:val="fr-CA"/>
        </w:rPr>
        <w:t xml:space="preserve"> biotechnologiques, tel qu’énoncé dans</w:t>
      </w:r>
      <w:r w:rsidRPr="00ED0AA7">
        <w:rPr>
          <w:kern w:val="22"/>
          <w:lang w:val="fr-CA"/>
        </w:rPr>
        <w:t xml:space="preserve"> son article</w:t>
      </w:r>
      <w:r>
        <w:rPr>
          <w:kern w:val="22"/>
          <w:lang w:val="fr-CA"/>
        </w:rPr>
        <w:t> </w:t>
      </w:r>
      <w:r w:rsidRPr="00ED0AA7">
        <w:rPr>
          <w:kern w:val="22"/>
          <w:lang w:val="fr-CA"/>
        </w:rPr>
        <w:t>1</w:t>
      </w:r>
      <w:r w:rsidR="00575539" w:rsidRPr="00575539">
        <w:rPr>
          <w:iCs/>
          <w:kern w:val="22"/>
          <w:lang w:val="fr-CA"/>
        </w:rPr>
        <w:t>,</w:t>
      </w:r>
    </w:p>
    <w:p w14:paraId="6567E9CE" w14:textId="2DC5BDA4" w:rsidR="00D0177D" w:rsidRDefault="00C25CE8" w:rsidP="00575539">
      <w:pPr>
        <w:suppressLineNumbers/>
        <w:suppressAutoHyphens/>
        <w:spacing w:before="120" w:after="120"/>
        <w:ind w:firstLine="720"/>
        <w:rPr>
          <w:i/>
          <w:iCs/>
          <w:kern w:val="22"/>
          <w:lang w:val="fr-CA"/>
        </w:rPr>
      </w:pPr>
      <w:r>
        <w:rPr>
          <w:i/>
          <w:iCs/>
          <w:kern w:val="22"/>
          <w:lang w:val="fr-CA"/>
        </w:rPr>
        <w:t>Rappelant aussi</w:t>
      </w:r>
      <w:r w:rsidR="00D0177D">
        <w:rPr>
          <w:i/>
          <w:iCs/>
          <w:kern w:val="22"/>
          <w:lang w:val="fr-CA"/>
        </w:rPr>
        <w:t xml:space="preserve"> </w:t>
      </w:r>
      <w:r w:rsidR="00D0177D" w:rsidRPr="00CB19D1">
        <w:rPr>
          <w:kern w:val="22"/>
          <w:lang w:val="fr-CA"/>
        </w:rPr>
        <w:t>l’article</w:t>
      </w:r>
      <w:r w:rsidR="00D0177D">
        <w:rPr>
          <w:kern w:val="22"/>
          <w:lang w:val="fr-CA"/>
        </w:rPr>
        <w:t> </w:t>
      </w:r>
      <w:r w:rsidR="00D0177D" w:rsidRPr="00CB19D1">
        <w:rPr>
          <w:kern w:val="22"/>
          <w:lang w:val="fr-CA"/>
        </w:rPr>
        <w:t>22 du Protocole</w:t>
      </w:r>
      <w:r w:rsidR="00575539">
        <w:rPr>
          <w:kern w:val="22"/>
          <w:lang w:val="fr-CA"/>
        </w:rPr>
        <w:t>, relatif au</w:t>
      </w:r>
      <w:r w:rsidR="00D0177D" w:rsidRPr="00CB19D1">
        <w:rPr>
          <w:kern w:val="22"/>
          <w:lang w:val="fr-CA"/>
        </w:rPr>
        <w:t xml:space="preserve"> renforcement des capacités</w:t>
      </w:r>
      <w:r w:rsidR="00575539">
        <w:rPr>
          <w:kern w:val="22"/>
          <w:lang w:val="fr-CA"/>
        </w:rPr>
        <w:t>,</w:t>
      </w:r>
      <w:r w:rsidR="00D0177D" w:rsidRPr="00CB19D1">
        <w:rPr>
          <w:kern w:val="22"/>
          <w:lang w:val="fr-CA"/>
        </w:rPr>
        <w:t xml:space="preserve"> et l’article</w:t>
      </w:r>
      <w:r w:rsidR="00D0177D">
        <w:rPr>
          <w:kern w:val="22"/>
          <w:lang w:val="fr-CA"/>
        </w:rPr>
        <w:t> </w:t>
      </w:r>
      <w:r w:rsidR="00D0177D" w:rsidRPr="00CB19D1">
        <w:rPr>
          <w:kern w:val="22"/>
          <w:lang w:val="fr-CA"/>
        </w:rPr>
        <w:t>28 du Protocole</w:t>
      </w:r>
      <w:r>
        <w:rPr>
          <w:kern w:val="22"/>
          <w:lang w:val="fr-CA"/>
        </w:rPr>
        <w:t>, relatif au</w:t>
      </w:r>
      <w:r w:rsidR="00575539">
        <w:rPr>
          <w:kern w:val="22"/>
          <w:lang w:val="fr-CA"/>
        </w:rPr>
        <w:t xml:space="preserve"> mécanisme</w:t>
      </w:r>
      <w:r>
        <w:rPr>
          <w:kern w:val="22"/>
          <w:lang w:val="fr-CA"/>
        </w:rPr>
        <w:t xml:space="preserve"> de finance</w:t>
      </w:r>
      <w:bookmarkStart w:id="0" w:name="_GoBack"/>
      <w:bookmarkEnd w:id="0"/>
      <w:r>
        <w:rPr>
          <w:kern w:val="22"/>
          <w:lang w:val="fr-CA"/>
        </w:rPr>
        <w:t>ment et aux</w:t>
      </w:r>
      <w:r w:rsidR="00D0177D" w:rsidRPr="00CB19D1">
        <w:rPr>
          <w:kern w:val="22"/>
          <w:lang w:val="fr-CA"/>
        </w:rPr>
        <w:t xml:space="preserve"> ressources financières,</w:t>
      </w:r>
    </w:p>
    <w:p w14:paraId="5E81623E" w14:textId="0012305F"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lang w:val="fr-CA"/>
        </w:rPr>
        <w:t xml:space="preserve">Reconnaît </w:t>
      </w:r>
      <w:r>
        <w:rPr>
          <w:iCs/>
          <w:kern w:val="22"/>
          <w:lang w:val="fr-CA"/>
        </w:rPr>
        <w:t>l’utilité du Plan stratégique du Protocole de Cartagena sur la prévention des risques biotech</w:t>
      </w:r>
      <w:r w:rsidR="00C25CE8">
        <w:rPr>
          <w:iCs/>
          <w:kern w:val="22"/>
          <w:lang w:val="fr-CA"/>
        </w:rPr>
        <w:t>nologiques pour la période 2011</w:t>
      </w:r>
      <w:r w:rsidR="00C25CE8" w:rsidRPr="0029606E">
        <w:rPr>
          <w:snapToGrid w:val="0"/>
          <w:kern w:val="22"/>
          <w:szCs w:val="22"/>
          <w:lang w:val="fr-FR"/>
        </w:rPr>
        <w:t>–</w:t>
      </w:r>
      <w:r>
        <w:rPr>
          <w:iCs/>
          <w:kern w:val="22"/>
          <w:lang w:val="fr-CA"/>
        </w:rPr>
        <w:t>2020</w:t>
      </w:r>
      <w:r w:rsidRPr="0088457B">
        <w:rPr>
          <w:rStyle w:val="FootnoteReference"/>
          <w:snapToGrid w:val="0"/>
          <w:kern w:val="22"/>
          <w:szCs w:val="22"/>
        </w:rPr>
        <w:footnoteReference w:id="1"/>
      </w:r>
      <w:r w:rsidR="00575539">
        <w:rPr>
          <w:iCs/>
          <w:kern w:val="22"/>
          <w:vertAlign w:val="superscript"/>
          <w:lang w:val="fr-CA"/>
        </w:rPr>
        <w:t xml:space="preserve"> </w:t>
      </w:r>
      <w:r w:rsidR="00575539">
        <w:rPr>
          <w:iCs/>
          <w:kern w:val="22"/>
          <w:lang w:val="fr-CA"/>
        </w:rPr>
        <w:t>pour soutenir</w:t>
      </w:r>
      <w:r>
        <w:rPr>
          <w:iCs/>
          <w:kern w:val="22"/>
          <w:lang w:val="fr-CA"/>
        </w:rPr>
        <w:t xml:space="preserve"> l’application du Protocole au niveau national</w:t>
      </w:r>
      <w:r>
        <w:rPr>
          <w:kern w:val="22"/>
          <w:lang w:val="fr-CA"/>
        </w:rPr>
        <w:t>;</w:t>
      </w:r>
    </w:p>
    <w:p w14:paraId="24A2DFA2" w14:textId="75D3F531"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lang w:val="fr-CA"/>
        </w:rPr>
        <w:t xml:space="preserve">Reconnaît également </w:t>
      </w:r>
      <w:r w:rsidR="00EA64B8">
        <w:rPr>
          <w:iCs/>
          <w:kern w:val="22"/>
          <w:lang w:val="fr-CA"/>
        </w:rPr>
        <w:t>que le C</w:t>
      </w:r>
      <w:r>
        <w:rPr>
          <w:iCs/>
          <w:kern w:val="22"/>
          <w:lang w:val="fr-CA"/>
        </w:rPr>
        <w:t>adre mondial de l</w:t>
      </w:r>
      <w:r w:rsidR="00EA64B8">
        <w:rPr>
          <w:iCs/>
          <w:kern w:val="22"/>
          <w:lang w:val="fr-CA"/>
        </w:rPr>
        <w:t>a biodiversité de Kunming-Montréal</w:t>
      </w:r>
      <w:r>
        <w:rPr>
          <w:iCs/>
          <w:kern w:val="22"/>
          <w:lang w:val="fr-CA"/>
        </w:rPr>
        <w:t xml:space="preserve"> doit contribuer à l’application et au respect des dispositions du Protocole de Cartagena sur la prévention des risques biotechnologiques, et </w:t>
      </w:r>
      <w:r w:rsidRPr="004F3E05">
        <w:rPr>
          <w:iCs/>
          <w:kern w:val="22"/>
          <w:lang w:val="fr-CA"/>
        </w:rPr>
        <w:t>prend acte</w:t>
      </w:r>
      <w:r>
        <w:rPr>
          <w:i/>
          <w:iCs/>
          <w:kern w:val="22"/>
          <w:lang w:val="fr-CA"/>
        </w:rPr>
        <w:t xml:space="preserve"> </w:t>
      </w:r>
      <w:r>
        <w:rPr>
          <w:iCs/>
          <w:kern w:val="22"/>
          <w:lang w:val="fr-CA"/>
        </w:rPr>
        <w:t>de l’intérêt pr</w:t>
      </w:r>
      <w:r w:rsidR="00EA64B8">
        <w:rPr>
          <w:iCs/>
          <w:kern w:val="22"/>
          <w:lang w:val="fr-CA"/>
        </w:rPr>
        <w:t>ésenté par le Protocole, le P</w:t>
      </w:r>
      <w:r>
        <w:rPr>
          <w:iCs/>
          <w:kern w:val="22"/>
          <w:lang w:val="fr-CA"/>
        </w:rPr>
        <w:t>lan de mise en œuvre</w:t>
      </w:r>
      <w:r w:rsidR="00EA64B8">
        <w:rPr>
          <w:iCs/>
          <w:kern w:val="22"/>
          <w:lang w:val="fr-CA"/>
        </w:rPr>
        <w:t xml:space="preserve"> du </w:t>
      </w:r>
      <w:r w:rsidR="00EA64B8">
        <w:rPr>
          <w:iCs/>
          <w:kern w:val="22"/>
          <w:lang w:val="fr-CA"/>
        </w:rPr>
        <w:t>Protocole de Cartagena sur la prévention des risques biotechnologiques</w:t>
      </w:r>
      <w:r w:rsidR="00EA64B8">
        <w:rPr>
          <w:rStyle w:val="FootnoteReference"/>
          <w:iCs/>
          <w:kern w:val="22"/>
          <w:lang w:val="fr-CA"/>
        </w:rPr>
        <w:footnoteReference w:id="2"/>
      </w:r>
      <w:r w:rsidR="00EA64B8">
        <w:rPr>
          <w:iCs/>
          <w:kern w:val="22"/>
          <w:lang w:val="fr-CA"/>
        </w:rPr>
        <w:t xml:space="preserve"> et le P</w:t>
      </w:r>
      <w:r>
        <w:rPr>
          <w:iCs/>
          <w:kern w:val="22"/>
          <w:lang w:val="fr-CA"/>
        </w:rPr>
        <w:t xml:space="preserve">lan d’action pour le renforcement des capacités </w:t>
      </w:r>
      <w:r w:rsidR="00EA64B8">
        <w:rPr>
          <w:iCs/>
          <w:kern w:val="22"/>
          <w:lang w:val="fr-CA"/>
        </w:rPr>
        <w:t xml:space="preserve">du </w:t>
      </w:r>
      <w:r w:rsidR="00EA64B8">
        <w:rPr>
          <w:iCs/>
          <w:kern w:val="22"/>
          <w:lang w:val="fr-CA"/>
        </w:rPr>
        <w:t>Protocole de Cartagena sur la prévention des risques biotechnologiques</w:t>
      </w:r>
      <w:r w:rsidR="00EA64B8">
        <w:rPr>
          <w:rStyle w:val="FootnoteReference"/>
          <w:iCs/>
          <w:kern w:val="22"/>
          <w:lang w:val="fr-CA"/>
        </w:rPr>
        <w:footnoteReference w:id="3"/>
      </w:r>
      <w:r w:rsidR="00EA64B8">
        <w:rPr>
          <w:iCs/>
          <w:kern w:val="22"/>
          <w:lang w:val="fr-CA"/>
        </w:rPr>
        <w:t xml:space="preserve"> </w:t>
      </w:r>
      <w:r>
        <w:rPr>
          <w:iCs/>
          <w:kern w:val="22"/>
          <w:lang w:val="fr-CA"/>
        </w:rPr>
        <w:t>pour atteindre les trois objectifs de la Convention sur la diversité biologique</w:t>
      </w:r>
      <w:r>
        <w:rPr>
          <w:kern w:val="22"/>
          <w:lang w:val="fr-CA"/>
        </w:rPr>
        <w:t>;</w:t>
      </w:r>
    </w:p>
    <w:p w14:paraId="2D15B572" w14:textId="4C3E060A" w:rsidR="00D0177D" w:rsidRPr="00EA64B8" w:rsidRDefault="00D0177D" w:rsidP="00EA64B8">
      <w:pPr>
        <w:numPr>
          <w:ilvl w:val="2"/>
          <w:numId w:val="19"/>
        </w:numPr>
        <w:suppressLineNumbers/>
        <w:tabs>
          <w:tab w:val="clear" w:pos="1440"/>
        </w:tabs>
        <w:suppressAutoHyphens/>
        <w:spacing w:before="120" w:after="120"/>
        <w:ind w:left="0" w:firstLine="720"/>
        <w:rPr>
          <w:kern w:val="22"/>
          <w:lang w:val="fr-CA"/>
        </w:rPr>
      </w:pPr>
      <w:r>
        <w:rPr>
          <w:i/>
          <w:iCs/>
          <w:kern w:val="22"/>
          <w:lang w:val="fr-CA"/>
        </w:rPr>
        <w:t xml:space="preserve">Se félicite </w:t>
      </w:r>
      <w:r>
        <w:rPr>
          <w:iCs/>
          <w:kern w:val="22"/>
          <w:lang w:val="fr-CA"/>
        </w:rPr>
        <w:t xml:space="preserve">de la contribution du Groupe de liaison sur le Protocole de Cartagena </w:t>
      </w:r>
      <w:r w:rsidR="00EA64B8">
        <w:rPr>
          <w:iCs/>
          <w:kern w:val="22"/>
          <w:lang w:val="fr-CA"/>
        </w:rPr>
        <w:t>sur la prévention des risques biotechnologiques</w:t>
      </w:r>
      <w:r w:rsidR="00EA64B8">
        <w:rPr>
          <w:iCs/>
          <w:kern w:val="22"/>
          <w:lang w:val="fr-CA"/>
        </w:rPr>
        <w:t xml:space="preserve"> </w:t>
      </w:r>
      <w:r>
        <w:rPr>
          <w:iCs/>
          <w:kern w:val="22"/>
          <w:lang w:val="fr-CA"/>
        </w:rPr>
        <w:t>et du Comité chargé</w:t>
      </w:r>
      <w:r w:rsidR="00EA64B8">
        <w:rPr>
          <w:iCs/>
          <w:kern w:val="22"/>
          <w:lang w:val="fr-CA"/>
        </w:rPr>
        <w:t xml:space="preserve"> du respect des obligations à la</w:t>
      </w:r>
      <w:r>
        <w:rPr>
          <w:iCs/>
          <w:kern w:val="22"/>
          <w:lang w:val="fr-CA"/>
        </w:rPr>
        <w:t xml:space="preserve"> quatrième évaluation et examen </w:t>
      </w:r>
      <w:r w:rsidR="00EA64B8">
        <w:rPr>
          <w:iCs/>
          <w:kern w:val="22"/>
          <w:lang w:val="fr-CA"/>
        </w:rPr>
        <w:t xml:space="preserve">de l’efficacité du Protocole et à </w:t>
      </w:r>
      <w:r>
        <w:rPr>
          <w:iCs/>
          <w:kern w:val="22"/>
          <w:lang w:val="fr-CA"/>
        </w:rPr>
        <w:t>l’évaluation finale du Plan stratégique du Protocole de Cartagena sur la prévention des risques biotech</w:t>
      </w:r>
      <w:r w:rsidR="00EA64B8">
        <w:rPr>
          <w:iCs/>
          <w:kern w:val="22"/>
          <w:lang w:val="fr-CA"/>
        </w:rPr>
        <w:t>nologiques pour la période 2011</w:t>
      </w:r>
      <w:r w:rsidR="00EA64B8" w:rsidRPr="00EA64B8">
        <w:rPr>
          <w:snapToGrid w:val="0"/>
          <w:kern w:val="22"/>
          <w:szCs w:val="22"/>
          <w:lang w:val="fr-FR"/>
        </w:rPr>
        <w:t>–</w:t>
      </w:r>
      <w:r>
        <w:rPr>
          <w:iCs/>
          <w:kern w:val="22"/>
          <w:lang w:val="fr-CA"/>
        </w:rPr>
        <w:t>2020</w:t>
      </w:r>
      <w:r w:rsidRPr="0088457B">
        <w:rPr>
          <w:rStyle w:val="FootnoteReference"/>
          <w:snapToGrid w:val="0"/>
          <w:kern w:val="22"/>
          <w:szCs w:val="22"/>
        </w:rPr>
        <w:footnoteReference w:id="4"/>
      </w:r>
      <w:r>
        <w:rPr>
          <w:iCs/>
          <w:kern w:val="22"/>
          <w:lang w:val="fr-CA"/>
        </w:rPr>
        <w:t xml:space="preserve">, et leur </w:t>
      </w:r>
      <w:r w:rsidRPr="00DB53B7">
        <w:rPr>
          <w:iCs/>
          <w:kern w:val="22"/>
          <w:lang w:val="fr-CA"/>
        </w:rPr>
        <w:t>demande</w:t>
      </w:r>
      <w:r>
        <w:rPr>
          <w:iCs/>
          <w:kern w:val="22"/>
          <w:lang w:val="fr-CA"/>
        </w:rPr>
        <w:t xml:space="preserve"> </w:t>
      </w:r>
      <w:r w:rsidR="00EA64B8">
        <w:rPr>
          <w:iCs/>
          <w:kern w:val="22"/>
          <w:lang w:val="fr-CA"/>
        </w:rPr>
        <w:lastRenderedPageBreak/>
        <w:t>de fournir</w:t>
      </w:r>
      <w:r>
        <w:rPr>
          <w:iCs/>
          <w:kern w:val="22"/>
          <w:lang w:val="fr-CA"/>
        </w:rPr>
        <w:t xml:space="preserve"> une contribution à la c</w:t>
      </w:r>
      <w:r w:rsidR="00EA64B8">
        <w:rPr>
          <w:iCs/>
          <w:kern w:val="22"/>
          <w:lang w:val="fr-CA"/>
        </w:rPr>
        <w:t>inquième évaluation et examen de l’efficacité du</w:t>
      </w:r>
      <w:r>
        <w:rPr>
          <w:iCs/>
          <w:kern w:val="22"/>
          <w:lang w:val="fr-CA"/>
        </w:rPr>
        <w:t xml:space="preserve"> Protocole</w:t>
      </w:r>
      <w:r w:rsidR="0029606E">
        <w:rPr>
          <w:iCs/>
          <w:kern w:val="22"/>
          <w:lang w:val="fr-CA"/>
        </w:rPr>
        <w:t xml:space="preserve"> de Cartagena</w:t>
      </w:r>
      <w:r>
        <w:rPr>
          <w:iCs/>
          <w:kern w:val="22"/>
          <w:lang w:val="fr-CA"/>
        </w:rPr>
        <w:t xml:space="preserve"> et au processus d</w:t>
      </w:r>
      <w:r w:rsidR="00EA64B8">
        <w:rPr>
          <w:iCs/>
          <w:kern w:val="22"/>
          <w:lang w:val="fr-CA"/>
        </w:rPr>
        <w:t xml:space="preserve">’évaluation du Plan de  mise en œuvre </w:t>
      </w:r>
      <w:r>
        <w:rPr>
          <w:iCs/>
          <w:kern w:val="22"/>
          <w:lang w:val="fr-CA"/>
        </w:rPr>
        <w:t>du Protocole de Cartagena</w:t>
      </w:r>
      <w:r w:rsidR="00EA64B8" w:rsidRPr="00EA64B8">
        <w:rPr>
          <w:iCs/>
          <w:kern w:val="22"/>
          <w:lang w:val="fr-CA"/>
        </w:rPr>
        <w:t xml:space="preserve"> </w:t>
      </w:r>
      <w:r w:rsidR="00EA64B8">
        <w:rPr>
          <w:iCs/>
          <w:kern w:val="22"/>
          <w:lang w:val="fr-CA"/>
        </w:rPr>
        <w:t>sur la prévention des risques biotechnologiques</w:t>
      </w:r>
      <w:r>
        <w:rPr>
          <w:iCs/>
          <w:kern w:val="22"/>
          <w:lang w:val="fr-CA"/>
        </w:rPr>
        <w:t>, selon qu’il convient</w:t>
      </w:r>
      <w:r>
        <w:rPr>
          <w:kern w:val="22"/>
          <w:lang w:val="fr-CA"/>
        </w:rPr>
        <w:t>;</w:t>
      </w:r>
    </w:p>
    <w:p w14:paraId="34DEAB75" w14:textId="77777777" w:rsidR="00D0177D" w:rsidRDefault="00D0177D" w:rsidP="00D0177D">
      <w:pPr>
        <w:suppressLineNumbers/>
        <w:suppressAutoHyphens/>
        <w:jc w:val="center"/>
        <w:rPr>
          <w:b/>
          <w:bCs/>
          <w:kern w:val="22"/>
          <w:lang w:val="fr-CA"/>
        </w:rPr>
      </w:pPr>
      <w:r>
        <w:rPr>
          <w:b/>
          <w:bCs/>
          <w:kern w:val="22"/>
          <w:lang w:val="fr-CA"/>
        </w:rPr>
        <w:t>A.</w:t>
      </w:r>
      <w:r>
        <w:rPr>
          <w:b/>
          <w:bCs/>
          <w:kern w:val="22"/>
          <w:lang w:val="fr-CA"/>
        </w:rPr>
        <w:tab/>
        <w:t>Cadres nationaux pour la prévention des risques biotechnologiques</w:t>
      </w:r>
    </w:p>
    <w:p w14:paraId="5D64878F" w14:textId="404A7349" w:rsidR="00D0177D" w:rsidRPr="00EB29F6"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Se félicite </w:t>
      </w:r>
      <w:r>
        <w:rPr>
          <w:iCs/>
          <w:kern w:val="22"/>
          <w:szCs w:val="22"/>
          <w:lang w:val="fr-CA"/>
        </w:rPr>
        <w:t>des progrès accomplis dans la mise en place d’arrangements administratifs fonctionnels, en notant que presque toutes les Parties disposent d’un personnel permanent chargé de remplir des fonctions relatives à la prévention des risques biotechnologiques</w:t>
      </w:r>
      <w:r>
        <w:rPr>
          <w:kern w:val="22"/>
          <w:szCs w:val="22"/>
          <w:lang w:val="fr-CA"/>
        </w:rPr>
        <w:t>;</w:t>
      </w:r>
    </w:p>
    <w:p w14:paraId="74B173E7" w14:textId="3AE23367"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lang w:val="fr-CA"/>
        </w:rPr>
        <w:t xml:space="preserve">Prie </w:t>
      </w:r>
      <w:r>
        <w:rPr>
          <w:iCs/>
          <w:kern w:val="22"/>
          <w:lang w:val="fr-CA"/>
        </w:rPr>
        <w:t xml:space="preserve">les Parties d’allouer les ressources nécessaires au bon fonctionnement de leurs institutions chargées de la prévention des risques biotechnologiques, étant donné leur rôle crucial dans l’application </w:t>
      </w:r>
      <w:r w:rsidR="00EA64B8">
        <w:rPr>
          <w:iCs/>
          <w:kern w:val="22"/>
          <w:lang w:val="fr-CA"/>
        </w:rPr>
        <w:t>du Protocole</w:t>
      </w:r>
      <w:r>
        <w:rPr>
          <w:iCs/>
          <w:kern w:val="22"/>
          <w:lang w:val="fr-CA"/>
        </w:rPr>
        <w:t>;</w:t>
      </w:r>
    </w:p>
    <w:p w14:paraId="56B867E4" w14:textId="45B9FD63" w:rsidR="00D0177D" w:rsidRDefault="00D0177D" w:rsidP="00D0177D">
      <w:pPr>
        <w:numPr>
          <w:ilvl w:val="2"/>
          <w:numId w:val="19"/>
        </w:numPr>
        <w:suppressLineNumbers/>
        <w:tabs>
          <w:tab w:val="clear" w:pos="1440"/>
        </w:tabs>
        <w:suppressAutoHyphens/>
        <w:spacing w:before="120" w:after="120"/>
        <w:ind w:left="0" w:firstLine="720"/>
        <w:rPr>
          <w:kern w:val="22"/>
          <w:lang w:val="fr-FR"/>
        </w:rPr>
      </w:pPr>
      <w:r>
        <w:rPr>
          <w:i/>
          <w:iCs/>
          <w:kern w:val="22"/>
          <w:lang w:val="fr-FR"/>
        </w:rPr>
        <w:t xml:space="preserve">Prie en outre </w:t>
      </w:r>
      <w:r>
        <w:rPr>
          <w:iCs/>
          <w:kern w:val="22"/>
          <w:lang w:val="fr-FR"/>
        </w:rPr>
        <w:t>les Parties de mobiliser des ressources provenant de toutes les sources nationales et internationales disponibles, y compris la coopération internationale et le secteur privé, pour appuyer davantage le fonctionnement de leurs institutions chargées de la préventio</w:t>
      </w:r>
      <w:r w:rsidR="00EA64B8">
        <w:rPr>
          <w:iCs/>
          <w:kern w:val="22"/>
          <w:lang w:val="fr-FR"/>
        </w:rPr>
        <w:t>n des risques biotechnologiques</w:t>
      </w:r>
      <w:r>
        <w:rPr>
          <w:iCs/>
          <w:kern w:val="22"/>
          <w:lang w:val="fr-FR"/>
        </w:rPr>
        <w:t>;</w:t>
      </w:r>
    </w:p>
    <w:p w14:paraId="7B768325" w14:textId="5053E4BA" w:rsidR="00D0177D" w:rsidRDefault="00D0177D" w:rsidP="00D0177D">
      <w:pPr>
        <w:numPr>
          <w:ilvl w:val="2"/>
          <w:numId w:val="19"/>
        </w:numPr>
        <w:suppressLineNumbers/>
        <w:tabs>
          <w:tab w:val="clear" w:pos="1440"/>
        </w:tabs>
        <w:suppressAutoHyphens/>
        <w:spacing w:before="120" w:after="120"/>
        <w:ind w:left="0" w:firstLine="720"/>
        <w:rPr>
          <w:i/>
          <w:iCs/>
          <w:kern w:val="22"/>
          <w:szCs w:val="22"/>
          <w:lang w:val="fr-CA"/>
        </w:rPr>
      </w:pPr>
      <w:r>
        <w:rPr>
          <w:i/>
          <w:iCs/>
          <w:kern w:val="22"/>
          <w:szCs w:val="22"/>
          <w:lang w:val="fr-FR"/>
        </w:rPr>
        <w:t>Constate</w:t>
      </w:r>
      <w:r>
        <w:rPr>
          <w:i/>
          <w:iCs/>
          <w:kern w:val="22"/>
          <w:szCs w:val="22"/>
          <w:lang w:val="fr-CA"/>
        </w:rPr>
        <w:t xml:space="preserve"> </w:t>
      </w:r>
      <w:r w:rsidRPr="00EA64B8">
        <w:rPr>
          <w:i/>
          <w:iCs/>
          <w:kern w:val="22"/>
          <w:szCs w:val="22"/>
          <w:lang w:val="fr-CA"/>
        </w:rPr>
        <w:t>avec profonde préoccupation</w:t>
      </w:r>
      <w:r>
        <w:rPr>
          <w:i/>
          <w:iCs/>
          <w:kern w:val="22"/>
          <w:szCs w:val="22"/>
          <w:lang w:val="fr-CA"/>
        </w:rPr>
        <w:t xml:space="preserve"> </w:t>
      </w:r>
      <w:r w:rsidRPr="00CB19D1">
        <w:rPr>
          <w:iCs/>
          <w:kern w:val="22"/>
          <w:szCs w:val="22"/>
          <w:lang w:val="fr-CA"/>
        </w:rPr>
        <w:t>qu’environ la moitié des Parties seulement</w:t>
      </w:r>
      <w:r>
        <w:rPr>
          <w:iCs/>
          <w:kern w:val="22"/>
          <w:szCs w:val="22"/>
          <w:lang w:val="fr-CA"/>
        </w:rPr>
        <w:t xml:space="preserve"> ont pleinement mis en place les mesures juridiques, administratives et autres mesures requises pour s’acquitter de leurs obligations au titre du Protocole, et que des progrès limités ont été accomplis à cet égard depuis l’évaluation à mi-parcours du Plan stratégique</w:t>
      </w:r>
      <w:r w:rsidR="00EA64B8">
        <w:rPr>
          <w:iCs/>
          <w:kern w:val="22"/>
          <w:szCs w:val="22"/>
          <w:lang w:val="fr-CA"/>
        </w:rPr>
        <w:t xml:space="preserve"> du Protocole de Cartagena </w:t>
      </w:r>
      <w:r w:rsidR="00EA64B8">
        <w:rPr>
          <w:iCs/>
          <w:kern w:val="22"/>
          <w:lang w:val="fr-CA"/>
        </w:rPr>
        <w:t>sur la prévention des risques biotech</w:t>
      </w:r>
      <w:r w:rsidR="00EA64B8">
        <w:rPr>
          <w:iCs/>
          <w:kern w:val="22"/>
          <w:lang w:val="fr-CA"/>
        </w:rPr>
        <w:t>nologiques</w:t>
      </w:r>
      <w:r w:rsidR="002F63CC">
        <w:rPr>
          <w:iCs/>
          <w:kern w:val="22"/>
          <w:lang w:val="fr-CA"/>
        </w:rPr>
        <w:t xml:space="preserve"> pour la période </w:t>
      </w:r>
      <w:r w:rsidR="002F63CC">
        <w:rPr>
          <w:iCs/>
          <w:kern w:val="22"/>
          <w:lang w:val="fr-CA"/>
        </w:rPr>
        <w:t>2011</w:t>
      </w:r>
      <w:r w:rsidR="002F63CC" w:rsidRPr="00EA64B8">
        <w:rPr>
          <w:snapToGrid w:val="0"/>
          <w:kern w:val="22"/>
          <w:szCs w:val="22"/>
          <w:lang w:val="fr-FR"/>
        </w:rPr>
        <w:t>–</w:t>
      </w:r>
      <w:r w:rsidR="002F63CC">
        <w:rPr>
          <w:iCs/>
          <w:kern w:val="22"/>
          <w:lang w:val="fr-CA"/>
        </w:rPr>
        <w:t>2020</w:t>
      </w:r>
      <w:r w:rsidRPr="009927AA">
        <w:rPr>
          <w:rStyle w:val="FootnoteReference"/>
          <w:iCs/>
          <w:kern w:val="22"/>
          <w:szCs w:val="22"/>
          <w:lang w:val="fr-CA"/>
        </w:rPr>
        <w:footnoteReference w:id="5"/>
      </w:r>
      <w:r>
        <w:rPr>
          <w:kern w:val="22"/>
          <w:szCs w:val="22"/>
          <w:lang w:val="fr-CA"/>
        </w:rPr>
        <w:t>;</w:t>
      </w:r>
    </w:p>
    <w:p w14:paraId="0C92232C" w14:textId="3D7A9C19" w:rsidR="00D0177D" w:rsidRDefault="00D0177D" w:rsidP="00D0177D">
      <w:pPr>
        <w:numPr>
          <w:ilvl w:val="2"/>
          <w:numId w:val="19"/>
        </w:numPr>
        <w:suppressLineNumbers/>
        <w:tabs>
          <w:tab w:val="clear" w:pos="1440"/>
        </w:tabs>
        <w:suppressAutoHyphens/>
        <w:spacing w:before="120" w:after="120"/>
        <w:ind w:left="0" w:firstLine="720"/>
        <w:rPr>
          <w:i/>
          <w:iCs/>
          <w:kern w:val="22"/>
          <w:szCs w:val="22"/>
          <w:lang w:val="fr-CA"/>
        </w:rPr>
      </w:pPr>
      <w:r>
        <w:rPr>
          <w:i/>
          <w:iCs/>
          <w:kern w:val="22"/>
          <w:szCs w:val="22"/>
          <w:lang w:val="fr-CA"/>
        </w:rPr>
        <w:t xml:space="preserve">Exhorte </w:t>
      </w:r>
      <w:r>
        <w:rPr>
          <w:iCs/>
          <w:kern w:val="22"/>
          <w:szCs w:val="22"/>
          <w:lang w:val="fr-CA"/>
        </w:rPr>
        <w:t xml:space="preserve">les Parties qui ne l’ont pas encore fait à mettre en place des mesures juridiques, administratives et autres mesures requises pour s’acquitter de leurs obligations au titre du Protocole, en particulier une législation sur la prévention des risques biotechnologiques, en tant que priorité, et </w:t>
      </w:r>
      <w:r w:rsidRPr="00DB53B7">
        <w:rPr>
          <w:iCs/>
          <w:kern w:val="22"/>
          <w:szCs w:val="22"/>
          <w:lang w:val="fr-CA"/>
        </w:rPr>
        <w:t xml:space="preserve">reconnaît </w:t>
      </w:r>
      <w:r>
        <w:rPr>
          <w:iCs/>
          <w:kern w:val="22"/>
          <w:szCs w:val="22"/>
          <w:lang w:val="fr-CA"/>
        </w:rPr>
        <w:t>qu’un soutien supplémentaire doit être apporté dans ce domaine</w:t>
      </w:r>
      <w:r>
        <w:rPr>
          <w:kern w:val="22"/>
          <w:szCs w:val="22"/>
          <w:lang w:val="fr-CA"/>
        </w:rPr>
        <w:t>;</w:t>
      </w:r>
    </w:p>
    <w:p w14:paraId="5D5C04DB" w14:textId="1F2045ED" w:rsidR="00D0177D" w:rsidRDefault="00D0177D" w:rsidP="00D0177D">
      <w:pPr>
        <w:numPr>
          <w:ilvl w:val="2"/>
          <w:numId w:val="19"/>
        </w:numPr>
        <w:suppressLineNumbers/>
        <w:tabs>
          <w:tab w:val="clear" w:pos="1440"/>
        </w:tabs>
        <w:suppressAutoHyphens/>
        <w:spacing w:before="120" w:after="120"/>
        <w:ind w:left="0" w:firstLine="720"/>
        <w:rPr>
          <w:i/>
          <w:iCs/>
          <w:kern w:val="22"/>
          <w:szCs w:val="22"/>
          <w:lang w:val="fr-CA"/>
        </w:rPr>
      </w:pPr>
      <w:r>
        <w:rPr>
          <w:i/>
          <w:iCs/>
          <w:kern w:val="22"/>
          <w:szCs w:val="22"/>
          <w:lang w:val="fr-CA"/>
        </w:rPr>
        <w:t xml:space="preserve">Encourage </w:t>
      </w:r>
      <w:r>
        <w:rPr>
          <w:iCs/>
          <w:kern w:val="22"/>
          <w:szCs w:val="22"/>
          <w:lang w:val="fr-CA"/>
        </w:rPr>
        <w:t xml:space="preserve">les Parties à prendre en considération les peuples autochtones et les communautés locales, l’égalité des sexes, les femmes, les jeunes et une approche fondée sur les droits </w:t>
      </w:r>
      <w:r>
        <w:rPr>
          <w:iCs/>
          <w:kern w:val="22"/>
          <w:szCs w:val="22"/>
          <w:lang w:val="fr-FR"/>
        </w:rPr>
        <w:t xml:space="preserve">humains </w:t>
      </w:r>
      <w:r>
        <w:rPr>
          <w:iCs/>
          <w:kern w:val="22"/>
          <w:szCs w:val="22"/>
          <w:lang w:val="fr-CA"/>
        </w:rPr>
        <w:t>dans leurs cadres nationaux pour la préventio</w:t>
      </w:r>
      <w:r w:rsidR="002F63CC">
        <w:rPr>
          <w:iCs/>
          <w:kern w:val="22"/>
          <w:szCs w:val="22"/>
          <w:lang w:val="fr-CA"/>
        </w:rPr>
        <w:t>n des risques biotechnologiques</w:t>
      </w:r>
      <w:r>
        <w:rPr>
          <w:iCs/>
          <w:kern w:val="22"/>
          <w:szCs w:val="22"/>
          <w:lang w:val="fr-CA"/>
        </w:rPr>
        <w:t>;</w:t>
      </w:r>
    </w:p>
    <w:p w14:paraId="2E333667" w14:textId="77777777" w:rsidR="00D0177D" w:rsidRDefault="00D0177D" w:rsidP="00D0177D">
      <w:pPr>
        <w:pStyle w:val="ListParagraph"/>
        <w:suppressLineNumbers/>
        <w:suppressAutoHyphens/>
        <w:ind w:left="0"/>
        <w:jc w:val="center"/>
        <w:rPr>
          <w:kern w:val="22"/>
          <w:lang w:val="fr-CA"/>
        </w:rPr>
      </w:pPr>
      <w:r>
        <w:rPr>
          <w:b/>
          <w:bCs/>
          <w:kern w:val="22"/>
          <w:lang w:val="fr-CA"/>
        </w:rPr>
        <w:t>B.</w:t>
      </w:r>
      <w:r>
        <w:rPr>
          <w:b/>
          <w:bCs/>
          <w:kern w:val="22"/>
          <w:lang w:val="fr-CA"/>
        </w:rPr>
        <w:tab/>
        <w:t>Coordination et soutien</w:t>
      </w:r>
    </w:p>
    <w:p w14:paraId="7DBAD605" w14:textId="342752C4"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Reconnaît </w:t>
      </w:r>
      <w:r>
        <w:rPr>
          <w:iCs/>
          <w:kern w:val="22"/>
          <w:szCs w:val="22"/>
          <w:lang w:val="fr-CA"/>
        </w:rPr>
        <w:t>l’importance de la coordination entre les autorités compétentes et à différents niveaux, et de l’intégration de la prévention des risques biotechnologiques dans les instruments sectoriels et intersectoriels pertinents, y compris les stratégies et plans d’action nationaux pour la diversité biologique, afin d’avancer dans l’application du Protocole</w:t>
      </w:r>
      <w:r>
        <w:rPr>
          <w:kern w:val="22"/>
          <w:lang w:val="fr-CA"/>
        </w:rPr>
        <w:t>;</w:t>
      </w:r>
    </w:p>
    <w:p w14:paraId="03B17E66" w14:textId="771B9827"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Se félicite </w:t>
      </w:r>
      <w:r>
        <w:rPr>
          <w:iCs/>
          <w:kern w:val="22"/>
          <w:szCs w:val="22"/>
          <w:lang w:val="fr-CA"/>
        </w:rPr>
        <w:t>de l’appui fourni en matière de renforcement des capacités pour faciliter la mise en œuvre du Plan stratégique du Protocole de Cartagena</w:t>
      </w:r>
      <w:r w:rsidR="002F63CC" w:rsidRPr="002F63CC">
        <w:rPr>
          <w:iCs/>
          <w:kern w:val="22"/>
          <w:lang w:val="fr-CA"/>
        </w:rPr>
        <w:t xml:space="preserve"> </w:t>
      </w:r>
      <w:r w:rsidR="002F63CC">
        <w:rPr>
          <w:iCs/>
          <w:kern w:val="22"/>
          <w:lang w:val="fr-CA"/>
        </w:rPr>
        <w:t>sur la prévention des risques biotechnologiques pour la période 2011</w:t>
      </w:r>
      <w:r w:rsidR="002F63CC" w:rsidRPr="00EA64B8">
        <w:rPr>
          <w:snapToGrid w:val="0"/>
          <w:kern w:val="22"/>
          <w:szCs w:val="22"/>
          <w:lang w:val="fr-FR"/>
        </w:rPr>
        <w:t>–</w:t>
      </w:r>
      <w:r w:rsidR="002F63CC">
        <w:rPr>
          <w:iCs/>
          <w:kern w:val="22"/>
          <w:lang w:val="fr-CA"/>
        </w:rPr>
        <w:t>2020</w:t>
      </w:r>
      <w:r w:rsidR="002F63CC">
        <w:rPr>
          <w:iCs/>
          <w:kern w:val="22"/>
          <w:szCs w:val="22"/>
          <w:lang w:val="fr-CA"/>
        </w:rPr>
        <w:t>, mais</w:t>
      </w:r>
      <w:r>
        <w:rPr>
          <w:i/>
          <w:iCs/>
          <w:kern w:val="22"/>
          <w:szCs w:val="22"/>
          <w:lang w:val="fr-CA"/>
        </w:rPr>
        <w:t xml:space="preserve"> </w:t>
      </w:r>
      <w:r w:rsidRPr="00DB53B7">
        <w:rPr>
          <w:iCs/>
          <w:kern w:val="22"/>
          <w:szCs w:val="22"/>
          <w:lang w:val="fr-CA"/>
        </w:rPr>
        <w:t>constate</w:t>
      </w:r>
      <w:r>
        <w:rPr>
          <w:i/>
          <w:iCs/>
          <w:kern w:val="22"/>
          <w:szCs w:val="22"/>
          <w:lang w:val="fr-CA"/>
        </w:rPr>
        <w:t xml:space="preserve"> </w:t>
      </w:r>
      <w:r>
        <w:rPr>
          <w:iCs/>
          <w:kern w:val="22"/>
          <w:szCs w:val="22"/>
          <w:lang w:val="fr-CA"/>
        </w:rPr>
        <w:t>avec préoccupation</w:t>
      </w:r>
      <w:r>
        <w:rPr>
          <w:i/>
          <w:iCs/>
          <w:kern w:val="22"/>
          <w:szCs w:val="22"/>
          <w:lang w:val="fr-CA"/>
        </w:rPr>
        <w:t xml:space="preserve"> </w:t>
      </w:r>
      <w:r>
        <w:rPr>
          <w:iCs/>
          <w:kern w:val="22"/>
          <w:szCs w:val="22"/>
          <w:lang w:val="fr-CA"/>
        </w:rPr>
        <w:t>le manque de progrès accomplis pour répondre aux besoins de renforcement des capacités dans la plupart des régions</w:t>
      </w:r>
      <w:r>
        <w:rPr>
          <w:kern w:val="22"/>
          <w:szCs w:val="22"/>
          <w:lang w:val="fr-CA"/>
        </w:rPr>
        <w:t>;</w:t>
      </w:r>
    </w:p>
    <w:p w14:paraId="4B4AB6D7" w14:textId="4A255AE9"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Souligne </w:t>
      </w:r>
      <w:r>
        <w:rPr>
          <w:iCs/>
          <w:kern w:val="22"/>
          <w:szCs w:val="22"/>
          <w:lang w:val="fr-CA"/>
        </w:rPr>
        <w:t xml:space="preserve">le besoin constant de développer et renforcer les capacités des Parties à appliquer le Protocole, y compris à la lumière de l’évolution actuelle rapide des biotechnologies qui intéressent le Protocole de Cartagena, et </w:t>
      </w:r>
      <w:r w:rsidR="00E87E91">
        <w:rPr>
          <w:iCs/>
          <w:kern w:val="22"/>
          <w:szCs w:val="22"/>
          <w:lang w:val="fr-CA"/>
        </w:rPr>
        <w:t>r</w:t>
      </w:r>
      <w:r w:rsidRPr="00DB53B7">
        <w:rPr>
          <w:iCs/>
          <w:kern w:val="22"/>
          <w:szCs w:val="22"/>
          <w:lang w:val="fr-CA"/>
        </w:rPr>
        <w:t>econnaît</w:t>
      </w:r>
      <w:r>
        <w:rPr>
          <w:i/>
          <w:iCs/>
          <w:kern w:val="22"/>
          <w:szCs w:val="22"/>
          <w:lang w:val="fr-CA"/>
        </w:rPr>
        <w:t xml:space="preserve"> </w:t>
      </w:r>
      <w:r>
        <w:rPr>
          <w:iCs/>
          <w:kern w:val="22"/>
          <w:szCs w:val="22"/>
          <w:lang w:val="fr-CA"/>
        </w:rPr>
        <w:t xml:space="preserve">le rôle de facilitation que le </w:t>
      </w:r>
      <w:bookmarkStart w:id="1" w:name="_Hlk121407143"/>
      <w:r w:rsidR="002F63CC">
        <w:rPr>
          <w:iCs/>
          <w:kern w:val="22"/>
          <w:szCs w:val="22"/>
          <w:lang w:val="fr-CA"/>
        </w:rPr>
        <w:t>P</w:t>
      </w:r>
      <w:r>
        <w:rPr>
          <w:iCs/>
          <w:kern w:val="22"/>
          <w:szCs w:val="22"/>
          <w:lang w:val="fr-CA"/>
        </w:rPr>
        <w:t>lan d’action pour le renforcement des capacités du Protocole</w:t>
      </w:r>
      <w:bookmarkEnd w:id="1"/>
      <w:r w:rsidR="00E87E91">
        <w:rPr>
          <w:iCs/>
          <w:kern w:val="22"/>
          <w:szCs w:val="22"/>
          <w:lang w:val="fr-CA"/>
        </w:rPr>
        <w:t xml:space="preserve"> de </w:t>
      </w:r>
      <w:r w:rsidR="002F63CC">
        <w:rPr>
          <w:iCs/>
          <w:kern w:val="22"/>
          <w:szCs w:val="22"/>
          <w:lang w:val="fr-CA"/>
        </w:rPr>
        <w:t>Cartagena</w:t>
      </w:r>
      <w:r>
        <w:rPr>
          <w:iCs/>
          <w:kern w:val="22"/>
          <w:szCs w:val="22"/>
          <w:lang w:val="fr-CA"/>
        </w:rPr>
        <w:t xml:space="preserve"> </w:t>
      </w:r>
      <w:r w:rsidR="002F63CC">
        <w:rPr>
          <w:iCs/>
          <w:kern w:val="22"/>
          <w:lang w:val="fr-CA"/>
        </w:rPr>
        <w:t xml:space="preserve">sur la prévention des risques biotechnologiques </w:t>
      </w:r>
      <w:r>
        <w:rPr>
          <w:iCs/>
          <w:kern w:val="22"/>
          <w:szCs w:val="22"/>
          <w:lang w:val="fr-CA"/>
        </w:rPr>
        <w:t>peut avoir à cet égard</w:t>
      </w:r>
      <w:r>
        <w:rPr>
          <w:kern w:val="22"/>
          <w:szCs w:val="22"/>
          <w:lang w:val="fr-CA"/>
        </w:rPr>
        <w:t>;</w:t>
      </w:r>
    </w:p>
    <w:p w14:paraId="0C554142" w14:textId="314B7332"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Encourage </w:t>
      </w:r>
      <w:r>
        <w:rPr>
          <w:iCs/>
          <w:kern w:val="22"/>
          <w:szCs w:val="22"/>
          <w:lang w:val="fr-CA"/>
        </w:rPr>
        <w:t>les Parties à coopérer dans le domaine du renforcement des capacités sur la prévention des risques biotechnologique</w:t>
      </w:r>
      <w:r w:rsidR="002F63CC">
        <w:rPr>
          <w:iCs/>
          <w:kern w:val="22"/>
          <w:szCs w:val="22"/>
          <w:lang w:val="fr-CA"/>
        </w:rPr>
        <w:t>s, notamment au niveau régional</w:t>
      </w:r>
      <w:r>
        <w:rPr>
          <w:iCs/>
          <w:kern w:val="22"/>
          <w:szCs w:val="22"/>
          <w:lang w:val="fr-CA"/>
        </w:rPr>
        <w:t>;</w:t>
      </w:r>
    </w:p>
    <w:p w14:paraId="3DB52AB6" w14:textId="3BFB2896"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Constate </w:t>
      </w:r>
      <w:r w:rsidRPr="0029606E">
        <w:rPr>
          <w:i/>
          <w:iCs/>
          <w:kern w:val="22"/>
          <w:szCs w:val="22"/>
          <w:lang w:val="fr-CA"/>
        </w:rPr>
        <w:t>avec préoccupation</w:t>
      </w:r>
      <w:r>
        <w:rPr>
          <w:i/>
          <w:iCs/>
          <w:kern w:val="22"/>
          <w:szCs w:val="22"/>
          <w:lang w:val="fr-CA"/>
        </w:rPr>
        <w:t xml:space="preserve"> </w:t>
      </w:r>
      <w:r>
        <w:rPr>
          <w:iCs/>
          <w:kern w:val="22"/>
          <w:szCs w:val="22"/>
          <w:lang w:val="fr-CA"/>
        </w:rPr>
        <w:t>qu’un plus petit nombre de Parties ont eu accès à des ressources financières additionnelles au-delà de leurs budgets nationaux, comparé à la t</w:t>
      </w:r>
      <w:r w:rsidR="002F63CC">
        <w:rPr>
          <w:iCs/>
          <w:kern w:val="22"/>
          <w:szCs w:val="22"/>
          <w:lang w:val="fr-CA"/>
        </w:rPr>
        <w:t xml:space="preserve">roisième évaluation </w:t>
      </w:r>
      <w:r w:rsidR="002F63CC">
        <w:rPr>
          <w:iCs/>
          <w:kern w:val="22"/>
          <w:szCs w:val="22"/>
          <w:lang w:val="fr-CA"/>
        </w:rPr>
        <w:lastRenderedPageBreak/>
        <w:t>et examen de l’efficacité du</w:t>
      </w:r>
      <w:r>
        <w:rPr>
          <w:iCs/>
          <w:kern w:val="22"/>
          <w:szCs w:val="22"/>
          <w:lang w:val="fr-CA"/>
        </w:rPr>
        <w:t xml:space="preserve"> Protocole </w:t>
      </w:r>
      <w:r w:rsidR="002F63CC">
        <w:rPr>
          <w:iCs/>
          <w:kern w:val="22"/>
          <w:szCs w:val="22"/>
          <w:lang w:val="fr-CA"/>
        </w:rPr>
        <w:t xml:space="preserve">de Cartagena </w:t>
      </w:r>
      <w:r>
        <w:rPr>
          <w:iCs/>
          <w:kern w:val="22"/>
          <w:szCs w:val="22"/>
          <w:lang w:val="fr-CA"/>
        </w:rPr>
        <w:t>et à l’évaluation à mi-parcours du Plan stratégique</w:t>
      </w:r>
      <w:r w:rsidR="002F63CC" w:rsidRPr="002F63CC">
        <w:rPr>
          <w:iCs/>
          <w:kern w:val="22"/>
          <w:lang w:val="fr-CA"/>
        </w:rPr>
        <w:t xml:space="preserve"> </w:t>
      </w:r>
      <w:r w:rsidR="002F63CC">
        <w:rPr>
          <w:iCs/>
          <w:kern w:val="22"/>
          <w:szCs w:val="22"/>
          <w:lang w:val="fr-CA"/>
        </w:rPr>
        <w:t xml:space="preserve">du Protocole de Cartagena </w:t>
      </w:r>
      <w:r w:rsidR="002F63CC">
        <w:rPr>
          <w:iCs/>
          <w:kern w:val="22"/>
          <w:lang w:val="fr-CA"/>
        </w:rPr>
        <w:t>sur la prévention des risques biotechnologiques pour la période 2011</w:t>
      </w:r>
      <w:r w:rsidR="002F63CC" w:rsidRPr="00EA64B8">
        <w:rPr>
          <w:snapToGrid w:val="0"/>
          <w:kern w:val="22"/>
          <w:szCs w:val="22"/>
          <w:lang w:val="fr-FR"/>
        </w:rPr>
        <w:t>–</w:t>
      </w:r>
      <w:r w:rsidR="002F63CC">
        <w:rPr>
          <w:iCs/>
          <w:kern w:val="22"/>
          <w:lang w:val="fr-CA"/>
        </w:rPr>
        <w:t>2020</w:t>
      </w:r>
      <w:r>
        <w:rPr>
          <w:kern w:val="22"/>
          <w:szCs w:val="22"/>
          <w:lang w:val="fr-CA"/>
        </w:rPr>
        <w:t>;</w:t>
      </w:r>
    </w:p>
    <w:p w14:paraId="6A34689F" w14:textId="66D67B77"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lang w:val="fr-CA"/>
        </w:rPr>
        <w:t xml:space="preserve">Exhorte </w:t>
      </w:r>
      <w:r>
        <w:rPr>
          <w:iCs/>
          <w:kern w:val="22"/>
          <w:lang w:val="fr-CA"/>
        </w:rPr>
        <w:t>les Parties</w:t>
      </w:r>
      <w:r>
        <w:rPr>
          <w:iCs/>
          <w:kern w:val="22"/>
          <w:lang w:val="fr-FR"/>
        </w:rPr>
        <w:t xml:space="preserve"> </w:t>
      </w:r>
      <w:r w:rsidRPr="004F3E05">
        <w:rPr>
          <w:iCs/>
          <w:kern w:val="22"/>
          <w:lang w:val="fr-CA"/>
        </w:rPr>
        <w:t xml:space="preserve">et </w:t>
      </w:r>
      <w:r w:rsidRPr="002F63CC">
        <w:rPr>
          <w:kern w:val="22"/>
          <w:lang w:val="fr-CA"/>
        </w:rPr>
        <w:t>invite</w:t>
      </w:r>
      <w:r>
        <w:rPr>
          <w:i/>
          <w:iCs/>
          <w:kern w:val="22"/>
          <w:lang w:val="fr-CA"/>
        </w:rPr>
        <w:t xml:space="preserve"> </w:t>
      </w:r>
      <w:r>
        <w:rPr>
          <w:iCs/>
          <w:kern w:val="22"/>
          <w:lang w:val="fr-CA"/>
        </w:rPr>
        <w:t xml:space="preserve">les autres gouvernements, les organismes donateurs et les </w:t>
      </w:r>
      <w:r w:rsidR="002F63CC">
        <w:rPr>
          <w:iCs/>
          <w:kern w:val="22"/>
          <w:lang w:val="fr-CA"/>
        </w:rPr>
        <w:t xml:space="preserve">initiatives de renforcement des </w:t>
      </w:r>
      <w:r>
        <w:rPr>
          <w:iCs/>
          <w:kern w:val="22"/>
          <w:lang w:val="fr-CA"/>
        </w:rPr>
        <w:t>capacités sur la prévention des risques biotechnologiques à mettre à disposition des ressources pour aider les Parties dans leurs efforts prodigués pour renforcer les capacités et améliorer l’application du Protocole de Cartagena dans les domaines prioritaires suivants : élaboration et application des mesures juridiques, administratives et autres mesures requises pour appliquer le Protocole; évaluation des</w:t>
      </w:r>
      <w:r w:rsidR="002F63CC">
        <w:rPr>
          <w:iCs/>
          <w:kern w:val="22"/>
          <w:lang w:val="fr-CA"/>
        </w:rPr>
        <w:t xml:space="preserve"> risques et gestion des risques</w:t>
      </w:r>
      <w:r>
        <w:rPr>
          <w:iCs/>
          <w:kern w:val="22"/>
          <w:lang w:val="fr-CA"/>
        </w:rPr>
        <w:t xml:space="preserve">; détection et identification </w:t>
      </w:r>
      <w:r w:rsidR="002F63CC">
        <w:rPr>
          <w:iCs/>
          <w:kern w:val="22"/>
          <w:lang w:val="fr-CA"/>
        </w:rPr>
        <w:t>des organismes vivants modifiés</w:t>
      </w:r>
      <w:r>
        <w:rPr>
          <w:iCs/>
          <w:kern w:val="22"/>
          <w:lang w:val="fr-CA"/>
        </w:rPr>
        <w:t>; sensibilisation, éducation et participation du public</w:t>
      </w:r>
      <w:r>
        <w:rPr>
          <w:kern w:val="22"/>
          <w:lang w:val="fr-CA"/>
        </w:rPr>
        <w:t xml:space="preserve">; </w:t>
      </w:r>
      <w:r w:rsidR="002F63CC">
        <w:rPr>
          <w:kern w:val="22"/>
          <w:lang w:val="fr-CA"/>
        </w:rPr>
        <w:t>considérations socioéconomiques; responsabilité et réparation</w:t>
      </w:r>
      <w:r>
        <w:rPr>
          <w:kern w:val="22"/>
          <w:lang w:val="fr-CA"/>
        </w:rPr>
        <w:t>; établissement des rapp</w:t>
      </w:r>
      <w:r w:rsidR="002F63CC">
        <w:rPr>
          <w:kern w:val="22"/>
          <w:lang w:val="fr-CA"/>
        </w:rPr>
        <w:t>orts nationaux; transfert de technologie</w:t>
      </w:r>
      <w:r>
        <w:rPr>
          <w:kern w:val="22"/>
          <w:lang w:val="fr-CA"/>
        </w:rPr>
        <w:t>;</w:t>
      </w:r>
    </w:p>
    <w:p w14:paraId="779E9A2A" w14:textId="77777777" w:rsidR="00D0177D" w:rsidRDefault="00D0177D" w:rsidP="00D0177D">
      <w:pPr>
        <w:suppressLineNumbers/>
        <w:suppressAutoHyphens/>
        <w:jc w:val="center"/>
        <w:rPr>
          <w:kern w:val="22"/>
          <w:lang w:val="fr-CA"/>
        </w:rPr>
      </w:pPr>
      <w:r>
        <w:rPr>
          <w:b/>
          <w:bCs/>
          <w:kern w:val="22"/>
          <w:lang w:val="fr-CA"/>
        </w:rPr>
        <w:t>C.</w:t>
      </w:r>
      <w:r>
        <w:rPr>
          <w:b/>
          <w:bCs/>
          <w:kern w:val="22"/>
          <w:lang w:val="fr-CA"/>
        </w:rPr>
        <w:tab/>
        <w:t>Évaluation des risques et gestion des risques</w:t>
      </w:r>
    </w:p>
    <w:p w14:paraId="1A8D2782" w14:textId="4AD6EE46"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Se félicite </w:t>
      </w:r>
      <w:r>
        <w:rPr>
          <w:iCs/>
          <w:kern w:val="22"/>
          <w:szCs w:val="22"/>
          <w:lang w:val="fr-CA"/>
        </w:rPr>
        <w:t>des progrès accomplis par les Parties dans la réalisation d’évaluations des risques au titre du Protocole et la publication de</w:t>
      </w:r>
      <w:r w:rsidR="002F63CC">
        <w:rPr>
          <w:iCs/>
          <w:kern w:val="22"/>
          <w:szCs w:val="22"/>
          <w:lang w:val="fr-CA"/>
        </w:rPr>
        <w:t>s</w:t>
      </w:r>
      <w:r>
        <w:rPr>
          <w:iCs/>
          <w:kern w:val="22"/>
          <w:szCs w:val="22"/>
          <w:lang w:val="fr-CA"/>
        </w:rPr>
        <w:t xml:space="preserve"> rapports de synthèse sur l’évaluation des </w:t>
      </w:r>
      <w:r w:rsidR="002F63CC">
        <w:rPr>
          <w:iCs/>
          <w:kern w:val="22"/>
          <w:szCs w:val="22"/>
          <w:lang w:val="fr-CA"/>
        </w:rPr>
        <w:t>risques ainsi que des décisions dans</w:t>
      </w:r>
      <w:r>
        <w:rPr>
          <w:iCs/>
          <w:kern w:val="22"/>
          <w:szCs w:val="22"/>
          <w:lang w:val="fr-CA"/>
        </w:rPr>
        <w:t xml:space="preserve"> le Centre d’échange pour la prévention des risques biotechnologiques</w:t>
      </w:r>
      <w:r>
        <w:rPr>
          <w:kern w:val="22"/>
          <w:szCs w:val="22"/>
          <w:lang w:val="fr-CA"/>
        </w:rPr>
        <w:t>;</w:t>
      </w:r>
    </w:p>
    <w:p w14:paraId="34316F95" w14:textId="78CE1375"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Se félicite également </w:t>
      </w:r>
      <w:r>
        <w:rPr>
          <w:iCs/>
          <w:kern w:val="22"/>
          <w:szCs w:val="22"/>
          <w:lang w:val="fr-CA"/>
        </w:rPr>
        <w:t>des progrès accomplis par les Parties dans l’adoption de méthodes communes pour l’évaluation des risques, conformément à l’annexe III du Protocole de Cartagena, ainsi que pour la gestion des risques, et dans l’adoption ou l’utilisation de documents d’orientation</w:t>
      </w:r>
      <w:r w:rsidR="002F63CC">
        <w:rPr>
          <w:iCs/>
          <w:kern w:val="22"/>
          <w:szCs w:val="22"/>
          <w:lang w:val="fr-CA"/>
        </w:rPr>
        <w:t>s facultative</w:t>
      </w:r>
      <w:r>
        <w:rPr>
          <w:iCs/>
          <w:kern w:val="22"/>
          <w:szCs w:val="22"/>
          <w:lang w:val="fr-CA"/>
        </w:rPr>
        <w:t>s pour entreprendre les évaluations des risques ou évaluer les rapports de synthèse sur l’évaluation des risques transmis par les déclarants</w:t>
      </w:r>
      <w:r>
        <w:rPr>
          <w:kern w:val="22"/>
          <w:szCs w:val="22"/>
          <w:lang w:val="fr-CA"/>
        </w:rPr>
        <w:t>;</w:t>
      </w:r>
    </w:p>
    <w:p w14:paraId="67927A4C" w14:textId="25944356" w:rsidR="00D0177D" w:rsidRPr="00A737A5"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Reconnaît </w:t>
      </w:r>
      <w:r>
        <w:rPr>
          <w:iCs/>
          <w:kern w:val="22"/>
          <w:szCs w:val="22"/>
          <w:lang w:val="fr-CA"/>
        </w:rPr>
        <w:t>le besoin de soutenir davantage l’évaluation des risques et la gestion des risques, notamment en renforçant les capacités en termes de ressources humaines et en facilitant l’accès à des ressources financières suffisantes, à des connaissances scientifiques et à une inf</w:t>
      </w:r>
      <w:r w:rsidR="00935F1C">
        <w:rPr>
          <w:iCs/>
          <w:kern w:val="22"/>
          <w:szCs w:val="22"/>
          <w:lang w:val="fr-CA"/>
        </w:rPr>
        <w:t>rastructure technique adéquates</w:t>
      </w:r>
      <w:r>
        <w:rPr>
          <w:kern w:val="22"/>
          <w:szCs w:val="22"/>
          <w:lang w:val="fr-CA"/>
        </w:rPr>
        <w:t>;</w:t>
      </w:r>
    </w:p>
    <w:p w14:paraId="796AA746" w14:textId="77777777" w:rsidR="00D0177D" w:rsidRDefault="00D0177D" w:rsidP="00D0177D">
      <w:pPr>
        <w:suppressLineNumbers/>
        <w:suppressAutoHyphens/>
        <w:jc w:val="center"/>
        <w:rPr>
          <w:b/>
          <w:bCs/>
          <w:kern w:val="22"/>
          <w:lang w:val="fr-CA"/>
        </w:rPr>
      </w:pPr>
      <w:r>
        <w:rPr>
          <w:b/>
          <w:bCs/>
          <w:kern w:val="22"/>
          <w:lang w:val="fr-CA"/>
        </w:rPr>
        <w:t>D.</w:t>
      </w:r>
      <w:r>
        <w:rPr>
          <w:b/>
          <w:bCs/>
          <w:kern w:val="22"/>
          <w:lang w:val="fr-CA"/>
        </w:rPr>
        <w:tab/>
        <w:t xml:space="preserve">Organismes vivants modifiés ou caractéristiques qui peuvent avoir des effets défavorables </w:t>
      </w:r>
    </w:p>
    <w:p w14:paraId="0BA01754" w14:textId="43E8071E"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Félicite </w:t>
      </w:r>
      <w:r>
        <w:rPr>
          <w:iCs/>
          <w:kern w:val="22"/>
          <w:szCs w:val="22"/>
          <w:lang w:val="fr-CA"/>
        </w:rPr>
        <w:t>les nombreuses Parties qui ont mis en place des capacités pour détecter, identifier, évaluer et surveiller les organismes vivants modifiés ou les caractéristiques qui peuvent avoir des effets défavorables sur la conservation et l’utilisation durable de la diversité biologique</w:t>
      </w:r>
      <w:r>
        <w:rPr>
          <w:kern w:val="22"/>
          <w:szCs w:val="22"/>
          <w:lang w:val="fr-CA"/>
        </w:rPr>
        <w:t>;</w:t>
      </w:r>
    </w:p>
    <w:p w14:paraId="17AB9E67" w14:textId="3820C1A2"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Reconnaît </w:t>
      </w:r>
      <w:r>
        <w:rPr>
          <w:iCs/>
          <w:kern w:val="22"/>
          <w:szCs w:val="22"/>
          <w:lang w:val="fr-CA"/>
        </w:rPr>
        <w:t>toutefois qu’un soutien supplémentaire doit être fourni pour renforcer les capacités en termes de ressources humaines et institutionnelles, en particulier au moyen d’une plus grande coopération internationale entre les Parties, afin d’identifier les organismes vivants modifiés ou les caractéristiques spécifiques qui sont susceptibles d’avoir des effets défavorables sur la conservation et l’utilisation durable de la diversité biologique, conformément à l’article 16, et pour faciliter l’accès à une infrastructure technique adéquate afin de pouvoir identifier, évaluer et surveiller les organismes vivants modifiés</w:t>
      </w:r>
      <w:r>
        <w:rPr>
          <w:kern w:val="22"/>
          <w:szCs w:val="22"/>
          <w:lang w:val="fr-CA"/>
        </w:rPr>
        <w:t>;</w:t>
      </w:r>
    </w:p>
    <w:p w14:paraId="2DE88154" w14:textId="77777777" w:rsidR="00D0177D" w:rsidRDefault="00D0177D" w:rsidP="00D0177D">
      <w:pPr>
        <w:suppressLineNumbers/>
        <w:tabs>
          <w:tab w:val="num" w:pos="2591"/>
        </w:tabs>
        <w:suppressAutoHyphens/>
        <w:jc w:val="center"/>
        <w:rPr>
          <w:kern w:val="22"/>
          <w:lang w:val="fr-CA"/>
        </w:rPr>
      </w:pPr>
      <w:r>
        <w:rPr>
          <w:b/>
          <w:bCs/>
          <w:kern w:val="22"/>
          <w:lang w:val="fr-CA"/>
        </w:rPr>
        <w:t>E.      Responsabilité et réparation</w:t>
      </w:r>
    </w:p>
    <w:p w14:paraId="4BB637ED" w14:textId="2F47225A" w:rsidR="00D0177D" w:rsidRPr="00F72DCA"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Constate </w:t>
      </w:r>
      <w:r>
        <w:rPr>
          <w:iCs/>
          <w:kern w:val="22"/>
          <w:szCs w:val="22"/>
          <w:lang w:val="fr-CA"/>
        </w:rPr>
        <w:t xml:space="preserve">qu’un nombre limité de Parties au Protocole de Cartagena sur la prévention des risques biotechnologiques ont ratifié le </w:t>
      </w:r>
      <w:r w:rsidR="00935F1C">
        <w:rPr>
          <w:iCs/>
          <w:kern w:val="22"/>
          <w:szCs w:val="22"/>
          <w:lang w:val="fr-CA"/>
        </w:rPr>
        <w:t xml:space="preserve">Protocole additionnel de Nagoya </w:t>
      </w:r>
      <w:r w:rsidR="00935F1C" w:rsidRPr="00935F1C">
        <w:rPr>
          <w:snapToGrid w:val="0"/>
          <w:kern w:val="22"/>
          <w:szCs w:val="22"/>
          <w:lang w:val="fr-FR"/>
        </w:rPr>
        <w:t>–</w:t>
      </w:r>
      <w:r w:rsidR="00935F1C" w:rsidRPr="00935F1C">
        <w:rPr>
          <w:snapToGrid w:val="0"/>
          <w:kern w:val="22"/>
          <w:szCs w:val="22"/>
          <w:lang w:val="fr-FR"/>
        </w:rPr>
        <w:t xml:space="preserve"> </w:t>
      </w:r>
      <w:r>
        <w:rPr>
          <w:iCs/>
          <w:kern w:val="22"/>
          <w:szCs w:val="22"/>
          <w:lang w:val="fr-CA"/>
        </w:rPr>
        <w:t>Kuala Lumpur sur la responsabilité et la réparation</w:t>
      </w:r>
      <w:r>
        <w:rPr>
          <w:kern w:val="22"/>
          <w:szCs w:val="22"/>
          <w:lang w:val="fr-CA"/>
        </w:rPr>
        <w:t>;</w:t>
      </w:r>
    </w:p>
    <w:p w14:paraId="288C52B8" w14:textId="56FDAAB0"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Se félicite </w:t>
      </w:r>
      <w:r>
        <w:rPr>
          <w:iCs/>
          <w:kern w:val="22"/>
          <w:szCs w:val="22"/>
          <w:lang w:val="fr-CA"/>
        </w:rPr>
        <w:t xml:space="preserve">des progrès accomplis par les Parties au Protocole additionnel en ce qui concerne l’adoption de mesures pour appliquer le Protocole additionnel, tout </w:t>
      </w:r>
      <w:r w:rsidRPr="00935F1C">
        <w:rPr>
          <w:iCs/>
          <w:kern w:val="22"/>
          <w:szCs w:val="22"/>
          <w:lang w:val="fr-CA"/>
        </w:rPr>
        <w:t>en</w:t>
      </w:r>
      <w:r w:rsidRPr="00935F1C">
        <w:rPr>
          <w:kern w:val="22"/>
          <w:szCs w:val="22"/>
          <w:lang w:val="fr-CA"/>
        </w:rPr>
        <w:t xml:space="preserve"> reconnaissant</w:t>
      </w:r>
      <w:r w:rsidRPr="00935F1C">
        <w:rPr>
          <w:iCs/>
          <w:kern w:val="22"/>
          <w:szCs w:val="22"/>
          <w:lang w:val="fr-CA"/>
        </w:rPr>
        <w:t xml:space="preserve"> le</w:t>
      </w:r>
      <w:r>
        <w:rPr>
          <w:iCs/>
          <w:kern w:val="22"/>
          <w:szCs w:val="22"/>
          <w:lang w:val="fr-CA"/>
        </w:rPr>
        <w:t xml:space="preserve"> besoin de soutenir les Parties au Protocole additionnel qui rencontrent des difficultés à cet égard</w:t>
      </w:r>
      <w:r>
        <w:rPr>
          <w:kern w:val="22"/>
          <w:szCs w:val="22"/>
          <w:lang w:val="fr-CA"/>
        </w:rPr>
        <w:t>;</w:t>
      </w:r>
    </w:p>
    <w:p w14:paraId="2A4E2B98" w14:textId="5C8A1387" w:rsidR="00D0177D" w:rsidRPr="00F72DCA"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Prie </w:t>
      </w:r>
      <w:r>
        <w:rPr>
          <w:iCs/>
          <w:kern w:val="22"/>
          <w:szCs w:val="22"/>
          <w:lang w:val="fr-CA"/>
        </w:rPr>
        <w:t xml:space="preserve">la Secrétaire exécutive, dans la limite des ressources disponibles, d’entreprendre des activités pour soutenir les efforts déployés par les Parties en matière de ratification, </w:t>
      </w:r>
      <w:r w:rsidRPr="00935F1C">
        <w:rPr>
          <w:iCs/>
          <w:kern w:val="22"/>
          <w:szCs w:val="22"/>
          <w:lang w:val="fr-CA"/>
        </w:rPr>
        <w:t xml:space="preserve">et </w:t>
      </w:r>
      <w:r w:rsidRPr="00935F1C">
        <w:rPr>
          <w:kern w:val="22"/>
          <w:szCs w:val="22"/>
          <w:lang w:val="fr-CA"/>
        </w:rPr>
        <w:t>invite</w:t>
      </w:r>
      <w:r w:rsidRPr="00935F1C">
        <w:rPr>
          <w:iCs/>
          <w:kern w:val="22"/>
          <w:szCs w:val="22"/>
          <w:lang w:val="fr-CA"/>
        </w:rPr>
        <w:t xml:space="preserve"> d’autres</w:t>
      </w:r>
      <w:r>
        <w:rPr>
          <w:iCs/>
          <w:kern w:val="22"/>
          <w:szCs w:val="22"/>
          <w:lang w:val="fr-CA"/>
        </w:rPr>
        <w:t xml:space="preserve"> partenaires à entreprendre des activités de sensibilisation relatives au Protocole additionnel</w:t>
      </w:r>
      <w:r>
        <w:rPr>
          <w:kern w:val="22"/>
          <w:szCs w:val="22"/>
          <w:lang w:val="fr-CA"/>
        </w:rPr>
        <w:t>;</w:t>
      </w:r>
    </w:p>
    <w:p w14:paraId="13EB3C64" w14:textId="77777777" w:rsidR="00D0177D" w:rsidRPr="00AC69F1" w:rsidRDefault="00D0177D" w:rsidP="00D0177D">
      <w:pPr>
        <w:suppressLineNumbers/>
        <w:tabs>
          <w:tab w:val="num" w:pos="2591"/>
        </w:tabs>
        <w:suppressAutoHyphens/>
        <w:jc w:val="center"/>
        <w:rPr>
          <w:b/>
          <w:bCs/>
          <w:kern w:val="22"/>
          <w:lang w:val="fr-CA"/>
        </w:rPr>
      </w:pPr>
      <w:r w:rsidRPr="00AC69F1">
        <w:rPr>
          <w:b/>
          <w:bCs/>
          <w:kern w:val="22"/>
          <w:lang w:val="fr-CA"/>
        </w:rPr>
        <w:t>F.    Manipulation, transport, emballage et identification</w:t>
      </w:r>
    </w:p>
    <w:p w14:paraId="42787775" w14:textId="17857313" w:rsidR="00D0177D" w:rsidRDefault="002D1538" w:rsidP="00D0177D">
      <w:pPr>
        <w:numPr>
          <w:ilvl w:val="2"/>
          <w:numId w:val="19"/>
        </w:numPr>
        <w:suppressLineNumbers/>
        <w:tabs>
          <w:tab w:val="clear" w:pos="1440"/>
        </w:tabs>
        <w:suppressAutoHyphens/>
        <w:spacing w:before="120" w:after="120"/>
        <w:ind w:left="0" w:firstLine="720"/>
        <w:rPr>
          <w:i/>
          <w:iCs/>
          <w:kern w:val="22"/>
          <w:szCs w:val="22"/>
          <w:lang w:val="fr-CA"/>
        </w:rPr>
      </w:pPr>
      <w:r>
        <w:rPr>
          <w:i/>
          <w:iCs/>
          <w:kern w:val="22"/>
          <w:szCs w:val="22"/>
          <w:lang w:val="fr-CA"/>
        </w:rPr>
        <w:lastRenderedPageBreak/>
        <w:t>Se félicite</w:t>
      </w:r>
      <w:r w:rsidR="00D0177D">
        <w:rPr>
          <w:i/>
          <w:iCs/>
          <w:kern w:val="22"/>
          <w:szCs w:val="22"/>
          <w:lang w:val="fr-CA"/>
        </w:rPr>
        <w:t xml:space="preserve"> </w:t>
      </w:r>
      <w:r>
        <w:rPr>
          <w:iCs/>
          <w:kern w:val="22"/>
          <w:szCs w:val="22"/>
          <w:lang w:val="fr-CA"/>
        </w:rPr>
        <w:t>du fait q</w:t>
      </w:r>
      <w:r w:rsidR="00D0177D">
        <w:rPr>
          <w:iCs/>
          <w:kern w:val="22"/>
          <w:szCs w:val="22"/>
          <w:lang w:val="fr-CA"/>
        </w:rPr>
        <w:t xml:space="preserve">ue </w:t>
      </w:r>
      <w:r w:rsidR="000C10B1">
        <w:rPr>
          <w:iCs/>
          <w:kern w:val="22"/>
          <w:szCs w:val="22"/>
          <w:lang w:val="fr-CA"/>
        </w:rPr>
        <w:t>presque toutes les Parties aie</w:t>
      </w:r>
      <w:r w:rsidR="00D0177D">
        <w:rPr>
          <w:iCs/>
          <w:kern w:val="22"/>
          <w:szCs w:val="22"/>
          <w:lang w:val="fr-CA"/>
        </w:rPr>
        <w:t xml:space="preserve">nt assuré une formation des employés de laboratoire en matière de détection des organismes vivants modifiés, tout </w:t>
      </w:r>
      <w:r w:rsidR="00D0177D" w:rsidRPr="002D1538">
        <w:rPr>
          <w:iCs/>
          <w:kern w:val="22"/>
          <w:szCs w:val="22"/>
          <w:lang w:val="fr-CA"/>
        </w:rPr>
        <w:t xml:space="preserve">en </w:t>
      </w:r>
      <w:r w:rsidR="00D0177D" w:rsidRPr="002D1538">
        <w:rPr>
          <w:kern w:val="22"/>
          <w:szCs w:val="22"/>
          <w:lang w:val="fr-CA"/>
        </w:rPr>
        <w:t>reconnaissant</w:t>
      </w:r>
      <w:r w:rsidR="00D0177D">
        <w:rPr>
          <w:iCs/>
          <w:kern w:val="22"/>
          <w:szCs w:val="22"/>
          <w:lang w:val="fr-CA"/>
        </w:rPr>
        <w:t xml:space="preserve"> qu’environ la moitié de ces Parties ont indiqué qu’une forma</w:t>
      </w:r>
      <w:r>
        <w:rPr>
          <w:iCs/>
          <w:kern w:val="22"/>
          <w:szCs w:val="22"/>
          <w:lang w:val="fr-CA"/>
        </w:rPr>
        <w:t>tion supplémentaire était requise</w:t>
      </w:r>
      <w:r w:rsidR="00D0177D">
        <w:rPr>
          <w:iCs/>
          <w:kern w:val="22"/>
          <w:szCs w:val="22"/>
          <w:lang w:val="fr-CA"/>
        </w:rPr>
        <w:t>;</w:t>
      </w:r>
    </w:p>
    <w:p w14:paraId="228BA703" w14:textId="15522571" w:rsidR="00D0177D" w:rsidRDefault="00D0177D" w:rsidP="00D0177D">
      <w:pPr>
        <w:numPr>
          <w:ilvl w:val="2"/>
          <w:numId w:val="19"/>
        </w:numPr>
        <w:suppressLineNumbers/>
        <w:tabs>
          <w:tab w:val="clear" w:pos="1440"/>
        </w:tabs>
        <w:suppressAutoHyphens/>
        <w:spacing w:before="120" w:after="120"/>
        <w:ind w:left="0" w:firstLine="720"/>
        <w:rPr>
          <w:i/>
          <w:iCs/>
          <w:kern w:val="22"/>
          <w:szCs w:val="22"/>
          <w:lang w:val="fr-CA"/>
        </w:rPr>
      </w:pPr>
      <w:r>
        <w:rPr>
          <w:i/>
          <w:iCs/>
          <w:kern w:val="22"/>
          <w:szCs w:val="22"/>
          <w:lang w:val="fr-CA"/>
        </w:rPr>
        <w:t xml:space="preserve">Constate </w:t>
      </w:r>
      <w:r>
        <w:rPr>
          <w:iCs/>
          <w:kern w:val="22"/>
          <w:szCs w:val="22"/>
          <w:lang w:val="fr-CA"/>
        </w:rPr>
        <w:t xml:space="preserve">que la plupart des Parties ont déclaré avoir un accès fiable à des </w:t>
      </w:r>
      <w:r w:rsidR="002D1538">
        <w:rPr>
          <w:iCs/>
          <w:kern w:val="22"/>
          <w:szCs w:val="22"/>
          <w:lang w:val="fr-CA"/>
        </w:rPr>
        <w:t xml:space="preserve">installations de </w:t>
      </w:r>
      <w:r>
        <w:rPr>
          <w:iCs/>
          <w:kern w:val="22"/>
          <w:szCs w:val="22"/>
          <w:lang w:val="fr-CA"/>
        </w:rPr>
        <w:t xml:space="preserve">laboratoires, </w:t>
      </w:r>
      <w:r w:rsidRPr="00DB53B7">
        <w:rPr>
          <w:iCs/>
          <w:kern w:val="22"/>
          <w:szCs w:val="22"/>
          <w:lang w:val="fr-CA"/>
        </w:rPr>
        <w:t xml:space="preserve">mais </w:t>
      </w:r>
      <w:r w:rsidRPr="002D1538">
        <w:rPr>
          <w:kern w:val="22"/>
          <w:szCs w:val="22"/>
          <w:lang w:val="fr-CA"/>
        </w:rPr>
        <w:t>constate avec préoccupation</w:t>
      </w:r>
      <w:r>
        <w:rPr>
          <w:iCs/>
          <w:kern w:val="22"/>
          <w:szCs w:val="22"/>
          <w:lang w:val="fr-CA"/>
        </w:rPr>
        <w:t xml:space="preserve"> que d’autres Parties </w:t>
      </w:r>
      <w:r w:rsidR="002D1538">
        <w:rPr>
          <w:iCs/>
          <w:kern w:val="22"/>
          <w:szCs w:val="22"/>
          <w:lang w:val="fr-CA"/>
        </w:rPr>
        <w:t>continuent de rencontrer des difficultés et qu’un soutien doit être apporté à cet égard</w:t>
      </w:r>
      <w:r>
        <w:rPr>
          <w:iCs/>
          <w:kern w:val="22"/>
          <w:szCs w:val="22"/>
          <w:lang w:val="fr-CA"/>
        </w:rPr>
        <w:t>;</w:t>
      </w:r>
    </w:p>
    <w:p w14:paraId="6292D9F5" w14:textId="77777777" w:rsidR="00D0177D" w:rsidRDefault="00D0177D" w:rsidP="00D0177D">
      <w:pPr>
        <w:pStyle w:val="ListParagraph"/>
        <w:suppressLineNumbers/>
        <w:suppressAutoHyphens/>
        <w:ind w:left="0"/>
        <w:jc w:val="center"/>
        <w:rPr>
          <w:kern w:val="22"/>
          <w:lang w:val="fr-CA"/>
        </w:rPr>
      </w:pPr>
      <w:r>
        <w:rPr>
          <w:b/>
          <w:bCs/>
          <w:kern w:val="22"/>
          <w:szCs w:val="22"/>
          <w:lang w:val="fr-CA"/>
        </w:rPr>
        <w:t>G.</w:t>
      </w:r>
      <w:r>
        <w:rPr>
          <w:b/>
          <w:bCs/>
          <w:kern w:val="22"/>
          <w:szCs w:val="22"/>
          <w:lang w:val="fr-CA"/>
        </w:rPr>
        <w:tab/>
        <w:t>Considérations socioéconomiques</w:t>
      </w:r>
    </w:p>
    <w:p w14:paraId="36C06ADD" w14:textId="558AA87A"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Constate </w:t>
      </w:r>
      <w:r>
        <w:rPr>
          <w:iCs/>
          <w:kern w:val="22"/>
          <w:szCs w:val="22"/>
          <w:lang w:val="fr-CA"/>
        </w:rPr>
        <w:t>qu’environ la moitié des Parties ont mis en place de</w:t>
      </w:r>
      <w:r w:rsidR="002D1538">
        <w:rPr>
          <w:iCs/>
          <w:kern w:val="22"/>
          <w:szCs w:val="22"/>
          <w:lang w:val="fr-CA"/>
        </w:rPr>
        <w:t xml:space="preserve">s approches ou </w:t>
      </w:r>
      <w:r>
        <w:rPr>
          <w:iCs/>
          <w:kern w:val="22"/>
          <w:szCs w:val="22"/>
          <w:lang w:val="fr-CA"/>
        </w:rPr>
        <w:t>e</w:t>
      </w:r>
      <w:r w:rsidR="002D1538">
        <w:rPr>
          <w:iCs/>
          <w:kern w:val="22"/>
          <w:szCs w:val="22"/>
          <w:lang w:val="fr-CA"/>
        </w:rPr>
        <w:t>xigences spécifiques indiqua</w:t>
      </w:r>
      <w:r>
        <w:rPr>
          <w:iCs/>
          <w:kern w:val="22"/>
          <w:szCs w:val="22"/>
          <w:lang w:val="fr-CA"/>
        </w:rPr>
        <w:t>nt comment les considérations socioéconomiques devraient être prises en compte dans les processus décisionnels concernant les organismes vivants modifiés</w:t>
      </w:r>
      <w:r>
        <w:rPr>
          <w:kern w:val="22"/>
          <w:szCs w:val="22"/>
          <w:lang w:val="fr-CA"/>
        </w:rPr>
        <w:t>;</w:t>
      </w:r>
    </w:p>
    <w:p w14:paraId="0ED0787B" w14:textId="436E2C8F"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Constate également </w:t>
      </w:r>
      <w:r>
        <w:rPr>
          <w:iCs/>
          <w:kern w:val="22"/>
          <w:szCs w:val="22"/>
          <w:lang w:val="fr-CA"/>
        </w:rPr>
        <w:t>que davantage d’informations sur les méthodologies et les approches devraient être recueillies et partagées, et</w:t>
      </w:r>
      <w:r w:rsidRPr="00DB53B7">
        <w:rPr>
          <w:iCs/>
          <w:kern w:val="22"/>
          <w:szCs w:val="22"/>
          <w:lang w:val="fr-CA"/>
        </w:rPr>
        <w:t xml:space="preserve"> encourage</w:t>
      </w:r>
      <w:r>
        <w:rPr>
          <w:i/>
          <w:iCs/>
          <w:kern w:val="22"/>
          <w:szCs w:val="22"/>
          <w:lang w:val="fr-CA"/>
        </w:rPr>
        <w:t xml:space="preserve"> </w:t>
      </w:r>
      <w:r>
        <w:rPr>
          <w:iCs/>
          <w:kern w:val="22"/>
          <w:szCs w:val="22"/>
          <w:lang w:val="fr-CA"/>
        </w:rPr>
        <w:t xml:space="preserve">les Parties à partager les recherches et les informations concernant les considérations socioéconomiques, afin d’aider les Parties qui le souhaitent à prendre en compte les considérations socioéconomiques, </w:t>
      </w:r>
      <w:r>
        <w:rPr>
          <w:iCs/>
          <w:kern w:val="22"/>
          <w:szCs w:val="22"/>
          <w:lang w:val="fr-FR"/>
        </w:rPr>
        <w:t xml:space="preserve">conformément </w:t>
      </w:r>
      <w:r>
        <w:rPr>
          <w:iCs/>
          <w:kern w:val="22"/>
          <w:szCs w:val="22"/>
          <w:lang w:val="fr-CA"/>
        </w:rPr>
        <w:t>à l’article 26</w:t>
      </w:r>
      <w:r>
        <w:rPr>
          <w:iCs/>
          <w:kern w:val="22"/>
          <w:szCs w:val="22"/>
          <w:lang w:val="fr-FR"/>
        </w:rPr>
        <w:t xml:space="preserve"> et à l’article 20</w:t>
      </w:r>
      <w:r>
        <w:rPr>
          <w:iCs/>
          <w:kern w:val="22"/>
          <w:szCs w:val="22"/>
          <w:lang w:val="fr-CA"/>
        </w:rPr>
        <w:t xml:space="preserve"> du Protocole</w:t>
      </w:r>
      <w:r>
        <w:rPr>
          <w:kern w:val="22"/>
          <w:szCs w:val="22"/>
          <w:lang w:val="fr-CA"/>
        </w:rPr>
        <w:t>;</w:t>
      </w:r>
    </w:p>
    <w:p w14:paraId="6EAAB224" w14:textId="05F904DA"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Encourage </w:t>
      </w:r>
      <w:r w:rsidR="002D1538">
        <w:rPr>
          <w:iCs/>
          <w:kern w:val="22"/>
          <w:szCs w:val="22"/>
          <w:lang w:val="fr-CA"/>
        </w:rPr>
        <w:t>les Parties à promouvoi</w:t>
      </w:r>
      <w:r>
        <w:rPr>
          <w:iCs/>
          <w:kern w:val="22"/>
          <w:szCs w:val="22"/>
          <w:lang w:val="fr-CA"/>
        </w:rPr>
        <w:t xml:space="preserve">r la participation des peuples autochtones et des communautés locales, des femmes et des jeunes, lorsqu’elles mènent des recherches sur les </w:t>
      </w:r>
      <w:r w:rsidR="002D1538">
        <w:rPr>
          <w:iCs/>
          <w:kern w:val="22"/>
          <w:szCs w:val="22"/>
          <w:lang w:val="fr-CA"/>
        </w:rPr>
        <w:t>considérations socioéconomiques</w:t>
      </w:r>
      <w:r>
        <w:rPr>
          <w:iCs/>
          <w:kern w:val="22"/>
          <w:szCs w:val="22"/>
          <w:lang w:val="fr-CA"/>
        </w:rPr>
        <w:t>;</w:t>
      </w:r>
    </w:p>
    <w:p w14:paraId="2580F668" w14:textId="40932877" w:rsidR="00D0177D" w:rsidRDefault="00D0177D" w:rsidP="00D0177D">
      <w:pPr>
        <w:pStyle w:val="ListParagraph"/>
        <w:suppressLineNumbers/>
        <w:tabs>
          <w:tab w:val="num" w:pos="2591"/>
        </w:tabs>
        <w:suppressAutoHyphens/>
        <w:ind w:left="1440" w:hanging="720"/>
        <w:jc w:val="left"/>
        <w:rPr>
          <w:b/>
          <w:bCs/>
          <w:kern w:val="22"/>
          <w:lang w:val="fr-CA"/>
        </w:rPr>
      </w:pPr>
      <w:r>
        <w:rPr>
          <w:b/>
          <w:bCs/>
          <w:kern w:val="22"/>
          <w:lang w:val="fr-CA"/>
        </w:rPr>
        <w:t xml:space="preserve">H. </w:t>
      </w:r>
      <w:r>
        <w:rPr>
          <w:b/>
          <w:bCs/>
          <w:kern w:val="22"/>
          <w:lang w:val="fr-CA"/>
        </w:rPr>
        <w:tab/>
        <w:t>Transit, utilisation</w:t>
      </w:r>
      <w:r w:rsidR="002D1538">
        <w:rPr>
          <w:b/>
          <w:bCs/>
          <w:kern w:val="22"/>
          <w:lang w:val="fr-CA"/>
        </w:rPr>
        <w:t>s</w:t>
      </w:r>
      <w:r>
        <w:rPr>
          <w:b/>
          <w:bCs/>
          <w:kern w:val="22"/>
          <w:lang w:val="fr-CA"/>
        </w:rPr>
        <w:t xml:space="preserve"> en milieu confiné, mouvements transfrontières non intentionnels et mesures d’urgence</w:t>
      </w:r>
    </w:p>
    <w:p w14:paraId="5F79B9D6" w14:textId="0906A41D" w:rsidR="00D0177D" w:rsidRDefault="002D1538" w:rsidP="00D0177D">
      <w:pPr>
        <w:numPr>
          <w:ilvl w:val="2"/>
          <w:numId w:val="19"/>
        </w:numPr>
        <w:suppressLineNumbers/>
        <w:tabs>
          <w:tab w:val="clear" w:pos="1440"/>
        </w:tabs>
        <w:suppressAutoHyphens/>
        <w:spacing w:before="120" w:after="120"/>
        <w:ind w:left="0" w:firstLine="720"/>
        <w:rPr>
          <w:spacing w:val="-2"/>
          <w:kern w:val="22"/>
          <w:lang w:val="fr-CA"/>
        </w:rPr>
      </w:pPr>
      <w:r>
        <w:rPr>
          <w:i/>
          <w:iCs/>
          <w:spacing w:val="-2"/>
          <w:kern w:val="22"/>
          <w:szCs w:val="22"/>
          <w:lang w:val="fr-CA"/>
        </w:rPr>
        <w:t>Se félicite</w:t>
      </w:r>
      <w:r w:rsidR="00D0177D">
        <w:rPr>
          <w:i/>
          <w:iCs/>
          <w:spacing w:val="-2"/>
          <w:kern w:val="22"/>
          <w:szCs w:val="22"/>
          <w:lang w:val="fr-CA"/>
        </w:rPr>
        <w:t xml:space="preserve"> </w:t>
      </w:r>
      <w:r>
        <w:rPr>
          <w:iCs/>
          <w:spacing w:val="-2"/>
          <w:kern w:val="22"/>
          <w:szCs w:val="22"/>
          <w:lang w:val="fr-CA"/>
        </w:rPr>
        <w:t>du fait q</w:t>
      </w:r>
      <w:r w:rsidR="00D0177D">
        <w:rPr>
          <w:iCs/>
          <w:spacing w:val="-2"/>
          <w:kern w:val="22"/>
          <w:szCs w:val="22"/>
          <w:lang w:val="fr-CA"/>
        </w:rPr>
        <w:t>ue tr</w:t>
      </w:r>
      <w:r w:rsidR="000C10B1">
        <w:rPr>
          <w:iCs/>
          <w:spacing w:val="-2"/>
          <w:kern w:val="22"/>
          <w:szCs w:val="22"/>
          <w:lang w:val="fr-CA"/>
        </w:rPr>
        <w:t>ois quarts des Parties environ aie</w:t>
      </w:r>
      <w:r w:rsidR="00D0177D">
        <w:rPr>
          <w:iCs/>
          <w:spacing w:val="-2"/>
          <w:kern w:val="22"/>
          <w:szCs w:val="22"/>
          <w:lang w:val="fr-CA"/>
        </w:rPr>
        <w:t>nt mis en place des mesures</w:t>
      </w:r>
      <w:r>
        <w:rPr>
          <w:iCs/>
          <w:spacing w:val="-2"/>
          <w:kern w:val="22"/>
          <w:szCs w:val="22"/>
          <w:lang w:val="fr-CA"/>
        </w:rPr>
        <w:t xml:space="preserve"> pour réglementer les </w:t>
      </w:r>
      <w:r w:rsidR="00D0177D">
        <w:rPr>
          <w:iCs/>
          <w:spacing w:val="-2"/>
          <w:kern w:val="22"/>
          <w:szCs w:val="22"/>
          <w:lang w:val="fr-CA"/>
        </w:rPr>
        <w:t>utilisation</w:t>
      </w:r>
      <w:r>
        <w:rPr>
          <w:iCs/>
          <w:spacing w:val="-2"/>
          <w:kern w:val="22"/>
          <w:szCs w:val="22"/>
          <w:lang w:val="fr-CA"/>
        </w:rPr>
        <w:t>s</w:t>
      </w:r>
      <w:r w:rsidR="00E05CB6">
        <w:rPr>
          <w:iCs/>
          <w:spacing w:val="-2"/>
          <w:kern w:val="22"/>
          <w:szCs w:val="22"/>
          <w:lang w:val="fr-CA"/>
        </w:rPr>
        <w:t xml:space="preserve"> en milieu confiné d’</w:t>
      </w:r>
      <w:r w:rsidR="00D0177D">
        <w:rPr>
          <w:iCs/>
          <w:spacing w:val="-2"/>
          <w:kern w:val="22"/>
          <w:szCs w:val="22"/>
          <w:lang w:val="fr-CA"/>
        </w:rPr>
        <w:t>or</w:t>
      </w:r>
      <w:r>
        <w:rPr>
          <w:iCs/>
          <w:spacing w:val="-2"/>
          <w:kern w:val="22"/>
          <w:szCs w:val="22"/>
          <w:lang w:val="fr-CA"/>
        </w:rPr>
        <w:t>ganismes vi</w:t>
      </w:r>
      <w:r w:rsidR="00E05CB6">
        <w:rPr>
          <w:iCs/>
          <w:spacing w:val="-2"/>
          <w:kern w:val="22"/>
          <w:szCs w:val="22"/>
          <w:lang w:val="fr-CA"/>
        </w:rPr>
        <w:t>vants modifiés et le transit d’</w:t>
      </w:r>
      <w:r w:rsidR="00D0177D">
        <w:rPr>
          <w:iCs/>
          <w:spacing w:val="-2"/>
          <w:kern w:val="22"/>
          <w:szCs w:val="22"/>
          <w:lang w:val="fr-CA"/>
        </w:rPr>
        <w:t>organis</w:t>
      </w:r>
      <w:r>
        <w:rPr>
          <w:iCs/>
          <w:spacing w:val="-2"/>
          <w:kern w:val="22"/>
          <w:szCs w:val="22"/>
          <w:lang w:val="fr-CA"/>
        </w:rPr>
        <w:t>mes vivants modifiés</w:t>
      </w:r>
      <w:r w:rsidR="00D0177D">
        <w:rPr>
          <w:iCs/>
          <w:spacing w:val="-2"/>
          <w:kern w:val="22"/>
          <w:szCs w:val="22"/>
          <w:lang w:val="fr-CA"/>
        </w:rPr>
        <w:t>; </w:t>
      </w:r>
    </w:p>
    <w:p w14:paraId="5BDB4093" w14:textId="057EFAFA" w:rsidR="00D0177D" w:rsidRDefault="002D1538" w:rsidP="00D0177D">
      <w:pPr>
        <w:numPr>
          <w:ilvl w:val="2"/>
          <w:numId w:val="19"/>
        </w:numPr>
        <w:suppressLineNumbers/>
        <w:tabs>
          <w:tab w:val="clear" w:pos="1440"/>
        </w:tabs>
        <w:suppressAutoHyphens/>
        <w:spacing w:before="120" w:after="120"/>
        <w:ind w:left="0" w:firstLine="720"/>
        <w:rPr>
          <w:kern w:val="22"/>
          <w:lang w:val="fr-CA"/>
        </w:rPr>
      </w:pPr>
      <w:r>
        <w:rPr>
          <w:i/>
          <w:iCs/>
          <w:spacing w:val="-2"/>
          <w:kern w:val="22"/>
          <w:szCs w:val="22"/>
          <w:lang w:val="fr-CA"/>
        </w:rPr>
        <w:t xml:space="preserve">Se félicite </w:t>
      </w:r>
      <w:r w:rsidR="00D0177D">
        <w:rPr>
          <w:i/>
          <w:iCs/>
          <w:spacing w:val="-2"/>
          <w:kern w:val="22"/>
          <w:szCs w:val="22"/>
          <w:lang w:val="fr-CA"/>
        </w:rPr>
        <w:t xml:space="preserve">également </w:t>
      </w:r>
      <w:r>
        <w:rPr>
          <w:iCs/>
          <w:spacing w:val="-2"/>
          <w:kern w:val="22"/>
          <w:szCs w:val="22"/>
          <w:lang w:val="fr-CA"/>
        </w:rPr>
        <w:t>du fait q</w:t>
      </w:r>
      <w:r w:rsidR="00D0177D">
        <w:rPr>
          <w:iCs/>
          <w:spacing w:val="-2"/>
          <w:kern w:val="22"/>
          <w:szCs w:val="22"/>
          <w:lang w:val="fr-CA"/>
        </w:rPr>
        <w:t xml:space="preserve">ue </w:t>
      </w:r>
      <w:r w:rsidR="00D0177D" w:rsidRPr="00934116">
        <w:rPr>
          <w:iCs/>
          <w:spacing w:val="-2"/>
          <w:kern w:val="22"/>
          <w:szCs w:val="22"/>
          <w:lang w:val="fr-CA"/>
        </w:rPr>
        <w:t>près des deux tiers</w:t>
      </w:r>
      <w:r w:rsidR="00D0177D">
        <w:rPr>
          <w:iCs/>
          <w:spacing w:val="-2"/>
          <w:kern w:val="22"/>
          <w:szCs w:val="22"/>
          <w:lang w:val="fr-CA"/>
        </w:rPr>
        <w:t xml:space="preserve"> des Parties disposent de capacités pour prendre des mesures adéquates en cas de mouvements transfrontières non intentionnels d’organismes vivants modifiés</w:t>
      </w:r>
      <w:r w:rsidR="00D0177D">
        <w:rPr>
          <w:spacing w:val="-2"/>
          <w:kern w:val="22"/>
          <w:szCs w:val="22"/>
          <w:lang w:val="fr-CA"/>
        </w:rPr>
        <w:t>;</w:t>
      </w:r>
    </w:p>
    <w:p w14:paraId="05492E95" w14:textId="01043950"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snapToGrid w:val="0"/>
          <w:kern w:val="22"/>
          <w:szCs w:val="22"/>
          <w:lang w:val="fr-CA"/>
        </w:rPr>
        <w:t>Encourage</w:t>
      </w:r>
      <w:r>
        <w:rPr>
          <w:snapToGrid w:val="0"/>
          <w:kern w:val="22"/>
          <w:szCs w:val="22"/>
          <w:lang w:val="fr-CA"/>
        </w:rPr>
        <w:t xml:space="preserve"> les Parties qui ne l’ont pas encore fait à adopter les mesures requises pour réglementer </w:t>
      </w:r>
      <w:r w:rsidR="00E05CB6">
        <w:rPr>
          <w:iCs/>
          <w:spacing w:val="-2"/>
          <w:kern w:val="22"/>
          <w:szCs w:val="22"/>
          <w:lang w:val="fr-CA"/>
        </w:rPr>
        <w:t xml:space="preserve">les </w:t>
      </w:r>
      <w:r>
        <w:rPr>
          <w:iCs/>
          <w:spacing w:val="-2"/>
          <w:kern w:val="22"/>
          <w:szCs w:val="22"/>
          <w:lang w:val="fr-CA"/>
        </w:rPr>
        <w:t>utilisation</w:t>
      </w:r>
      <w:r w:rsidR="00E05CB6">
        <w:rPr>
          <w:iCs/>
          <w:spacing w:val="-2"/>
          <w:kern w:val="22"/>
          <w:szCs w:val="22"/>
          <w:lang w:val="fr-CA"/>
        </w:rPr>
        <w:t>s</w:t>
      </w:r>
      <w:r>
        <w:rPr>
          <w:iCs/>
          <w:spacing w:val="-2"/>
          <w:kern w:val="22"/>
          <w:szCs w:val="22"/>
          <w:lang w:val="fr-CA"/>
        </w:rPr>
        <w:t xml:space="preserve"> en milieu confiné d’organismes vivants modifiés et</w:t>
      </w:r>
      <w:r w:rsidR="00E05CB6">
        <w:rPr>
          <w:iCs/>
          <w:spacing w:val="-2"/>
          <w:kern w:val="22"/>
          <w:szCs w:val="22"/>
          <w:lang w:val="fr-CA"/>
        </w:rPr>
        <w:t xml:space="preserve"> le transit d’</w:t>
      </w:r>
      <w:r>
        <w:rPr>
          <w:iCs/>
          <w:spacing w:val="-2"/>
          <w:kern w:val="22"/>
          <w:szCs w:val="22"/>
          <w:lang w:val="fr-CA"/>
        </w:rPr>
        <w:t>organi</w:t>
      </w:r>
      <w:r w:rsidR="00E05CB6">
        <w:rPr>
          <w:iCs/>
          <w:spacing w:val="-2"/>
          <w:kern w:val="22"/>
          <w:szCs w:val="22"/>
          <w:lang w:val="fr-CA"/>
        </w:rPr>
        <w:t>smes vivants modifiés</w:t>
      </w:r>
      <w:r>
        <w:rPr>
          <w:snapToGrid w:val="0"/>
          <w:kern w:val="22"/>
          <w:szCs w:val="22"/>
          <w:lang w:val="fr-CA"/>
        </w:rPr>
        <w:t xml:space="preserve">, ainsi que les mouvements transfrontières non intentionnels d’organismes vivants modifiés, et </w:t>
      </w:r>
      <w:r w:rsidRPr="00E05CB6">
        <w:rPr>
          <w:iCs/>
          <w:snapToGrid w:val="0"/>
          <w:kern w:val="22"/>
          <w:szCs w:val="22"/>
          <w:lang w:val="fr-CA"/>
        </w:rPr>
        <w:t>reconnaît</w:t>
      </w:r>
      <w:r w:rsidRPr="007C3BB2">
        <w:rPr>
          <w:i/>
          <w:iCs/>
          <w:snapToGrid w:val="0"/>
          <w:kern w:val="22"/>
          <w:szCs w:val="22"/>
          <w:lang w:val="fr-CA"/>
        </w:rPr>
        <w:t xml:space="preserve"> </w:t>
      </w:r>
      <w:r>
        <w:rPr>
          <w:snapToGrid w:val="0"/>
          <w:kern w:val="22"/>
          <w:szCs w:val="22"/>
          <w:lang w:val="fr-CA"/>
        </w:rPr>
        <w:t xml:space="preserve">l’importance d’aider les Parties à adopter ces mesures et à </w:t>
      </w:r>
      <w:r w:rsidR="00E05CB6">
        <w:rPr>
          <w:snapToGrid w:val="0"/>
          <w:kern w:val="22"/>
          <w:szCs w:val="22"/>
          <w:lang w:val="fr-CA"/>
        </w:rPr>
        <w:t>créer des capacités à cet égard</w:t>
      </w:r>
      <w:r>
        <w:rPr>
          <w:snapToGrid w:val="0"/>
          <w:kern w:val="22"/>
          <w:szCs w:val="22"/>
          <w:lang w:val="fr-CA"/>
        </w:rPr>
        <w:t>;</w:t>
      </w:r>
    </w:p>
    <w:p w14:paraId="638CC22C" w14:textId="77777777" w:rsidR="00D0177D" w:rsidRDefault="00D0177D" w:rsidP="00D0177D">
      <w:pPr>
        <w:pStyle w:val="ListParagraph"/>
        <w:suppressLineNumbers/>
        <w:suppressAutoHyphens/>
        <w:ind w:left="0"/>
        <w:jc w:val="center"/>
        <w:rPr>
          <w:kern w:val="22"/>
          <w:lang w:val="fr-CA"/>
        </w:rPr>
      </w:pPr>
      <w:r>
        <w:rPr>
          <w:b/>
          <w:bCs/>
          <w:kern w:val="22"/>
          <w:lang w:val="fr-CA"/>
        </w:rPr>
        <w:t xml:space="preserve">I. </w:t>
      </w:r>
      <w:r>
        <w:rPr>
          <w:b/>
          <w:bCs/>
          <w:kern w:val="22"/>
          <w:lang w:val="fr-CA"/>
        </w:rPr>
        <w:tab/>
        <w:t>Partage d’informations</w:t>
      </w:r>
    </w:p>
    <w:p w14:paraId="2A020D18" w14:textId="0B9E46AE"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Prend note </w:t>
      </w:r>
      <w:r>
        <w:rPr>
          <w:iCs/>
          <w:kern w:val="22"/>
          <w:szCs w:val="22"/>
          <w:lang w:val="fr-CA"/>
        </w:rPr>
        <w:t xml:space="preserve">des tendances positives en matière </w:t>
      </w:r>
      <w:r w:rsidR="00E05CB6">
        <w:rPr>
          <w:iCs/>
          <w:kern w:val="22"/>
          <w:szCs w:val="22"/>
          <w:lang w:val="fr-CA"/>
        </w:rPr>
        <w:t>de partage d’informations par le biais du</w:t>
      </w:r>
      <w:r>
        <w:rPr>
          <w:iCs/>
          <w:kern w:val="22"/>
          <w:szCs w:val="22"/>
          <w:lang w:val="fr-CA"/>
        </w:rPr>
        <w:t xml:space="preserve"> Centre d’échange pour la prévention des risques biotechnologiques, notamment en ce qui concerne l</w:t>
      </w:r>
      <w:r w:rsidR="00E05CB6">
        <w:rPr>
          <w:iCs/>
          <w:kern w:val="22"/>
          <w:szCs w:val="22"/>
          <w:lang w:val="fr-CA"/>
        </w:rPr>
        <w:t xml:space="preserve">e nombre de données et </w:t>
      </w:r>
      <w:r>
        <w:rPr>
          <w:iCs/>
          <w:kern w:val="22"/>
          <w:szCs w:val="22"/>
          <w:lang w:val="fr-CA"/>
        </w:rPr>
        <w:t>références nationales publiées, ainsi que le nombre de visite</w:t>
      </w:r>
      <w:r w:rsidR="00E05CB6">
        <w:rPr>
          <w:iCs/>
          <w:kern w:val="22"/>
          <w:szCs w:val="22"/>
          <w:lang w:val="fr-CA"/>
        </w:rPr>
        <w:t>ur</w:t>
      </w:r>
      <w:r>
        <w:rPr>
          <w:iCs/>
          <w:kern w:val="22"/>
          <w:szCs w:val="22"/>
          <w:lang w:val="fr-CA"/>
        </w:rPr>
        <w:t>s du Centre</w:t>
      </w:r>
      <w:r w:rsidR="00E05CB6">
        <w:rPr>
          <w:iCs/>
          <w:kern w:val="22"/>
          <w:szCs w:val="22"/>
          <w:lang w:val="fr-CA"/>
        </w:rPr>
        <w:t xml:space="preserve"> d’échange</w:t>
      </w:r>
      <w:r>
        <w:rPr>
          <w:kern w:val="22"/>
          <w:szCs w:val="22"/>
          <w:lang w:val="fr-CA"/>
        </w:rPr>
        <w:t>;</w:t>
      </w:r>
    </w:p>
    <w:p w14:paraId="2BBD15E8" w14:textId="64FBDEB4"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Demande </w:t>
      </w:r>
      <w:r>
        <w:rPr>
          <w:iCs/>
          <w:kern w:val="22"/>
          <w:szCs w:val="22"/>
          <w:lang w:val="fr-CA"/>
        </w:rPr>
        <w:t xml:space="preserve">aux Parties et </w:t>
      </w:r>
      <w:r w:rsidRPr="00DB53B7">
        <w:rPr>
          <w:iCs/>
          <w:kern w:val="22"/>
          <w:szCs w:val="22"/>
          <w:lang w:val="fr-CA"/>
        </w:rPr>
        <w:t>encourage</w:t>
      </w:r>
      <w:r>
        <w:rPr>
          <w:iCs/>
          <w:kern w:val="22"/>
          <w:szCs w:val="22"/>
          <w:lang w:val="fr-CA"/>
        </w:rPr>
        <w:t xml:space="preserve"> les autres utilisateurs à vei</w:t>
      </w:r>
      <w:r w:rsidR="00E05CB6">
        <w:rPr>
          <w:iCs/>
          <w:kern w:val="22"/>
          <w:szCs w:val="22"/>
          <w:lang w:val="fr-CA"/>
        </w:rPr>
        <w:t>ller à ce que les données restent actualisées</w:t>
      </w:r>
      <w:r>
        <w:rPr>
          <w:kern w:val="22"/>
          <w:szCs w:val="22"/>
          <w:lang w:val="fr-CA"/>
        </w:rPr>
        <w:t>;</w:t>
      </w:r>
    </w:p>
    <w:p w14:paraId="0FFE2400" w14:textId="782E8650"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Se félicite </w:t>
      </w:r>
      <w:r>
        <w:rPr>
          <w:iCs/>
          <w:kern w:val="22"/>
          <w:szCs w:val="22"/>
          <w:lang w:val="fr-CA"/>
        </w:rPr>
        <w:t>du fait que</w:t>
      </w:r>
      <w:r w:rsidR="000C10B1">
        <w:rPr>
          <w:iCs/>
          <w:kern w:val="22"/>
          <w:szCs w:val="22"/>
          <w:lang w:val="fr-CA"/>
        </w:rPr>
        <w:t xml:space="preserve"> presque toutes les Parties aien</w:t>
      </w:r>
      <w:r>
        <w:rPr>
          <w:iCs/>
          <w:kern w:val="22"/>
          <w:szCs w:val="22"/>
          <w:lang w:val="fr-CA"/>
        </w:rPr>
        <w:t>t désigné leur correspondant national du Protocole de Cartagena et leur correspondant national du Centre d’échange pour la prévention des risques biotechnologiques</w:t>
      </w:r>
      <w:r>
        <w:rPr>
          <w:kern w:val="22"/>
          <w:szCs w:val="22"/>
          <w:lang w:val="fr-CA"/>
        </w:rPr>
        <w:t>;</w:t>
      </w:r>
    </w:p>
    <w:p w14:paraId="23B7C8C0" w14:textId="58A1FA22"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Prend note </w:t>
      </w:r>
      <w:r>
        <w:rPr>
          <w:iCs/>
          <w:kern w:val="22"/>
          <w:szCs w:val="22"/>
          <w:lang w:val="fr-CA"/>
        </w:rPr>
        <w:t>des progrès accomplis par les Parties dans la désignation de leur point de contact pour la réception des notifications au titre de l’article 17 (mouvements transfrontières non intentionnels et mesures d’urgence</w:t>
      </w:r>
      <w:r w:rsidR="00E05CB6">
        <w:rPr>
          <w:kern w:val="22"/>
          <w:szCs w:val="22"/>
          <w:lang w:val="fr-CA"/>
        </w:rPr>
        <w:t>)</w:t>
      </w:r>
      <w:r>
        <w:rPr>
          <w:kern w:val="22"/>
          <w:szCs w:val="22"/>
          <w:lang w:val="fr-CA"/>
        </w:rPr>
        <w:t>;</w:t>
      </w:r>
    </w:p>
    <w:p w14:paraId="5C9D42CB" w14:textId="4AC4F96E"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lang w:val="fr-CA"/>
        </w:rPr>
        <w:t xml:space="preserve">Exhorte </w:t>
      </w:r>
      <w:r>
        <w:rPr>
          <w:iCs/>
          <w:kern w:val="22"/>
          <w:lang w:val="fr-CA"/>
        </w:rPr>
        <w:t xml:space="preserve">les </w:t>
      </w:r>
      <w:r w:rsidR="000C10B1">
        <w:rPr>
          <w:iCs/>
          <w:kern w:val="22"/>
          <w:lang w:val="fr-CA"/>
        </w:rPr>
        <w:t>Parties qui ne l’ont pas encore fait</w:t>
      </w:r>
      <w:r>
        <w:rPr>
          <w:iCs/>
          <w:kern w:val="22"/>
          <w:lang w:val="fr-CA"/>
        </w:rPr>
        <w:t xml:space="preserve"> </w:t>
      </w:r>
      <w:r w:rsidR="000C10B1">
        <w:rPr>
          <w:iCs/>
          <w:kern w:val="22"/>
          <w:lang w:val="fr-CA"/>
        </w:rPr>
        <w:t xml:space="preserve">complètement </w:t>
      </w:r>
      <w:r>
        <w:rPr>
          <w:iCs/>
          <w:kern w:val="22"/>
          <w:lang w:val="fr-CA"/>
        </w:rPr>
        <w:t xml:space="preserve">à mettre toutes les informations requises à la disposition du Centre d’échange pour la prévention des risques biotechnologiques, et à faire en sorte que leurs données fournies soient à jour, en mettant l’accent en particulier sur les informations concernant : a) les lois, les réglementations et les lignes directrices </w:t>
      </w:r>
      <w:r w:rsidR="000C10B1">
        <w:rPr>
          <w:iCs/>
          <w:kern w:val="22"/>
          <w:lang w:val="fr-CA"/>
        </w:rPr>
        <w:lastRenderedPageBreak/>
        <w:t>nationales</w:t>
      </w:r>
      <w:r>
        <w:rPr>
          <w:iCs/>
          <w:kern w:val="22"/>
          <w:lang w:val="fr-CA"/>
        </w:rPr>
        <w:t>; b) les résumés des évaluat</w:t>
      </w:r>
      <w:r w:rsidR="000C10B1">
        <w:rPr>
          <w:iCs/>
          <w:kern w:val="22"/>
          <w:lang w:val="fr-CA"/>
        </w:rPr>
        <w:t>ions des risques</w:t>
      </w:r>
      <w:r>
        <w:rPr>
          <w:iCs/>
          <w:kern w:val="22"/>
          <w:lang w:val="fr-CA"/>
        </w:rPr>
        <w:t>; c) les décisions finales concernant l’importation ou la libératio</w:t>
      </w:r>
      <w:r w:rsidR="000C10B1">
        <w:rPr>
          <w:iCs/>
          <w:kern w:val="22"/>
          <w:lang w:val="fr-CA"/>
        </w:rPr>
        <w:t>n d’organismes vivants modifiés</w:t>
      </w:r>
      <w:r>
        <w:rPr>
          <w:iCs/>
          <w:kern w:val="22"/>
          <w:lang w:val="fr-CA"/>
        </w:rPr>
        <w:t>; d) les correspondants nationaux, les points de contact nationaux et les a</w:t>
      </w:r>
      <w:r w:rsidR="000C10B1">
        <w:rPr>
          <w:iCs/>
          <w:kern w:val="22"/>
          <w:lang w:val="fr-CA"/>
        </w:rPr>
        <w:t>utorités nationales compétentes</w:t>
      </w:r>
      <w:r>
        <w:rPr>
          <w:iCs/>
          <w:kern w:val="22"/>
          <w:lang w:val="fr-CA"/>
        </w:rPr>
        <w:t>; e) des informations sur les accords ou les arrangements bilatéraux, régionaux ou multila</w:t>
      </w:r>
      <w:r w:rsidR="000C10B1">
        <w:rPr>
          <w:iCs/>
          <w:kern w:val="22"/>
          <w:lang w:val="fr-CA"/>
        </w:rPr>
        <w:t>téraux conclus par les Parties;</w:t>
      </w:r>
      <w:r>
        <w:rPr>
          <w:iCs/>
          <w:kern w:val="22"/>
          <w:lang w:val="fr-CA"/>
        </w:rPr>
        <w:t xml:space="preserve"> f) des informations concernant les mouvements transfrontières illicites d’organismes vivants modifiés</w:t>
      </w:r>
      <w:r>
        <w:rPr>
          <w:kern w:val="22"/>
          <w:lang w:val="fr-CA"/>
        </w:rPr>
        <w:t>;</w:t>
      </w:r>
    </w:p>
    <w:p w14:paraId="181845CF" w14:textId="35BA59FC"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lang w:val="fr-CA"/>
        </w:rPr>
        <w:t xml:space="preserve">Prie </w:t>
      </w:r>
      <w:r>
        <w:rPr>
          <w:iCs/>
          <w:kern w:val="22"/>
          <w:lang w:val="fr-CA"/>
        </w:rPr>
        <w:t>la Secrétaire exécutive de veiller à ce qu’un soutien adéquat soit fourni au Centre d’échange pour la prévention des risques biotechnologiques, pour qu’il puisse remplir pleinement ses fonc</w:t>
      </w:r>
      <w:r w:rsidR="000C10B1">
        <w:rPr>
          <w:iCs/>
          <w:kern w:val="22"/>
          <w:lang w:val="fr-CA"/>
        </w:rPr>
        <w:t>tions et réaliser son potentiel</w:t>
      </w:r>
      <w:r>
        <w:rPr>
          <w:iCs/>
          <w:kern w:val="22"/>
          <w:lang w:val="fr-CA"/>
        </w:rPr>
        <w:t>;</w:t>
      </w:r>
    </w:p>
    <w:p w14:paraId="763AC46D" w14:textId="59D01FC2" w:rsidR="00D0177D" w:rsidRDefault="00D71621" w:rsidP="00D0177D">
      <w:pPr>
        <w:pStyle w:val="ListParagraph"/>
        <w:keepNext/>
        <w:suppressLineNumbers/>
        <w:suppressAutoHyphens/>
        <w:ind w:left="0"/>
        <w:jc w:val="center"/>
        <w:rPr>
          <w:kern w:val="22"/>
          <w:lang w:val="fr-CA"/>
        </w:rPr>
      </w:pPr>
      <w:r>
        <w:rPr>
          <w:b/>
          <w:bCs/>
          <w:kern w:val="22"/>
          <w:lang w:val="fr-CA"/>
        </w:rPr>
        <w:t xml:space="preserve">J. </w:t>
      </w:r>
      <w:r>
        <w:rPr>
          <w:b/>
          <w:bCs/>
          <w:kern w:val="22"/>
          <w:lang w:val="fr-CA"/>
        </w:rPr>
        <w:tab/>
        <w:t>Respect des obliga</w:t>
      </w:r>
      <w:r w:rsidR="000C10B1">
        <w:rPr>
          <w:b/>
          <w:bCs/>
          <w:kern w:val="22"/>
          <w:lang w:val="fr-CA"/>
        </w:rPr>
        <w:t>ti</w:t>
      </w:r>
      <w:r w:rsidR="00D0177D">
        <w:rPr>
          <w:b/>
          <w:bCs/>
          <w:kern w:val="22"/>
          <w:lang w:val="fr-CA"/>
        </w:rPr>
        <w:t>ons et examen</w:t>
      </w:r>
    </w:p>
    <w:p w14:paraId="478E8C92" w14:textId="42A122CB" w:rsidR="00D0177D" w:rsidRDefault="00D0177D" w:rsidP="00D0177D">
      <w:pPr>
        <w:numPr>
          <w:ilvl w:val="2"/>
          <w:numId w:val="19"/>
        </w:numPr>
        <w:suppressLineNumbers/>
        <w:tabs>
          <w:tab w:val="clear" w:pos="1440"/>
        </w:tabs>
        <w:suppressAutoHyphens/>
        <w:spacing w:before="120" w:after="120"/>
        <w:ind w:left="0" w:firstLine="720"/>
        <w:rPr>
          <w:kern w:val="22"/>
          <w:szCs w:val="22"/>
          <w:lang w:val="fr-CA"/>
        </w:rPr>
      </w:pPr>
      <w:r>
        <w:rPr>
          <w:i/>
          <w:iCs/>
          <w:kern w:val="22"/>
          <w:lang w:val="fr-CA"/>
        </w:rPr>
        <w:t xml:space="preserve">Prend note </w:t>
      </w:r>
      <w:r>
        <w:rPr>
          <w:iCs/>
          <w:kern w:val="22"/>
          <w:lang w:val="fr-CA"/>
        </w:rPr>
        <w:t>des différences marquées dans les progrès accomplis par les Parties pour s’acquitter de leurs principales obligations au titre du Protocole</w:t>
      </w:r>
      <w:r>
        <w:rPr>
          <w:kern w:val="22"/>
          <w:lang w:val="fr-CA"/>
        </w:rPr>
        <w:t>;</w:t>
      </w:r>
    </w:p>
    <w:p w14:paraId="42B3AA5C" w14:textId="627737AB" w:rsidR="00D0177D" w:rsidRDefault="00D0177D" w:rsidP="00D0177D">
      <w:pPr>
        <w:numPr>
          <w:ilvl w:val="2"/>
          <w:numId w:val="19"/>
        </w:numPr>
        <w:suppressLineNumbers/>
        <w:tabs>
          <w:tab w:val="clear" w:pos="1440"/>
        </w:tabs>
        <w:suppressAutoHyphens/>
        <w:spacing w:before="120" w:after="120"/>
        <w:ind w:left="0" w:firstLine="720"/>
        <w:rPr>
          <w:kern w:val="22"/>
          <w:szCs w:val="22"/>
          <w:lang w:val="fr-CA"/>
        </w:rPr>
      </w:pPr>
      <w:r>
        <w:rPr>
          <w:i/>
          <w:iCs/>
          <w:kern w:val="22"/>
          <w:szCs w:val="22"/>
          <w:lang w:val="fr-CA"/>
        </w:rPr>
        <w:t xml:space="preserve">Se félicite </w:t>
      </w:r>
      <w:r>
        <w:rPr>
          <w:kern w:val="22"/>
          <w:szCs w:val="22"/>
          <w:lang w:val="fr-CA"/>
        </w:rPr>
        <w:t>des progrès accomplis par les Parties pour s’acquitter de leurs obligations au titre du Protocole, notamment les obligations ci-après : a) mettre certaines informations à la disposition du Centre d’échange pour la préventio</w:t>
      </w:r>
      <w:r w:rsidR="000C10B1">
        <w:rPr>
          <w:kern w:val="22"/>
          <w:szCs w:val="22"/>
          <w:lang w:val="fr-CA"/>
        </w:rPr>
        <w:t>n des risques biotechnologiques</w:t>
      </w:r>
      <w:r>
        <w:rPr>
          <w:kern w:val="22"/>
          <w:szCs w:val="22"/>
          <w:lang w:val="fr-CA"/>
        </w:rPr>
        <w:t>; b) désigner des correspondants nationaux et des a</w:t>
      </w:r>
      <w:r w:rsidR="000C10B1">
        <w:rPr>
          <w:kern w:val="22"/>
          <w:szCs w:val="22"/>
          <w:lang w:val="fr-CA"/>
        </w:rPr>
        <w:t>utorités nationales compétentes</w:t>
      </w:r>
      <w:r>
        <w:rPr>
          <w:kern w:val="22"/>
          <w:szCs w:val="22"/>
          <w:lang w:val="fr-CA"/>
        </w:rPr>
        <w:t>;</w:t>
      </w:r>
    </w:p>
    <w:p w14:paraId="019B65CA" w14:textId="1E9F3A74" w:rsidR="00D0177D" w:rsidRDefault="00D0177D" w:rsidP="00D0177D">
      <w:pPr>
        <w:numPr>
          <w:ilvl w:val="2"/>
          <w:numId w:val="19"/>
        </w:numPr>
        <w:suppressLineNumbers/>
        <w:tabs>
          <w:tab w:val="clear" w:pos="1440"/>
        </w:tabs>
        <w:suppressAutoHyphens/>
        <w:spacing w:before="120" w:after="120"/>
        <w:ind w:left="0" w:firstLine="720"/>
        <w:rPr>
          <w:kern w:val="22"/>
          <w:szCs w:val="22"/>
          <w:lang w:val="fr-CA"/>
        </w:rPr>
      </w:pPr>
      <w:r>
        <w:rPr>
          <w:i/>
          <w:iCs/>
          <w:kern w:val="22"/>
          <w:szCs w:val="22"/>
          <w:lang w:val="fr-CA"/>
        </w:rPr>
        <w:t xml:space="preserve">Constate </w:t>
      </w:r>
      <w:r w:rsidRPr="000C10B1">
        <w:rPr>
          <w:i/>
          <w:iCs/>
          <w:kern w:val="22"/>
          <w:szCs w:val="22"/>
          <w:lang w:val="fr-CA"/>
        </w:rPr>
        <w:t>avec préoccupation</w:t>
      </w:r>
      <w:r>
        <w:rPr>
          <w:iCs/>
          <w:kern w:val="22"/>
          <w:szCs w:val="22"/>
          <w:lang w:val="fr-CA"/>
        </w:rPr>
        <w:t xml:space="preserve"> qu’un grand nombre de Parties ne se sont pas acquittées pleinement de leurs principales obligations au titre du Protocole, notamment : a) l’obligation de prendre des mesures juridiques, administratives et autres mesures nécessai</w:t>
      </w:r>
      <w:r w:rsidR="00D71621">
        <w:rPr>
          <w:iCs/>
          <w:kern w:val="22"/>
          <w:szCs w:val="22"/>
          <w:lang w:val="fr-CA"/>
        </w:rPr>
        <w:t>res pour appliquer le Protocole; b) </w:t>
      </w:r>
      <w:r>
        <w:rPr>
          <w:iCs/>
          <w:kern w:val="22"/>
          <w:szCs w:val="22"/>
          <w:lang w:val="fr-CA"/>
        </w:rPr>
        <w:t>l’obligation de remettre un rapport</w:t>
      </w:r>
      <w:r w:rsidR="00D71621">
        <w:rPr>
          <w:iCs/>
          <w:kern w:val="22"/>
          <w:szCs w:val="22"/>
          <w:lang w:val="fr-CA"/>
        </w:rPr>
        <w:t xml:space="preserve"> national en temps voulu</w:t>
      </w:r>
      <w:r>
        <w:rPr>
          <w:kern w:val="22"/>
          <w:szCs w:val="22"/>
          <w:lang w:val="fr-CA"/>
        </w:rPr>
        <w:t>;</w:t>
      </w:r>
    </w:p>
    <w:p w14:paraId="419CAC1B" w14:textId="143B772A"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lang w:val="fr-CA"/>
        </w:rPr>
        <w:t xml:space="preserve">Reconnaît </w:t>
      </w:r>
      <w:r>
        <w:rPr>
          <w:iCs/>
          <w:kern w:val="22"/>
          <w:lang w:val="fr-CA"/>
        </w:rPr>
        <w:t>la nécessité pour les Parties de mettre en place des systèmes de</w:t>
      </w:r>
      <w:r w:rsidR="00D71621">
        <w:rPr>
          <w:iCs/>
          <w:kern w:val="22"/>
          <w:lang w:val="fr-CA"/>
        </w:rPr>
        <w:t xml:space="preserve"> suivi et de respect des obligation</w:t>
      </w:r>
      <w:r>
        <w:rPr>
          <w:iCs/>
          <w:kern w:val="22"/>
          <w:lang w:val="fr-CA"/>
        </w:rPr>
        <w:t>s pour assurer l’application du Protocole</w:t>
      </w:r>
      <w:r>
        <w:rPr>
          <w:kern w:val="22"/>
          <w:lang w:val="fr-CA"/>
        </w:rPr>
        <w:t>;</w:t>
      </w:r>
    </w:p>
    <w:p w14:paraId="32836AB7" w14:textId="634734B3"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lang w:val="fr-CA"/>
        </w:rPr>
        <w:t xml:space="preserve">Se félicite </w:t>
      </w:r>
      <w:r>
        <w:rPr>
          <w:iCs/>
          <w:kern w:val="22"/>
          <w:lang w:val="fr-CA"/>
        </w:rPr>
        <w:t>du rôle de soutien fourni par le Comité chargé du respect des obligations, en application de la décision BS-V/1,</w:t>
      </w:r>
      <w:r>
        <w:rPr>
          <w:kern w:val="22"/>
          <w:lang w:val="fr-CA"/>
        </w:rPr>
        <w:t xml:space="preserve"> comme contribution aux progrès indiqués par les Parties en matière de respect de leurs ob</w:t>
      </w:r>
      <w:r w:rsidR="00D71621">
        <w:rPr>
          <w:kern w:val="22"/>
          <w:lang w:val="fr-CA"/>
        </w:rPr>
        <w:t>ligations au titre du Protocole</w:t>
      </w:r>
      <w:r>
        <w:rPr>
          <w:kern w:val="22"/>
          <w:lang w:val="fr-CA"/>
        </w:rPr>
        <w:t>;</w:t>
      </w:r>
    </w:p>
    <w:p w14:paraId="76A1CACA" w14:textId="485732B1" w:rsidR="00D0177D" w:rsidRDefault="00D0177D" w:rsidP="00D0177D">
      <w:pPr>
        <w:numPr>
          <w:ilvl w:val="2"/>
          <w:numId w:val="19"/>
        </w:numPr>
        <w:suppressLineNumbers/>
        <w:tabs>
          <w:tab w:val="clear" w:pos="1440"/>
        </w:tabs>
        <w:suppressAutoHyphens/>
        <w:spacing w:before="120" w:after="120"/>
        <w:ind w:left="0" w:firstLine="720"/>
        <w:rPr>
          <w:snapToGrid w:val="0"/>
          <w:kern w:val="22"/>
          <w:szCs w:val="22"/>
          <w:lang w:val="fr-CA"/>
        </w:rPr>
      </w:pPr>
      <w:r>
        <w:rPr>
          <w:i/>
          <w:iCs/>
          <w:kern w:val="22"/>
          <w:lang w:val="fr-CA"/>
        </w:rPr>
        <w:t xml:space="preserve">Prie </w:t>
      </w:r>
      <w:r>
        <w:rPr>
          <w:iCs/>
          <w:kern w:val="22"/>
          <w:lang w:val="fr-CA"/>
        </w:rPr>
        <w:t>la Secrétaire exécutive, selon qu’il convient et conformément aux orientations fournies par le Comité chargé du respect des obligations, de continuer à assurer le suivi des Parties qui ne se sont pas encore pleinement acquittées de leurs obligations au titre du Protocole, et</w:t>
      </w:r>
      <w:r w:rsidRPr="00D71621">
        <w:rPr>
          <w:iCs/>
          <w:kern w:val="22"/>
          <w:lang w:val="fr-CA"/>
        </w:rPr>
        <w:t xml:space="preserve"> prie</w:t>
      </w:r>
      <w:r>
        <w:rPr>
          <w:i/>
          <w:iCs/>
          <w:kern w:val="22"/>
          <w:lang w:val="fr-CA"/>
        </w:rPr>
        <w:t xml:space="preserve"> </w:t>
      </w:r>
      <w:r>
        <w:rPr>
          <w:iCs/>
          <w:kern w:val="22"/>
          <w:lang w:val="fr-CA"/>
        </w:rPr>
        <w:t>les Parties d’offrir leur entière collaboration à cet égard</w:t>
      </w:r>
      <w:r>
        <w:rPr>
          <w:kern w:val="22"/>
          <w:lang w:val="fr-CA"/>
        </w:rPr>
        <w:t>;</w:t>
      </w:r>
    </w:p>
    <w:p w14:paraId="37ED9F32" w14:textId="77777777" w:rsidR="00D0177D" w:rsidRDefault="00D0177D" w:rsidP="00D0177D">
      <w:pPr>
        <w:pStyle w:val="ListParagraph"/>
        <w:suppressLineNumbers/>
        <w:tabs>
          <w:tab w:val="num" w:pos="2591"/>
        </w:tabs>
        <w:suppressAutoHyphens/>
        <w:ind w:left="1440" w:hanging="720"/>
        <w:jc w:val="left"/>
        <w:rPr>
          <w:kern w:val="22"/>
          <w:lang w:val="fr-CA"/>
        </w:rPr>
      </w:pPr>
      <w:r>
        <w:rPr>
          <w:b/>
          <w:bCs/>
          <w:kern w:val="22"/>
          <w:lang w:val="fr-CA"/>
        </w:rPr>
        <w:t>K.</w:t>
      </w:r>
      <w:r>
        <w:rPr>
          <w:b/>
          <w:bCs/>
          <w:kern w:val="22"/>
          <w:lang w:val="fr-CA"/>
        </w:rPr>
        <w:tab/>
        <w:t>Sensibilisation et participation du public, éducation et formation en matière de prévention des risques biotechnologiques</w:t>
      </w:r>
    </w:p>
    <w:p w14:paraId="320105BA" w14:textId="69DC52A9"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Souligne </w:t>
      </w:r>
      <w:r>
        <w:rPr>
          <w:iCs/>
          <w:kern w:val="22"/>
          <w:szCs w:val="22"/>
          <w:lang w:val="fr-CA"/>
        </w:rPr>
        <w:t xml:space="preserve">l’importance de la sensibilisation, de l’éducation et de </w:t>
      </w:r>
      <w:r w:rsidR="00D71621">
        <w:rPr>
          <w:iCs/>
          <w:kern w:val="22"/>
          <w:szCs w:val="22"/>
          <w:lang w:val="fr-CA"/>
        </w:rPr>
        <w:t>la participation du public pour</w:t>
      </w:r>
      <w:r>
        <w:rPr>
          <w:iCs/>
          <w:kern w:val="22"/>
          <w:szCs w:val="22"/>
          <w:lang w:val="fr-CA"/>
        </w:rPr>
        <w:t xml:space="preserve"> l’application du Protocole, en reconnaissant qu’un soutien supplémentaire doit être fourni dans ce domaine</w:t>
      </w:r>
      <w:r>
        <w:rPr>
          <w:kern w:val="22"/>
          <w:szCs w:val="22"/>
          <w:lang w:val="fr-CA"/>
        </w:rPr>
        <w:t>;</w:t>
      </w:r>
    </w:p>
    <w:p w14:paraId="6C456BC3" w14:textId="6D2003B2"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Prend note </w:t>
      </w:r>
      <w:r>
        <w:rPr>
          <w:iCs/>
          <w:kern w:val="22"/>
          <w:szCs w:val="22"/>
          <w:lang w:val="fr-CA"/>
        </w:rPr>
        <w:t>des progrès accomplis dans l’élaboration de mécanismes de participation du public aux processus décisionnels visant les organismes vivants modifiés, et dans le nombre de Parties qui disposent d’établissements d’enseignement of</w:t>
      </w:r>
      <w:r w:rsidR="00D71621">
        <w:rPr>
          <w:iCs/>
          <w:kern w:val="22"/>
          <w:szCs w:val="22"/>
          <w:lang w:val="fr-CA"/>
        </w:rPr>
        <w:t>frant des programmes d’enseignement</w:t>
      </w:r>
      <w:r>
        <w:rPr>
          <w:iCs/>
          <w:kern w:val="22"/>
          <w:szCs w:val="22"/>
          <w:lang w:val="fr-CA"/>
        </w:rPr>
        <w:t xml:space="preserve"> et de formation en matière de prévention des risques biotechnologiques</w:t>
      </w:r>
      <w:r>
        <w:rPr>
          <w:kern w:val="22"/>
          <w:szCs w:val="22"/>
          <w:lang w:val="fr-CA"/>
        </w:rPr>
        <w:t>;</w:t>
      </w:r>
    </w:p>
    <w:p w14:paraId="3E4404B6" w14:textId="17CF74EE" w:rsidR="00D0177D" w:rsidRDefault="00D0177D" w:rsidP="00D0177D">
      <w:pPr>
        <w:numPr>
          <w:ilvl w:val="2"/>
          <w:numId w:val="19"/>
        </w:numPr>
        <w:suppressLineNumbers/>
        <w:tabs>
          <w:tab w:val="clear" w:pos="1440"/>
        </w:tabs>
        <w:suppressAutoHyphens/>
        <w:spacing w:before="120" w:after="120"/>
        <w:ind w:left="0" w:firstLine="720"/>
        <w:rPr>
          <w:kern w:val="22"/>
          <w:szCs w:val="22"/>
          <w:lang w:val="fr-CA"/>
        </w:rPr>
      </w:pPr>
      <w:r>
        <w:rPr>
          <w:i/>
          <w:iCs/>
          <w:kern w:val="22"/>
          <w:szCs w:val="22"/>
          <w:lang w:val="fr-CA"/>
        </w:rPr>
        <w:t xml:space="preserve">Encourage </w:t>
      </w:r>
      <w:r>
        <w:rPr>
          <w:iCs/>
          <w:kern w:val="22"/>
          <w:szCs w:val="22"/>
          <w:lang w:val="fr-CA"/>
        </w:rPr>
        <w:t>les Parties et</w:t>
      </w:r>
      <w:r w:rsidRPr="00DB53B7">
        <w:rPr>
          <w:iCs/>
          <w:kern w:val="22"/>
          <w:szCs w:val="22"/>
          <w:lang w:val="fr-CA"/>
        </w:rPr>
        <w:t xml:space="preserve"> invite</w:t>
      </w:r>
      <w:r>
        <w:rPr>
          <w:i/>
          <w:iCs/>
          <w:kern w:val="22"/>
          <w:szCs w:val="22"/>
          <w:lang w:val="fr-CA"/>
        </w:rPr>
        <w:t xml:space="preserve"> </w:t>
      </w:r>
      <w:r>
        <w:rPr>
          <w:iCs/>
          <w:kern w:val="22"/>
          <w:szCs w:val="22"/>
          <w:lang w:val="fr-CA"/>
        </w:rPr>
        <w:t>les autres utilisa</w:t>
      </w:r>
      <w:r w:rsidR="00D71621">
        <w:rPr>
          <w:iCs/>
          <w:kern w:val="22"/>
          <w:szCs w:val="22"/>
          <w:lang w:val="fr-CA"/>
        </w:rPr>
        <w:t>teurs à partager du matériel pertinent</w:t>
      </w:r>
      <w:r>
        <w:rPr>
          <w:iCs/>
          <w:kern w:val="22"/>
          <w:szCs w:val="22"/>
          <w:lang w:val="fr-CA"/>
        </w:rPr>
        <w:t xml:space="preserve"> sur la sensibilisation, l’éducation et la participation du public, par le biais du Centre d’échange pour la prévention des risques biotechnologiques</w:t>
      </w:r>
      <w:r>
        <w:rPr>
          <w:kern w:val="22"/>
          <w:szCs w:val="22"/>
          <w:lang w:val="fr-CA"/>
        </w:rPr>
        <w:t>;</w:t>
      </w:r>
    </w:p>
    <w:p w14:paraId="5275911C" w14:textId="4DF67C60" w:rsidR="00D0177D" w:rsidRDefault="00386052" w:rsidP="00D0177D">
      <w:pPr>
        <w:suppressLineNumbers/>
        <w:suppressAutoHyphens/>
        <w:jc w:val="center"/>
        <w:rPr>
          <w:b/>
          <w:bCs/>
          <w:kern w:val="22"/>
          <w:szCs w:val="22"/>
          <w:lang w:val="fr-CA"/>
        </w:rPr>
      </w:pPr>
      <w:r>
        <w:rPr>
          <w:b/>
          <w:bCs/>
          <w:kern w:val="22"/>
          <w:szCs w:val="22"/>
          <w:lang w:val="fr-CA"/>
        </w:rPr>
        <w:t>L.</w:t>
      </w:r>
      <w:r>
        <w:rPr>
          <w:b/>
          <w:bCs/>
          <w:kern w:val="22"/>
          <w:szCs w:val="22"/>
          <w:lang w:val="fr-CA"/>
        </w:rPr>
        <w:tab/>
        <w:t>Communication</w:t>
      </w:r>
      <w:r w:rsidR="00D0177D">
        <w:rPr>
          <w:b/>
          <w:bCs/>
          <w:kern w:val="22"/>
          <w:szCs w:val="22"/>
          <w:lang w:val="fr-CA"/>
        </w:rPr>
        <w:t xml:space="preserve"> et coopération</w:t>
      </w:r>
    </w:p>
    <w:p w14:paraId="034CB498" w14:textId="0CC57C8C" w:rsidR="00D0177D" w:rsidRDefault="00D0177D"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t xml:space="preserve">Souligne </w:t>
      </w:r>
      <w:r>
        <w:rPr>
          <w:iCs/>
          <w:kern w:val="22"/>
          <w:szCs w:val="22"/>
          <w:lang w:val="fr-CA"/>
        </w:rPr>
        <w:t>l’importance de la coopération entre les Parties, en plus de la coopération entre les organisations intergouvernementales, pour soutenir l’application du Protocole</w:t>
      </w:r>
      <w:r>
        <w:rPr>
          <w:kern w:val="22"/>
          <w:szCs w:val="22"/>
          <w:lang w:val="fr-CA"/>
        </w:rPr>
        <w:t>;</w:t>
      </w:r>
    </w:p>
    <w:p w14:paraId="30B8E165" w14:textId="1E11FBB5" w:rsidR="00D0177D" w:rsidRDefault="00D71621" w:rsidP="00D0177D">
      <w:pPr>
        <w:numPr>
          <w:ilvl w:val="2"/>
          <w:numId w:val="19"/>
        </w:numPr>
        <w:suppressLineNumbers/>
        <w:tabs>
          <w:tab w:val="clear" w:pos="1440"/>
        </w:tabs>
        <w:suppressAutoHyphens/>
        <w:spacing w:before="120" w:after="120"/>
        <w:ind w:left="0" w:firstLine="720"/>
        <w:rPr>
          <w:kern w:val="22"/>
          <w:lang w:val="fr-CA"/>
        </w:rPr>
      </w:pPr>
      <w:r>
        <w:rPr>
          <w:i/>
          <w:iCs/>
          <w:kern w:val="22"/>
          <w:szCs w:val="22"/>
          <w:lang w:val="fr-CA"/>
        </w:rPr>
        <w:lastRenderedPageBreak/>
        <w:t>Souligne également</w:t>
      </w:r>
      <w:r w:rsidR="00D0177D">
        <w:rPr>
          <w:i/>
          <w:iCs/>
          <w:kern w:val="22"/>
          <w:szCs w:val="22"/>
          <w:lang w:val="fr-CA"/>
        </w:rPr>
        <w:t xml:space="preserve"> </w:t>
      </w:r>
      <w:r w:rsidR="00386052">
        <w:rPr>
          <w:iCs/>
          <w:kern w:val="22"/>
          <w:szCs w:val="22"/>
          <w:lang w:val="fr-CA"/>
        </w:rPr>
        <w:t>l’importance de la communication et de la coopération avec l</w:t>
      </w:r>
      <w:r w:rsidR="00E25925">
        <w:rPr>
          <w:iCs/>
          <w:kern w:val="22"/>
          <w:szCs w:val="22"/>
          <w:lang w:val="fr-CA"/>
        </w:rPr>
        <w:t>es peuples autochtones et l</w:t>
      </w:r>
      <w:r w:rsidR="00D0177D">
        <w:rPr>
          <w:iCs/>
          <w:kern w:val="22"/>
          <w:szCs w:val="22"/>
          <w:lang w:val="fr-CA"/>
        </w:rPr>
        <w:t>es communa</w:t>
      </w:r>
      <w:r>
        <w:rPr>
          <w:iCs/>
          <w:kern w:val="22"/>
          <w:szCs w:val="22"/>
          <w:lang w:val="fr-CA"/>
        </w:rPr>
        <w:t>utés locales, ainsi qu</w:t>
      </w:r>
      <w:r w:rsidR="00E25925">
        <w:rPr>
          <w:iCs/>
          <w:kern w:val="22"/>
          <w:szCs w:val="22"/>
          <w:lang w:val="fr-CA"/>
        </w:rPr>
        <w:t>e</w:t>
      </w:r>
      <w:r>
        <w:rPr>
          <w:iCs/>
          <w:kern w:val="22"/>
          <w:szCs w:val="22"/>
          <w:lang w:val="fr-CA"/>
        </w:rPr>
        <w:t xml:space="preserve"> </w:t>
      </w:r>
      <w:r w:rsidR="00E25925">
        <w:rPr>
          <w:iCs/>
          <w:kern w:val="22"/>
          <w:szCs w:val="22"/>
          <w:lang w:val="fr-CA"/>
        </w:rPr>
        <w:t>les</w:t>
      </w:r>
      <w:r>
        <w:rPr>
          <w:iCs/>
          <w:kern w:val="22"/>
          <w:szCs w:val="22"/>
          <w:lang w:val="fr-CA"/>
        </w:rPr>
        <w:t xml:space="preserve"> femmes, </w:t>
      </w:r>
      <w:r w:rsidR="00E25925">
        <w:rPr>
          <w:iCs/>
          <w:kern w:val="22"/>
          <w:szCs w:val="22"/>
          <w:lang w:val="fr-CA"/>
        </w:rPr>
        <w:t>les jeunes</w:t>
      </w:r>
      <w:r w:rsidR="00D0177D">
        <w:rPr>
          <w:iCs/>
          <w:kern w:val="22"/>
          <w:szCs w:val="22"/>
          <w:lang w:val="fr-CA"/>
        </w:rPr>
        <w:t xml:space="preserve"> et d’autres parties prena</w:t>
      </w:r>
      <w:r w:rsidR="00E25925">
        <w:rPr>
          <w:iCs/>
          <w:kern w:val="22"/>
          <w:szCs w:val="22"/>
          <w:lang w:val="fr-CA"/>
        </w:rPr>
        <w:t>ntes concernées pour assurer l’</w:t>
      </w:r>
      <w:r w:rsidR="00D0177D">
        <w:rPr>
          <w:iCs/>
          <w:kern w:val="22"/>
          <w:szCs w:val="22"/>
          <w:lang w:val="fr-CA"/>
        </w:rPr>
        <w:t>app</w:t>
      </w:r>
      <w:r>
        <w:rPr>
          <w:iCs/>
          <w:kern w:val="22"/>
          <w:szCs w:val="22"/>
          <w:lang w:val="fr-CA"/>
        </w:rPr>
        <w:t>lication effective du Protocole</w:t>
      </w:r>
      <w:r w:rsidR="00D0177D">
        <w:rPr>
          <w:iCs/>
          <w:kern w:val="22"/>
          <w:szCs w:val="22"/>
          <w:lang w:val="fr-CA"/>
        </w:rPr>
        <w:t>;</w:t>
      </w:r>
    </w:p>
    <w:p w14:paraId="6CCF7AFF" w14:textId="49821677" w:rsidR="00D71621" w:rsidRPr="00D71621" w:rsidRDefault="00D0177D" w:rsidP="00D71621">
      <w:pPr>
        <w:suppressLineNumbers/>
        <w:suppressAutoHyphens/>
        <w:kinsoku w:val="0"/>
        <w:overflowPunct w:val="0"/>
        <w:autoSpaceDE w:val="0"/>
        <w:autoSpaceDN w:val="0"/>
        <w:adjustRightInd w:val="0"/>
        <w:snapToGrid w:val="0"/>
        <w:spacing w:before="120" w:after="120" w:line="238" w:lineRule="auto"/>
        <w:ind w:firstLine="720"/>
        <w:rPr>
          <w:kern w:val="22"/>
          <w:lang w:val="fr-CA"/>
        </w:rPr>
      </w:pPr>
      <w:r w:rsidRPr="001D541A">
        <w:rPr>
          <w:kern w:val="22"/>
          <w:lang w:val="fr-CA"/>
        </w:rPr>
        <w:t>49.</w:t>
      </w:r>
      <w:r>
        <w:rPr>
          <w:i/>
          <w:kern w:val="22"/>
          <w:lang w:val="fr-CA"/>
        </w:rPr>
        <w:tab/>
        <w:t>Encourage</w:t>
      </w:r>
      <w:r>
        <w:rPr>
          <w:kern w:val="22"/>
          <w:lang w:val="fr-CA"/>
        </w:rPr>
        <w:t xml:space="preserve"> les Parties à fournir un appui, en particulier aux pays en développement, pour assurer leur participation effective aux activités de recherche concernant les biotechnologies et la prévention des risques biotechnologiques, conformément à l’article 22 du Protocole et à l’article 19 de la Convention.</w:t>
      </w:r>
    </w:p>
    <w:p w14:paraId="2AD3B77F" w14:textId="77777777" w:rsidR="00D71621" w:rsidRDefault="00D71621" w:rsidP="00AA3A3B">
      <w:pPr>
        <w:jc w:val="center"/>
      </w:pPr>
    </w:p>
    <w:p w14:paraId="3093D971" w14:textId="70281CA6" w:rsidR="00B3369F" w:rsidRPr="00C9161D" w:rsidRDefault="000F73F5" w:rsidP="00AA3A3B">
      <w:pPr>
        <w:jc w:val="center"/>
      </w:pPr>
      <w:r>
        <w:t>_____</w:t>
      </w:r>
      <w:r w:rsidR="00AA3A3B">
        <w:t>_____</w:t>
      </w:r>
    </w:p>
    <w:sectPr w:rsidR="00B3369F" w:rsidRPr="00C9161D" w:rsidSect="00032E88">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D6810" w14:textId="77777777" w:rsidR="00342207" w:rsidRDefault="00342207" w:rsidP="00CF1848">
      <w:r>
        <w:separator/>
      </w:r>
    </w:p>
  </w:endnote>
  <w:endnote w:type="continuationSeparator" w:id="0">
    <w:p w14:paraId="37CC71E2" w14:textId="77777777" w:rsidR="00342207" w:rsidRDefault="0034220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D5A8C" w14:textId="77777777" w:rsidR="00342207" w:rsidRDefault="00342207" w:rsidP="00CF1848">
      <w:r>
        <w:separator/>
      </w:r>
    </w:p>
  </w:footnote>
  <w:footnote w:type="continuationSeparator" w:id="0">
    <w:p w14:paraId="0A8619A1" w14:textId="77777777" w:rsidR="00342207" w:rsidRDefault="00342207" w:rsidP="00CF1848">
      <w:r>
        <w:continuationSeparator/>
      </w:r>
    </w:p>
  </w:footnote>
  <w:footnote w:id="1">
    <w:p w14:paraId="16A864AD" w14:textId="53AD2EE4" w:rsidR="00D0177D" w:rsidRPr="008A210C" w:rsidRDefault="00D0177D" w:rsidP="00D0177D">
      <w:pPr>
        <w:pStyle w:val="FootnoteText"/>
        <w:ind w:firstLine="0"/>
        <w:rPr>
          <w:lang w:val="fr-CA"/>
        </w:rPr>
      </w:pPr>
      <w:r w:rsidRPr="00D73868">
        <w:rPr>
          <w:rStyle w:val="FootnoteReference"/>
        </w:rPr>
        <w:footnoteRef/>
      </w:r>
      <w:r w:rsidRPr="008A210C">
        <w:rPr>
          <w:lang w:val="fr-CA"/>
        </w:rPr>
        <w:t xml:space="preserve"> Annexe</w:t>
      </w:r>
      <w:r>
        <w:rPr>
          <w:lang w:val="fr-CA"/>
        </w:rPr>
        <w:t> </w:t>
      </w:r>
      <w:r w:rsidR="0029606E">
        <w:rPr>
          <w:lang w:val="fr-CA"/>
        </w:rPr>
        <w:t>I</w:t>
      </w:r>
      <w:r w:rsidRPr="008A210C">
        <w:rPr>
          <w:lang w:val="fr-CA"/>
        </w:rPr>
        <w:t xml:space="preserve"> à la </w:t>
      </w:r>
      <w:r>
        <w:rPr>
          <w:lang w:val="fr-CA"/>
        </w:rPr>
        <w:t>dé</w:t>
      </w:r>
      <w:r w:rsidRPr="008A210C">
        <w:rPr>
          <w:lang w:val="fr-CA"/>
        </w:rPr>
        <w:t>cision BS-V/16.</w:t>
      </w:r>
    </w:p>
  </w:footnote>
  <w:footnote w:id="2">
    <w:p w14:paraId="17CE5184" w14:textId="561E72FA" w:rsidR="00EA64B8" w:rsidRPr="00EA64B8" w:rsidRDefault="00EA64B8" w:rsidP="00EA64B8">
      <w:pPr>
        <w:pStyle w:val="FootnoteText"/>
        <w:ind w:firstLine="0"/>
        <w:rPr>
          <w:lang w:val="fr-FR"/>
        </w:rPr>
      </w:pPr>
      <w:r>
        <w:rPr>
          <w:rStyle w:val="FootnoteReference"/>
        </w:rPr>
        <w:footnoteRef/>
      </w:r>
      <w:r>
        <w:rPr>
          <w:lang w:val="fr-FR"/>
        </w:rPr>
        <w:t xml:space="preserve"> Annexe à la décision CP-10/3.</w:t>
      </w:r>
      <w:r w:rsidRPr="00EA64B8">
        <w:rPr>
          <w:lang w:val="fr-FR"/>
        </w:rPr>
        <w:t xml:space="preserve"> </w:t>
      </w:r>
    </w:p>
  </w:footnote>
  <w:footnote w:id="3">
    <w:p w14:paraId="5F72461F" w14:textId="46970029" w:rsidR="00EA64B8" w:rsidRPr="00EA64B8" w:rsidRDefault="00EA64B8" w:rsidP="00EA64B8">
      <w:pPr>
        <w:pStyle w:val="FootnoteText"/>
        <w:ind w:firstLine="0"/>
        <w:rPr>
          <w:lang w:val="fr-FR"/>
        </w:rPr>
      </w:pPr>
      <w:r>
        <w:rPr>
          <w:rStyle w:val="FootnoteReference"/>
        </w:rPr>
        <w:footnoteRef/>
      </w:r>
      <w:r>
        <w:rPr>
          <w:lang w:val="fr-FR"/>
        </w:rPr>
        <w:t xml:space="preserve"> Annexe à la décision CP-10/4.</w:t>
      </w:r>
      <w:r w:rsidRPr="00EA64B8">
        <w:rPr>
          <w:lang w:val="fr-FR"/>
        </w:rPr>
        <w:t xml:space="preserve"> </w:t>
      </w:r>
    </w:p>
  </w:footnote>
  <w:footnote w:id="4">
    <w:p w14:paraId="552B01BC" w14:textId="77777777" w:rsidR="00D0177D" w:rsidRPr="002A23E9" w:rsidRDefault="00D0177D" w:rsidP="00D0177D">
      <w:pPr>
        <w:pStyle w:val="FootnoteText"/>
        <w:ind w:firstLine="0"/>
        <w:rPr>
          <w:lang w:val="fr-CA"/>
        </w:rPr>
      </w:pPr>
      <w:r w:rsidRPr="00D73868">
        <w:rPr>
          <w:rStyle w:val="FootnoteReference"/>
        </w:rPr>
        <w:footnoteRef/>
      </w:r>
      <w:r w:rsidRPr="002A23E9">
        <w:rPr>
          <w:lang w:val="fr-CA"/>
        </w:rPr>
        <w:t xml:space="preserve"> CBD/SBI/3/3, annexes I et II, respectivement.</w:t>
      </w:r>
    </w:p>
  </w:footnote>
  <w:footnote w:id="5">
    <w:p w14:paraId="6F18B378" w14:textId="52C98DDF" w:rsidR="00D0177D" w:rsidRPr="00C14113" w:rsidRDefault="00D0177D" w:rsidP="00D0177D">
      <w:pPr>
        <w:pStyle w:val="FootnoteText"/>
        <w:ind w:firstLine="0"/>
        <w:rPr>
          <w:lang w:val="fr-FR"/>
        </w:rPr>
      </w:pPr>
      <w:r w:rsidRPr="008A210C">
        <w:rPr>
          <w:rStyle w:val="FootnoteReference"/>
        </w:rPr>
        <w:footnoteRef/>
      </w:r>
      <w:r w:rsidRPr="00C14113">
        <w:rPr>
          <w:lang w:val="fr-FR"/>
        </w:rPr>
        <w:t xml:space="preserve"> Voir la décision</w:t>
      </w:r>
      <w:r>
        <w:rPr>
          <w:lang w:val="fr-FR"/>
        </w:rPr>
        <w:t> </w:t>
      </w:r>
      <w:r w:rsidRPr="00C14113">
        <w:rPr>
          <w:lang w:val="fr-FR"/>
        </w:rPr>
        <w:t xml:space="preserve">VIII/15.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nl-NL"/>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DDFFB20" w:rsidR="00534681" w:rsidRPr="00A771ED" w:rsidRDefault="00892829" w:rsidP="00534681">
        <w:pPr>
          <w:pStyle w:val="Header"/>
          <w:rPr>
            <w:lang w:val="nl-NL"/>
          </w:rPr>
        </w:pPr>
        <w:r>
          <w:rPr>
            <w:lang w:val="nl-NL"/>
          </w:rPr>
          <w:t>CBD/CP/MOP/DEC/10/7</w:t>
        </w:r>
      </w:p>
    </w:sdtContent>
  </w:sdt>
  <w:p w14:paraId="1E0FDE0B" w14:textId="77777777" w:rsidR="00534681" w:rsidRPr="00A771ED" w:rsidRDefault="00534681" w:rsidP="00534681">
    <w:pPr>
      <w:pStyle w:val="Header"/>
      <w:rPr>
        <w:lang w:val="nl-NL"/>
      </w:rPr>
    </w:pPr>
    <w:r w:rsidRPr="00A771ED">
      <w:rPr>
        <w:lang w:val="nl-NL"/>
      </w:rPr>
      <w:t xml:space="preserve">Page </w:t>
    </w:r>
    <w:r>
      <w:fldChar w:fldCharType="begin"/>
    </w:r>
    <w:r w:rsidRPr="00A771ED">
      <w:rPr>
        <w:lang w:val="nl-NL"/>
      </w:rPr>
      <w:instrText xml:space="preserve"> PAGE   \* MERGEFORMAT </w:instrText>
    </w:r>
    <w:r>
      <w:fldChar w:fldCharType="separate"/>
    </w:r>
    <w:r w:rsidR="00C109CF">
      <w:rPr>
        <w:noProof/>
        <w:lang w:val="nl-NL"/>
      </w:rPr>
      <w:t>6</w:t>
    </w:r>
    <w:r>
      <w:rPr>
        <w:noProof/>
      </w:rPr>
      <w:fldChar w:fldCharType="end"/>
    </w:r>
  </w:p>
  <w:p w14:paraId="61C60697" w14:textId="77777777" w:rsidR="00534681" w:rsidRPr="00A771ED" w:rsidRDefault="00534681">
    <w:pPr>
      <w:pStyle w:val="Header"/>
      <w:rPr>
        <w:lang w:val="nl-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nl-NL"/>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4B1C6FB" w:rsidR="009505C9" w:rsidRPr="00A771ED" w:rsidRDefault="00892829" w:rsidP="009505C9">
        <w:pPr>
          <w:pStyle w:val="Header"/>
          <w:jc w:val="right"/>
          <w:rPr>
            <w:lang w:val="nl-NL"/>
          </w:rPr>
        </w:pPr>
        <w:r>
          <w:rPr>
            <w:lang w:val="nl-NL"/>
          </w:rPr>
          <w:t>CBD/CP/MOP/DEC/10/7</w:t>
        </w:r>
      </w:p>
    </w:sdtContent>
  </w:sdt>
  <w:p w14:paraId="64AE8439" w14:textId="77777777" w:rsidR="009505C9" w:rsidRPr="00A771ED" w:rsidRDefault="009505C9" w:rsidP="009505C9">
    <w:pPr>
      <w:pStyle w:val="Header"/>
      <w:jc w:val="right"/>
      <w:rPr>
        <w:lang w:val="nl-NL"/>
      </w:rPr>
    </w:pPr>
    <w:r w:rsidRPr="00A771ED">
      <w:rPr>
        <w:lang w:val="nl-NL"/>
      </w:rPr>
      <w:t xml:space="preserve">Page </w:t>
    </w:r>
    <w:r>
      <w:fldChar w:fldCharType="begin"/>
    </w:r>
    <w:r w:rsidRPr="00A771ED">
      <w:rPr>
        <w:lang w:val="nl-NL"/>
      </w:rPr>
      <w:instrText xml:space="preserve"> PAGE   \* MERGEFORMAT </w:instrText>
    </w:r>
    <w:r>
      <w:fldChar w:fldCharType="separate"/>
    </w:r>
    <w:r w:rsidR="00C109CF">
      <w:rPr>
        <w:noProof/>
        <w:lang w:val="nl-NL"/>
      </w:rPr>
      <w:t>5</w:t>
    </w:r>
    <w:r>
      <w:rPr>
        <w:noProof/>
      </w:rPr>
      <w:fldChar w:fldCharType="end"/>
    </w:r>
  </w:p>
  <w:p w14:paraId="16137B8A" w14:textId="77777777" w:rsidR="009505C9" w:rsidRPr="00A771ED" w:rsidRDefault="009505C9">
    <w:pPr>
      <w:pStyle w:val="Header"/>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E23244"/>
    <w:multiLevelType w:val="multilevel"/>
    <w:tmpl w:val="96804462"/>
    <w:lvl w:ilvl="0">
      <w:start w:val="14"/>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strike w:val="0"/>
        <w:sz w:val="22"/>
      </w:rPr>
    </w:lvl>
    <w:lvl w:ilvl="2">
      <w:start w:val="1"/>
      <w:numFmt w:val="decimal"/>
      <w:lvlText w:val="%3."/>
      <w:lvlJc w:val="left"/>
      <w:pPr>
        <w:tabs>
          <w:tab w:val="num" w:pos="1440"/>
        </w:tabs>
        <w:ind w:left="1440" w:hanging="360"/>
      </w:pPr>
      <w:rPr>
        <w:rFonts w:hint="default"/>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strike w:val="0"/>
      </w:rPr>
    </w:lvl>
    <w:lvl w:ilvl="7">
      <w:start w:val="1"/>
      <w:numFmt w:val="lowerLetter"/>
      <w:lvlText w:val="(%8)"/>
      <w:lvlJc w:val="left"/>
      <w:pPr>
        <w:tabs>
          <w:tab w:val="num" w:pos="2880"/>
        </w:tabs>
        <w:ind w:left="2880" w:hanging="360"/>
      </w:pPr>
      <w:rPr>
        <w:rFonts w:hint="default"/>
        <w:strike w:val="0"/>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4298"/>
    <w:rsid w:val="00007582"/>
    <w:rsid w:val="00020A25"/>
    <w:rsid w:val="00027FC9"/>
    <w:rsid w:val="00032E88"/>
    <w:rsid w:val="00034F69"/>
    <w:rsid w:val="0004168D"/>
    <w:rsid w:val="00041997"/>
    <w:rsid w:val="0007171B"/>
    <w:rsid w:val="00074631"/>
    <w:rsid w:val="00084928"/>
    <w:rsid w:val="0008699B"/>
    <w:rsid w:val="0009075D"/>
    <w:rsid w:val="000A485F"/>
    <w:rsid w:val="000B0F2F"/>
    <w:rsid w:val="000C10B1"/>
    <w:rsid w:val="000C64C2"/>
    <w:rsid w:val="000D087B"/>
    <w:rsid w:val="000E673A"/>
    <w:rsid w:val="000F73F5"/>
    <w:rsid w:val="000F74F5"/>
    <w:rsid w:val="000F7E5D"/>
    <w:rsid w:val="00105372"/>
    <w:rsid w:val="0012234C"/>
    <w:rsid w:val="00125405"/>
    <w:rsid w:val="001312AD"/>
    <w:rsid w:val="0013142E"/>
    <w:rsid w:val="00131E7A"/>
    <w:rsid w:val="00134846"/>
    <w:rsid w:val="00172AF6"/>
    <w:rsid w:val="00176CEE"/>
    <w:rsid w:val="0018473C"/>
    <w:rsid w:val="00184D5B"/>
    <w:rsid w:val="00186DD8"/>
    <w:rsid w:val="001A3B9F"/>
    <w:rsid w:val="001A6C80"/>
    <w:rsid w:val="001B13FE"/>
    <w:rsid w:val="001D2643"/>
    <w:rsid w:val="001F055E"/>
    <w:rsid w:val="00201591"/>
    <w:rsid w:val="002275E0"/>
    <w:rsid w:val="00234E89"/>
    <w:rsid w:val="00263C9C"/>
    <w:rsid w:val="00274193"/>
    <w:rsid w:val="00284935"/>
    <w:rsid w:val="0029045E"/>
    <w:rsid w:val="0029606E"/>
    <w:rsid w:val="002A4124"/>
    <w:rsid w:val="002B68D7"/>
    <w:rsid w:val="002D1538"/>
    <w:rsid w:val="002F1586"/>
    <w:rsid w:val="002F63CC"/>
    <w:rsid w:val="0030169D"/>
    <w:rsid w:val="003036DE"/>
    <w:rsid w:val="003060EB"/>
    <w:rsid w:val="003153EB"/>
    <w:rsid w:val="00317074"/>
    <w:rsid w:val="00321985"/>
    <w:rsid w:val="0032467B"/>
    <w:rsid w:val="0033016C"/>
    <w:rsid w:val="00336A7C"/>
    <w:rsid w:val="00336E02"/>
    <w:rsid w:val="00342207"/>
    <w:rsid w:val="00351205"/>
    <w:rsid w:val="00353685"/>
    <w:rsid w:val="00361F77"/>
    <w:rsid w:val="00372F74"/>
    <w:rsid w:val="00376245"/>
    <w:rsid w:val="00382AAF"/>
    <w:rsid w:val="00382F73"/>
    <w:rsid w:val="00385C9F"/>
    <w:rsid w:val="00386052"/>
    <w:rsid w:val="003922B1"/>
    <w:rsid w:val="003A4DA0"/>
    <w:rsid w:val="003B0846"/>
    <w:rsid w:val="003B1DB0"/>
    <w:rsid w:val="003B7152"/>
    <w:rsid w:val="003B7BB2"/>
    <w:rsid w:val="003C1437"/>
    <w:rsid w:val="003D2661"/>
    <w:rsid w:val="003F7224"/>
    <w:rsid w:val="003F7420"/>
    <w:rsid w:val="00406CC9"/>
    <w:rsid w:val="004126EF"/>
    <w:rsid w:val="00427D21"/>
    <w:rsid w:val="004336D2"/>
    <w:rsid w:val="00440D01"/>
    <w:rsid w:val="00441A58"/>
    <w:rsid w:val="004511DB"/>
    <w:rsid w:val="00454899"/>
    <w:rsid w:val="00456CB7"/>
    <w:rsid w:val="004644C2"/>
    <w:rsid w:val="00467F9C"/>
    <w:rsid w:val="004911BF"/>
    <w:rsid w:val="004B21A3"/>
    <w:rsid w:val="004B2F40"/>
    <w:rsid w:val="004B6442"/>
    <w:rsid w:val="004B687D"/>
    <w:rsid w:val="004C522A"/>
    <w:rsid w:val="00502535"/>
    <w:rsid w:val="00511E0C"/>
    <w:rsid w:val="00512CA9"/>
    <w:rsid w:val="00521A45"/>
    <w:rsid w:val="00534681"/>
    <w:rsid w:val="00550815"/>
    <w:rsid w:val="00563442"/>
    <w:rsid w:val="00565B42"/>
    <w:rsid w:val="00575539"/>
    <w:rsid w:val="00594C3E"/>
    <w:rsid w:val="0059781B"/>
    <w:rsid w:val="005B1406"/>
    <w:rsid w:val="005B1D62"/>
    <w:rsid w:val="005B2855"/>
    <w:rsid w:val="005B4ADC"/>
    <w:rsid w:val="005C4CE6"/>
    <w:rsid w:val="005C6A2C"/>
    <w:rsid w:val="005D193D"/>
    <w:rsid w:val="005D6A9B"/>
    <w:rsid w:val="005E0ED3"/>
    <w:rsid w:val="005E782B"/>
    <w:rsid w:val="005F52F8"/>
    <w:rsid w:val="006122BA"/>
    <w:rsid w:val="00617402"/>
    <w:rsid w:val="00626F0E"/>
    <w:rsid w:val="0063588C"/>
    <w:rsid w:val="006479E1"/>
    <w:rsid w:val="00662AAA"/>
    <w:rsid w:val="00666BB4"/>
    <w:rsid w:val="006A4A95"/>
    <w:rsid w:val="006A5DF6"/>
    <w:rsid w:val="006B13E1"/>
    <w:rsid w:val="006B2290"/>
    <w:rsid w:val="006B3CE8"/>
    <w:rsid w:val="006E4ECC"/>
    <w:rsid w:val="006F0666"/>
    <w:rsid w:val="00706702"/>
    <w:rsid w:val="00706F14"/>
    <w:rsid w:val="00717D88"/>
    <w:rsid w:val="00731FD2"/>
    <w:rsid w:val="00750EEA"/>
    <w:rsid w:val="007552CE"/>
    <w:rsid w:val="00755E84"/>
    <w:rsid w:val="007765DD"/>
    <w:rsid w:val="00782606"/>
    <w:rsid w:val="00786056"/>
    <w:rsid w:val="00793F51"/>
    <w:rsid w:val="007942D3"/>
    <w:rsid w:val="007B2099"/>
    <w:rsid w:val="007B6C09"/>
    <w:rsid w:val="007B7741"/>
    <w:rsid w:val="007E09DA"/>
    <w:rsid w:val="00803233"/>
    <w:rsid w:val="0080725C"/>
    <w:rsid w:val="008178B6"/>
    <w:rsid w:val="00842CA3"/>
    <w:rsid w:val="00846F8A"/>
    <w:rsid w:val="0085606C"/>
    <w:rsid w:val="00857718"/>
    <w:rsid w:val="00865B74"/>
    <w:rsid w:val="008867FD"/>
    <w:rsid w:val="00892829"/>
    <w:rsid w:val="008974F0"/>
    <w:rsid w:val="008B012A"/>
    <w:rsid w:val="008B1291"/>
    <w:rsid w:val="008E0DFC"/>
    <w:rsid w:val="008F3154"/>
    <w:rsid w:val="00906E17"/>
    <w:rsid w:val="00912208"/>
    <w:rsid w:val="009205C0"/>
    <w:rsid w:val="00930BA1"/>
    <w:rsid w:val="0093169E"/>
    <w:rsid w:val="00933144"/>
    <w:rsid w:val="0093591F"/>
    <w:rsid w:val="00935F1C"/>
    <w:rsid w:val="00935F49"/>
    <w:rsid w:val="00937130"/>
    <w:rsid w:val="00943D16"/>
    <w:rsid w:val="009505C9"/>
    <w:rsid w:val="00950752"/>
    <w:rsid w:val="0096472C"/>
    <w:rsid w:val="00965766"/>
    <w:rsid w:val="00966424"/>
    <w:rsid w:val="00966DA4"/>
    <w:rsid w:val="0097649C"/>
    <w:rsid w:val="00982D3A"/>
    <w:rsid w:val="009909D7"/>
    <w:rsid w:val="009A635C"/>
    <w:rsid w:val="009B57CB"/>
    <w:rsid w:val="009B7ADC"/>
    <w:rsid w:val="009C2DE6"/>
    <w:rsid w:val="009C6BD3"/>
    <w:rsid w:val="009D5E00"/>
    <w:rsid w:val="009E39C5"/>
    <w:rsid w:val="00A05E38"/>
    <w:rsid w:val="00A1252A"/>
    <w:rsid w:val="00A3081E"/>
    <w:rsid w:val="00A44BC7"/>
    <w:rsid w:val="00A60A86"/>
    <w:rsid w:val="00A74DDE"/>
    <w:rsid w:val="00A771ED"/>
    <w:rsid w:val="00AA3A3B"/>
    <w:rsid w:val="00AA6F92"/>
    <w:rsid w:val="00AB0944"/>
    <w:rsid w:val="00AB6934"/>
    <w:rsid w:val="00AC03FA"/>
    <w:rsid w:val="00AC1A13"/>
    <w:rsid w:val="00AC3E17"/>
    <w:rsid w:val="00AC4061"/>
    <w:rsid w:val="00AC5E5C"/>
    <w:rsid w:val="00AD077B"/>
    <w:rsid w:val="00AD7EC0"/>
    <w:rsid w:val="00AD7FFC"/>
    <w:rsid w:val="00AE01A9"/>
    <w:rsid w:val="00AF2207"/>
    <w:rsid w:val="00AF42DE"/>
    <w:rsid w:val="00AF4DCC"/>
    <w:rsid w:val="00B0356D"/>
    <w:rsid w:val="00B26ACD"/>
    <w:rsid w:val="00B316CD"/>
    <w:rsid w:val="00B3369F"/>
    <w:rsid w:val="00B70430"/>
    <w:rsid w:val="00B8269F"/>
    <w:rsid w:val="00B82CBC"/>
    <w:rsid w:val="00B85944"/>
    <w:rsid w:val="00B91411"/>
    <w:rsid w:val="00B92695"/>
    <w:rsid w:val="00B94E6C"/>
    <w:rsid w:val="00BB4606"/>
    <w:rsid w:val="00BF11F9"/>
    <w:rsid w:val="00C04CAB"/>
    <w:rsid w:val="00C109CF"/>
    <w:rsid w:val="00C13D8F"/>
    <w:rsid w:val="00C16722"/>
    <w:rsid w:val="00C20421"/>
    <w:rsid w:val="00C219D9"/>
    <w:rsid w:val="00C23D2F"/>
    <w:rsid w:val="00C25CE8"/>
    <w:rsid w:val="00C26CCA"/>
    <w:rsid w:val="00C316B5"/>
    <w:rsid w:val="00C354AD"/>
    <w:rsid w:val="00C443BD"/>
    <w:rsid w:val="00C451C5"/>
    <w:rsid w:val="00C86F0F"/>
    <w:rsid w:val="00C87469"/>
    <w:rsid w:val="00C9161D"/>
    <w:rsid w:val="00C969B2"/>
    <w:rsid w:val="00CA0C1D"/>
    <w:rsid w:val="00CA36CB"/>
    <w:rsid w:val="00CA67EB"/>
    <w:rsid w:val="00CC3163"/>
    <w:rsid w:val="00CC6160"/>
    <w:rsid w:val="00CC7D5E"/>
    <w:rsid w:val="00CD643C"/>
    <w:rsid w:val="00CF1848"/>
    <w:rsid w:val="00D0177D"/>
    <w:rsid w:val="00D12044"/>
    <w:rsid w:val="00D30264"/>
    <w:rsid w:val="00D31942"/>
    <w:rsid w:val="00D33EFC"/>
    <w:rsid w:val="00D36EB5"/>
    <w:rsid w:val="00D375B5"/>
    <w:rsid w:val="00D40DBC"/>
    <w:rsid w:val="00D5004A"/>
    <w:rsid w:val="00D5413E"/>
    <w:rsid w:val="00D67904"/>
    <w:rsid w:val="00D71621"/>
    <w:rsid w:val="00D76A18"/>
    <w:rsid w:val="00D80849"/>
    <w:rsid w:val="00D82E8F"/>
    <w:rsid w:val="00D85B4A"/>
    <w:rsid w:val="00DA0686"/>
    <w:rsid w:val="00DA2735"/>
    <w:rsid w:val="00DA5388"/>
    <w:rsid w:val="00DA6469"/>
    <w:rsid w:val="00DC029B"/>
    <w:rsid w:val="00DC3227"/>
    <w:rsid w:val="00DC6F4A"/>
    <w:rsid w:val="00DD118C"/>
    <w:rsid w:val="00DD19BD"/>
    <w:rsid w:val="00DE08CF"/>
    <w:rsid w:val="00DF07FA"/>
    <w:rsid w:val="00DF7358"/>
    <w:rsid w:val="00E05CB6"/>
    <w:rsid w:val="00E119E4"/>
    <w:rsid w:val="00E20A56"/>
    <w:rsid w:val="00E25925"/>
    <w:rsid w:val="00E572BA"/>
    <w:rsid w:val="00E66235"/>
    <w:rsid w:val="00E668D7"/>
    <w:rsid w:val="00E83C24"/>
    <w:rsid w:val="00E87E91"/>
    <w:rsid w:val="00E9318D"/>
    <w:rsid w:val="00EA64B8"/>
    <w:rsid w:val="00EB5A9F"/>
    <w:rsid w:val="00EC1F46"/>
    <w:rsid w:val="00ED28A4"/>
    <w:rsid w:val="00EF3B41"/>
    <w:rsid w:val="00EF400E"/>
    <w:rsid w:val="00F01AA9"/>
    <w:rsid w:val="00F01CC9"/>
    <w:rsid w:val="00F02592"/>
    <w:rsid w:val="00F53193"/>
    <w:rsid w:val="00F5357E"/>
    <w:rsid w:val="00F56E4E"/>
    <w:rsid w:val="00F6586C"/>
    <w:rsid w:val="00F85AC4"/>
    <w:rsid w:val="00F94774"/>
    <w:rsid w:val="00FA0E9A"/>
    <w:rsid w:val="00FA663B"/>
    <w:rsid w:val="00FC25F8"/>
    <w:rsid w:val="00FC53DB"/>
    <w:rsid w:val="00FE2131"/>
    <w:rsid w:val="00FE50FF"/>
    <w:rsid w:val="00FF3DF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317074"/>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361F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61F77"/>
    <w:rPr>
      <w:rFonts w:ascii="Times New Roman" w:eastAsia="Times New Roman" w:hAnsi="Times New Roman" w:cs="Times New Roman"/>
      <w:b/>
      <w:bCs/>
      <w:sz w:val="20"/>
      <w:szCs w:val="20"/>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D0177D"/>
    <w:pPr>
      <w:spacing w:before="120"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D0177D"/>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40662"/>
    <w:rsid w:val="000938CD"/>
    <w:rsid w:val="000D3A13"/>
    <w:rsid w:val="0016789F"/>
    <w:rsid w:val="00194603"/>
    <w:rsid w:val="001B2C93"/>
    <w:rsid w:val="001F71B9"/>
    <w:rsid w:val="004335CA"/>
    <w:rsid w:val="00434CD4"/>
    <w:rsid w:val="0046422C"/>
    <w:rsid w:val="004760CF"/>
    <w:rsid w:val="00484D4B"/>
    <w:rsid w:val="004E092F"/>
    <w:rsid w:val="00500A2B"/>
    <w:rsid w:val="00533354"/>
    <w:rsid w:val="00535D10"/>
    <w:rsid w:val="00551639"/>
    <w:rsid w:val="0058288D"/>
    <w:rsid w:val="005A1B38"/>
    <w:rsid w:val="00665C6B"/>
    <w:rsid w:val="006801B3"/>
    <w:rsid w:val="00692E4D"/>
    <w:rsid w:val="006D3795"/>
    <w:rsid w:val="00790B9A"/>
    <w:rsid w:val="007E330F"/>
    <w:rsid w:val="00810A55"/>
    <w:rsid w:val="00855AB8"/>
    <w:rsid w:val="008C6619"/>
    <w:rsid w:val="008D420E"/>
    <w:rsid w:val="00961E06"/>
    <w:rsid w:val="0098642F"/>
    <w:rsid w:val="009A6DDC"/>
    <w:rsid w:val="009F361F"/>
    <w:rsid w:val="00A25104"/>
    <w:rsid w:val="00AA0DF1"/>
    <w:rsid w:val="00AC24FA"/>
    <w:rsid w:val="00B27D2C"/>
    <w:rsid w:val="00BC4703"/>
    <w:rsid w:val="00C8104B"/>
    <w:rsid w:val="00CA44FB"/>
    <w:rsid w:val="00CC22AC"/>
    <w:rsid w:val="00D31D12"/>
    <w:rsid w:val="00EE5CE1"/>
    <w:rsid w:val="00EF0048"/>
    <w:rsid w:val="00F05965"/>
    <w:rsid w:val="00F23B77"/>
    <w:rsid w:val="00FE76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9EA89652-2315-4A5F-8F29-CDAB1790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4B5965-C6A1-4D76-A9D6-316C0C8D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2718</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CP-10/7.	Assessment and review of the effectiveness of the Protocol (Article 35) and final evaluation of the Strategic Plan for the Cartagena Protocol on Biosafety for the period 2011-2020</vt:lpstr>
    </vt:vector>
  </TitlesOfParts>
  <Company>SCBD</Company>
  <LinksUpToDate>false</LinksUpToDate>
  <CharactersWithSpaces>17634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CP-10/7.	Évaluation et examen de l’efficacité du Protocole (article 35) et évaluation finale du Plan stratégique du Protocole de Cartagena pour la période 2011-2020</dc:title>
  <dc:subject>CBD/CP/MOP/DEC/10/7</dc:subject>
  <dc:creator>SCBD</dc:creator>
  <cp:keywords>Decision adopted by the Parties to the Cartagena Protocol on Biosafety</cp:keywords>
  <cp:lastModifiedBy>Finn Kinley</cp:lastModifiedBy>
  <cp:revision>12</cp:revision>
  <cp:lastPrinted>2023-02-08T23:07:00Z</cp:lastPrinted>
  <dcterms:created xsi:type="dcterms:W3CDTF">2023-02-22T19:46:00Z</dcterms:created>
  <dcterms:modified xsi:type="dcterms:W3CDTF">2023-02-24T02:20:00Z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