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Layout w:type="fixed"/>
        <w:tblLook w:val="00A0"/>
      </w:tblPr>
      <w:tblGrid>
        <w:gridCol w:w="976"/>
        <w:gridCol w:w="5141"/>
        <w:gridCol w:w="4090"/>
      </w:tblGrid>
      <w:tr w:rsidR="00B82CC0" w:rsidRPr="002F7AF1">
        <w:trPr>
          <w:trHeight w:val="851"/>
        </w:trPr>
        <w:tc>
          <w:tcPr>
            <w:tcW w:w="976" w:type="dxa"/>
            <w:tcBorders>
              <w:bottom w:val="single" w:sz="12" w:space="0" w:color="auto"/>
            </w:tcBorders>
          </w:tcPr>
          <w:p w:rsidR="00B82CC0" w:rsidRPr="002F7AF1" w:rsidRDefault="007965D1">
            <w:pPr>
              <w:rPr>
                <w:rFonts w:eastAsia="Times New Roman"/>
                <w:lang w:val="es-ES"/>
              </w:rPr>
            </w:pPr>
            <w:r w:rsidRPr="002F7AF1">
              <w:rPr>
                <w:rFonts w:eastAsia="Times New Roman"/>
                <w:noProof/>
                <w:snapToGrid/>
                <w:lang w:val="en-US" w:eastAsia="en-US"/>
              </w:rPr>
              <w:drawing>
                <wp:inline distT="0" distB="0" distL="0" distR="0">
                  <wp:extent cx="427990" cy="363220"/>
                  <wp:effectExtent l="1905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srcRect/>
                          <a:stretch>
                            <a:fillRect/>
                          </a:stretch>
                        </pic:blipFill>
                        <pic:spPr bwMode="auto">
                          <a:xfrm>
                            <a:off x="0" y="0"/>
                            <a:ext cx="427990" cy="363220"/>
                          </a:xfrm>
                          <a:prstGeom prst="rect">
                            <a:avLst/>
                          </a:prstGeom>
                          <a:noFill/>
                          <a:ln w="9525">
                            <a:noFill/>
                            <a:miter lim="800000"/>
                            <a:headEnd/>
                            <a:tailEnd/>
                          </a:ln>
                        </pic:spPr>
                      </pic:pic>
                    </a:graphicData>
                  </a:graphic>
                </wp:inline>
              </w:drawing>
            </w:r>
          </w:p>
        </w:tc>
        <w:tc>
          <w:tcPr>
            <w:tcW w:w="5141" w:type="dxa"/>
            <w:tcBorders>
              <w:bottom w:val="single" w:sz="12" w:space="0" w:color="auto"/>
            </w:tcBorders>
            <w:tcFitText/>
          </w:tcPr>
          <w:p w:rsidR="00B82CC0" w:rsidRPr="002F7AF1" w:rsidRDefault="007965D1">
            <w:pPr>
              <w:rPr>
                <w:rFonts w:eastAsia="Times New Roman"/>
                <w:lang w:val="es-ES"/>
              </w:rPr>
            </w:pPr>
            <w:r w:rsidRPr="002F7AF1">
              <w:rPr>
                <w:rFonts w:eastAsia="Times New Roman"/>
                <w:noProof/>
                <w:snapToGrid/>
                <w:lang w:val="en-US" w:eastAsia="en-US"/>
              </w:rPr>
              <w:drawing>
                <wp:inline distT="0" distB="0" distL="0" distR="0">
                  <wp:extent cx="609600" cy="351790"/>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09600" cy="35179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B82CC0" w:rsidRPr="002F7AF1" w:rsidRDefault="00B82CC0">
            <w:pPr>
              <w:jc w:val="right"/>
              <w:rPr>
                <w:rFonts w:ascii="Arial" w:eastAsia="Times New Roman" w:hAnsi="Arial" w:cs="Arial"/>
                <w:b/>
                <w:bCs/>
                <w:sz w:val="32"/>
                <w:szCs w:val="32"/>
                <w:lang w:val="es-ES"/>
              </w:rPr>
            </w:pPr>
            <w:r w:rsidRPr="002F7AF1">
              <w:rPr>
                <w:rFonts w:ascii="Arial" w:eastAsia="Times New Roman" w:hAnsi="Arial" w:cs="Arial"/>
                <w:b/>
                <w:bCs/>
                <w:sz w:val="32"/>
                <w:szCs w:val="32"/>
                <w:lang w:val="es-ES"/>
              </w:rPr>
              <w:t>CBD</w:t>
            </w:r>
          </w:p>
        </w:tc>
      </w:tr>
      <w:tr w:rsidR="00B82CC0" w:rsidRPr="002F7AF1">
        <w:tc>
          <w:tcPr>
            <w:tcW w:w="6117" w:type="dxa"/>
            <w:gridSpan w:val="2"/>
            <w:tcBorders>
              <w:top w:val="single" w:sz="12" w:space="0" w:color="auto"/>
              <w:bottom w:val="single" w:sz="36" w:space="0" w:color="auto"/>
            </w:tcBorders>
            <w:vAlign w:val="center"/>
          </w:tcPr>
          <w:p w:rsidR="00B82CC0" w:rsidRPr="002F7AF1" w:rsidRDefault="007965D1">
            <w:pPr>
              <w:rPr>
                <w:rFonts w:eastAsia="Times New Roman"/>
                <w:lang w:val="es-ES"/>
              </w:rPr>
            </w:pPr>
            <w:r w:rsidRPr="002F7AF1">
              <w:rPr>
                <w:rFonts w:eastAsia="Times New Roman"/>
                <w:noProof/>
                <w:snapToGrid/>
                <w:lang w:val="en-US" w:eastAsia="en-US"/>
              </w:rPr>
              <w:drawing>
                <wp:inline distT="0" distB="0" distL="0" distR="0">
                  <wp:extent cx="2872105" cy="1055370"/>
                  <wp:effectExtent l="19050" t="0" r="4445"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a:stretch>
                            <a:fillRect/>
                          </a:stretch>
                        </pic:blipFill>
                        <pic:spPr bwMode="auto">
                          <a:xfrm>
                            <a:off x="0" y="0"/>
                            <a:ext cx="2872105" cy="105537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B82CC0" w:rsidRPr="002F7AF1" w:rsidRDefault="00B82CC0">
            <w:pPr>
              <w:ind w:left="1215"/>
              <w:rPr>
                <w:rFonts w:eastAsia="Times New Roman"/>
                <w:lang w:val="es-ES"/>
              </w:rPr>
            </w:pPr>
            <w:r w:rsidRPr="002F7AF1">
              <w:rPr>
                <w:rFonts w:eastAsia="Times New Roman"/>
                <w:lang w:val="es-ES"/>
              </w:rPr>
              <w:t>Distr.</w:t>
            </w:r>
          </w:p>
          <w:p w:rsidR="00B82CC0" w:rsidRPr="002F7AF1" w:rsidRDefault="00B82CC0">
            <w:pPr>
              <w:ind w:left="1215"/>
              <w:rPr>
                <w:rFonts w:eastAsia="Times New Roman"/>
                <w:lang w:val="es-ES"/>
              </w:rPr>
            </w:pPr>
            <w:r w:rsidRPr="002F7AF1">
              <w:rPr>
                <w:rFonts w:eastAsia="Times New Roman"/>
                <w:caps/>
                <w:lang w:val="es-ES"/>
              </w:rPr>
              <w:t>General</w:t>
            </w:r>
          </w:p>
          <w:p w:rsidR="00B82CC0" w:rsidRPr="002F7AF1" w:rsidRDefault="00B82CC0">
            <w:pPr>
              <w:ind w:left="1215"/>
              <w:rPr>
                <w:rFonts w:eastAsia="Times New Roman"/>
                <w:lang w:val="es-ES"/>
              </w:rPr>
            </w:pPr>
          </w:p>
          <w:p w:rsidR="00B82CC0" w:rsidRPr="002F7AF1" w:rsidRDefault="00B82CC0">
            <w:pPr>
              <w:ind w:left="1215"/>
              <w:rPr>
                <w:rFonts w:eastAsia="Times New Roman"/>
                <w:lang w:val="es-ES"/>
              </w:rPr>
            </w:pPr>
            <w:r w:rsidRPr="002F7AF1">
              <w:rPr>
                <w:rFonts w:eastAsia="Times New Roman"/>
                <w:lang w:val="es-ES"/>
              </w:rPr>
              <w:t>CBD/CP/MOP/DEC/10/8</w:t>
            </w:r>
          </w:p>
          <w:p w:rsidR="00B82CC0" w:rsidRPr="002F7AF1" w:rsidRDefault="00B82CC0">
            <w:pPr>
              <w:ind w:left="1215"/>
              <w:rPr>
                <w:rFonts w:eastAsia="Times New Roman"/>
                <w:lang w:val="es-ES"/>
              </w:rPr>
            </w:pPr>
            <w:r w:rsidRPr="002F7AF1">
              <w:rPr>
                <w:rFonts w:eastAsia="Times New Roman"/>
                <w:lang w:val="es-ES"/>
              </w:rPr>
              <w:t>19 de diciembre de 2022</w:t>
            </w:r>
          </w:p>
          <w:p w:rsidR="00B82CC0" w:rsidRPr="002F7AF1" w:rsidRDefault="00B82CC0">
            <w:pPr>
              <w:ind w:left="1215"/>
              <w:rPr>
                <w:rFonts w:eastAsia="Times New Roman"/>
                <w:lang w:val="es-ES"/>
              </w:rPr>
            </w:pPr>
          </w:p>
          <w:p w:rsidR="00B82CC0" w:rsidRPr="002F7AF1" w:rsidRDefault="00B82CC0">
            <w:pPr>
              <w:ind w:left="1215"/>
              <w:rPr>
                <w:rFonts w:eastAsia="Times New Roman"/>
                <w:lang w:val="es-ES"/>
              </w:rPr>
            </w:pPr>
            <w:r w:rsidRPr="002F7AF1">
              <w:rPr>
                <w:rFonts w:eastAsia="Times New Roman"/>
                <w:lang w:val="es-ES"/>
              </w:rPr>
              <w:t>ESPAÑOL</w:t>
            </w:r>
          </w:p>
          <w:p w:rsidR="00B82CC0" w:rsidRPr="002F7AF1" w:rsidRDefault="00B82CC0">
            <w:pPr>
              <w:ind w:left="1215"/>
              <w:rPr>
                <w:rFonts w:eastAsia="Times New Roman"/>
                <w:lang w:val="es-ES"/>
              </w:rPr>
            </w:pPr>
            <w:r w:rsidRPr="002F7AF1">
              <w:rPr>
                <w:rFonts w:eastAsia="Times New Roman"/>
                <w:lang w:val="es-ES"/>
              </w:rPr>
              <w:t>ORIGINAL: INGLÉS</w:t>
            </w:r>
          </w:p>
          <w:p w:rsidR="00B82CC0" w:rsidRPr="002F7AF1" w:rsidRDefault="00B82CC0">
            <w:pPr>
              <w:rPr>
                <w:rFonts w:eastAsia="Times New Roman"/>
                <w:lang w:val="es-ES"/>
              </w:rPr>
            </w:pPr>
          </w:p>
        </w:tc>
      </w:tr>
    </w:tbl>
    <w:p w:rsidR="00B82CC0" w:rsidRPr="002F7AF1" w:rsidRDefault="00B82CC0">
      <w:pPr>
        <w:pStyle w:val="Cornernotation"/>
        <w:kinsoku w:val="0"/>
        <w:overflowPunct w:val="0"/>
        <w:autoSpaceDE w:val="0"/>
        <w:autoSpaceDN w:val="0"/>
        <w:spacing w:before="60"/>
        <w:ind w:left="230" w:right="4234" w:hanging="230"/>
        <w:rPr>
          <w:rFonts w:eastAsia="Times New Roman"/>
          <w:kern w:val="22"/>
          <w:lang w:val="es-ES"/>
        </w:rPr>
      </w:pPr>
      <w:r w:rsidRPr="002F7AF1">
        <w:rPr>
          <w:rFonts w:eastAsia="Times New Roman"/>
          <w:kern w:val="22"/>
          <w:lang w:val="es-ES"/>
        </w:rPr>
        <w:t>CONFERENCIA DE LAS PARTES EN EL CONVENIO SOBRE LA DIVERSIDAD BIOLÓGICA QUE ACTÚA COMO REUNIÓN DE LAS PARTES EN EL PROTOCOLO DE CARTAGENA SOBRE SEGURIDAD DE LA BIOTECNOLOGÍA</w:t>
      </w:r>
    </w:p>
    <w:p w:rsidR="00B82CC0" w:rsidRPr="002F7AF1" w:rsidRDefault="00B82CC0">
      <w:pPr>
        <w:pStyle w:val="Cornernotation"/>
        <w:kinsoku w:val="0"/>
        <w:overflowPunct w:val="0"/>
        <w:autoSpaceDE w:val="0"/>
        <w:autoSpaceDN w:val="0"/>
        <w:ind w:left="0" w:right="4512" w:firstLine="0"/>
        <w:rPr>
          <w:rFonts w:eastAsia="Times New Roman"/>
          <w:kern w:val="22"/>
          <w:lang w:val="es-ES"/>
        </w:rPr>
      </w:pPr>
      <w:r w:rsidRPr="002F7AF1">
        <w:rPr>
          <w:rFonts w:eastAsia="Times New Roman"/>
          <w:kern w:val="22"/>
          <w:lang w:val="es-ES"/>
        </w:rPr>
        <w:t>Décima reunión – Parte II</w:t>
      </w:r>
    </w:p>
    <w:p w:rsidR="00B82CC0" w:rsidRPr="002F7AF1" w:rsidRDefault="00B82CC0">
      <w:pPr>
        <w:pStyle w:val="Cornernotation"/>
        <w:kinsoku w:val="0"/>
        <w:overflowPunct w:val="0"/>
        <w:autoSpaceDE w:val="0"/>
        <w:autoSpaceDN w:val="0"/>
        <w:ind w:left="227" w:right="4512" w:hanging="227"/>
        <w:rPr>
          <w:rFonts w:eastAsia="Times New Roman"/>
          <w:kern w:val="22"/>
          <w:lang w:val="es-ES"/>
        </w:rPr>
      </w:pPr>
      <w:r w:rsidRPr="002F7AF1">
        <w:rPr>
          <w:rFonts w:eastAsia="Times New Roman"/>
          <w:kern w:val="22"/>
          <w:lang w:val="es-ES"/>
        </w:rPr>
        <w:t>Montreal (Canadá), 7 a 19 de diciembre de 2022</w:t>
      </w:r>
    </w:p>
    <w:p w:rsidR="00B82CC0" w:rsidRPr="002F7AF1" w:rsidRDefault="00B82CC0">
      <w:pPr>
        <w:rPr>
          <w:rFonts w:eastAsia="Times New Roman"/>
          <w:kern w:val="22"/>
          <w:lang w:val="es-ES"/>
        </w:rPr>
      </w:pPr>
      <w:r w:rsidRPr="002F7AF1">
        <w:rPr>
          <w:rFonts w:eastAsia="Times New Roman"/>
          <w:kern w:val="22"/>
          <w:lang w:val="es-ES"/>
        </w:rPr>
        <w:t>Tema 13 del programa</w:t>
      </w:r>
    </w:p>
    <w:p w:rsidR="00B82CC0" w:rsidRPr="002F7AF1" w:rsidRDefault="00B82CC0">
      <w:pPr>
        <w:spacing w:before="240" w:after="240"/>
        <w:ind w:right="-288"/>
        <w:jc w:val="center"/>
        <w:rPr>
          <w:rFonts w:eastAsia="Times New Roman"/>
          <w:b/>
          <w:bCs/>
          <w:caps/>
          <w:lang w:val="es-ES"/>
        </w:rPr>
      </w:pPr>
      <w:r w:rsidRPr="002F7AF1">
        <w:rPr>
          <w:rFonts w:eastAsia="Times New Roman"/>
          <w:b/>
          <w:bCs/>
          <w:caps/>
          <w:lang w:val="es-ES"/>
        </w:rPr>
        <w:t>DECISIÓN ADOPTADA POR LAS Partes en el Protocolo de Cartagena sobre Seguridad de la Biotecnología</w:t>
      </w:r>
    </w:p>
    <w:p w:rsidR="00B82CC0" w:rsidRPr="002F7AF1" w:rsidRDefault="00B82CC0">
      <w:pPr>
        <w:keepNext/>
        <w:spacing w:before="240" w:after="240"/>
        <w:ind w:left="1353" w:hanging="1166"/>
        <w:jc w:val="left"/>
        <w:outlineLvl w:val="1"/>
        <w:rPr>
          <w:rFonts w:eastAsia="Times New Roman"/>
          <w:b/>
          <w:bCs/>
          <w:caps/>
          <w:lang w:val="es-ES"/>
        </w:rPr>
      </w:pPr>
      <w:r w:rsidRPr="002F7AF1">
        <w:rPr>
          <w:rFonts w:eastAsia="Times New Roman"/>
          <w:b/>
          <w:bCs/>
          <w:lang w:val="es-ES"/>
        </w:rPr>
        <w:t xml:space="preserve">CP-10/8. </w:t>
      </w:r>
      <w:r w:rsidRPr="002F7AF1">
        <w:rPr>
          <w:rFonts w:eastAsia="Times New Roman"/>
          <w:b/>
          <w:bCs/>
          <w:lang w:val="es-ES"/>
        </w:rPr>
        <w:tab/>
        <w:t>Revisión de la eficacia de las estructuras y los procesos en el marco del Convenio y sus Protocolos</w:t>
      </w:r>
      <w:r w:rsidRPr="002F7AF1">
        <w:rPr>
          <w:rFonts w:eastAsia="Times New Roman"/>
          <w:b/>
          <w:bCs/>
          <w:caps/>
          <w:lang w:val="es-ES"/>
        </w:rPr>
        <w:t xml:space="preserve"> </w:t>
      </w:r>
    </w:p>
    <w:p w:rsidR="00B82CC0" w:rsidRPr="002F7AF1" w:rsidRDefault="00B82CC0">
      <w:pPr>
        <w:suppressLineNumbers/>
        <w:suppressAutoHyphens/>
        <w:autoSpaceDE w:val="0"/>
        <w:autoSpaceDN w:val="0"/>
        <w:adjustRightInd w:val="0"/>
        <w:spacing w:before="240" w:after="120"/>
        <w:ind w:firstLine="720"/>
        <w:rPr>
          <w:rFonts w:eastAsia="Times New Roman"/>
          <w:i/>
          <w:iCs/>
          <w:kern w:val="22"/>
          <w:lang w:val="es-ES"/>
        </w:rPr>
      </w:pPr>
      <w:r w:rsidRPr="002F7AF1">
        <w:rPr>
          <w:rFonts w:eastAsia="Times New Roman"/>
          <w:i/>
          <w:iCs/>
          <w:kern w:val="22"/>
          <w:lang w:val="es-ES"/>
        </w:rPr>
        <w:t>La Conferencia de las Partes que actúa como reunión de las Partes en el Protocolo de Cartagena sobre Seguridad de la Biotecnología</w:t>
      </w:r>
      <w:r w:rsidRPr="002F7AF1">
        <w:rPr>
          <w:rFonts w:eastAsia="Times New Roman"/>
          <w:kern w:val="22"/>
          <w:lang w:val="es-ES"/>
        </w:rPr>
        <w:t>,</w:t>
      </w:r>
    </w:p>
    <w:p w:rsidR="00B82CC0" w:rsidRPr="002F7AF1" w:rsidRDefault="00B82CC0">
      <w:pPr>
        <w:keepNext/>
        <w:suppressLineNumbers/>
        <w:suppressAutoHyphens/>
        <w:autoSpaceDE w:val="0"/>
        <w:autoSpaceDN w:val="0"/>
        <w:adjustRightInd w:val="0"/>
        <w:spacing w:before="120" w:after="120"/>
        <w:ind w:left="14" w:hanging="14"/>
        <w:jc w:val="center"/>
        <w:rPr>
          <w:rFonts w:eastAsia="Times New Roman"/>
          <w:i/>
          <w:iCs/>
          <w:lang w:val="es-ES"/>
        </w:rPr>
      </w:pPr>
      <w:r w:rsidRPr="002F7AF1">
        <w:rPr>
          <w:rFonts w:eastAsia="Times New Roman"/>
          <w:b/>
          <w:bCs/>
          <w:kern w:val="22"/>
          <w:lang w:val="es-ES"/>
        </w:rPr>
        <w:t>A.</w:t>
      </w:r>
      <w:r w:rsidRPr="002F7AF1">
        <w:rPr>
          <w:rFonts w:eastAsia="Times New Roman"/>
          <w:b/>
          <w:bCs/>
          <w:kern w:val="22"/>
          <w:lang w:val="es-ES"/>
        </w:rPr>
        <w:tab/>
        <w:t>Experiencia con reuniones concurrentes</w:t>
      </w:r>
    </w:p>
    <w:p w:rsidR="00B82CC0" w:rsidRPr="002F7AF1" w:rsidRDefault="00B82CC0">
      <w:pPr>
        <w:suppressLineNumbers/>
        <w:suppressAutoHyphens/>
        <w:autoSpaceDE w:val="0"/>
        <w:autoSpaceDN w:val="0"/>
        <w:adjustRightInd w:val="0"/>
        <w:spacing w:before="120" w:after="120"/>
        <w:ind w:firstLine="720"/>
        <w:rPr>
          <w:rFonts w:eastAsia="Times New Roman"/>
          <w:kern w:val="22"/>
          <w:lang w:val="es-ES"/>
        </w:rPr>
      </w:pPr>
      <w:r w:rsidRPr="002F7AF1">
        <w:rPr>
          <w:rFonts w:eastAsia="Times New Roman"/>
          <w:i/>
          <w:iCs/>
          <w:kern w:val="22"/>
          <w:lang w:val="es-ES"/>
        </w:rPr>
        <w:t xml:space="preserve">Recordando las </w:t>
      </w:r>
      <w:r w:rsidRPr="002F7AF1">
        <w:rPr>
          <w:rFonts w:eastAsia="Times New Roman"/>
          <w:kern w:val="22"/>
          <w:lang w:val="es-ES"/>
        </w:rPr>
        <w:t>decisiones BS-VII/9, CP-VIII/10 y CP</w:t>
      </w:r>
      <w:r w:rsidRPr="002F7AF1">
        <w:rPr>
          <w:rFonts w:eastAsia="Times New Roman"/>
          <w:kern w:val="22"/>
          <w:lang w:val="es-ES"/>
        </w:rPr>
        <w:noBreakHyphen/>
        <w:t>9/8,</w:t>
      </w:r>
    </w:p>
    <w:p w:rsidR="00B82CC0" w:rsidRPr="002F7AF1" w:rsidRDefault="00B82CC0">
      <w:pPr>
        <w:suppressLineNumbers/>
        <w:suppressAutoHyphens/>
        <w:autoSpaceDE w:val="0"/>
        <w:autoSpaceDN w:val="0"/>
        <w:adjustRightInd w:val="0"/>
        <w:spacing w:before="120" w:after="120"/>
        <w:ind w:firstLine="720"/>
        <w:rPr>
          <w:rFonts w:eastAsia="Times New Roman"/>
          <w:kern w:val="22"/>
          <w:lang w:val="es-ES"/>
        </w:rPr>
      </w:pPr>
      <w:r w:rsidRPr="002F7AF1">
        <w:rPr>
          <w:rFonts w:eastAsia="Times New Roman"/>
          <w:i/>
          <w:iCs/>
          <w:kern w:val="22"/>
          <w:lang w:val="es-ES"/>
        </w:rPr>
        <w:t xml:space="preserve">Habiendo revisado </w:t>
      </w:r>
      <w:r w:rsidRPr="002F7AF1">
        <w:rPr>
          <w:rFonts w:eastAsia="Times New Roman"/>
          <w:kern w:val="22"/>
          <w:lang w:val="es-ES"/>
        </w:rPr>
        <w:t>la experiencia en la celebración de reuniones concurrentes de la Conferencia de las Partes, la Conferencia de las Partes que actúa como reunión de las Partes en el Protocolo de Cartagena y la Conferencia de las Partes que actúa como reunión de las Partes en el Protocolo de Nagoya, aplicando los criterios previamente acordados,</w:t>
      </w:r>
    </w:p>
    <w:p w:rsidR="00B82CC0" w:rsidRPr="002F7AF1" w:rsidRDefault="00B82CC0">
      <w:pPr>
        <w:suppressLineNumbers/>
        <w:suppressAutoHyphens/>
        <w:autoSpaceDE w:val="0"/>
        <w:autoSpaceDN w:val="0"/>
        <w:adjustRightInd w:val="0"/>
        <w:spacing w:before="120" w:after="120"/>
        <w:ind w:firstLine="720"/>
        <w:rPr>
          <w:rFonts w:eastAsia="Times New Roman"/>
          <w:kern w:val="22"/>
          <w:lang w:val="es-ES"/>
        </w:rPr>
      </w:pPr>
      <w:r w:rsidRPr="002F7AF1">
        <w:rPr>
          <w:rFonts w:eastAsia="Times New Roman"/>
          <w:i/>
          <w:iCs/>
          <w:kern w:val="22"/>
          <w:lang w:val="es-ES"/>
        </w:rPr>
        <w:t xml:space="preserve">Tomando en cuenta </w:t>
      </w:r>
      <w:r w:rsidRPr="002F7AF1">
        <w:rPr>
          <w:rFonts w:eastAsia="Times New Roman"/>
          <w:lang w:val="es-ES"/>
        </w:rPr>
        <w:t>las opiniones de las Partes y los observadores que participaron en las reuniones concurrentes celebradas en 2016 y 2018, sintetizadas y expuestas en las notas de la Secretaria Ejecutiva sobre el examen de la experiencia en la celebración de reuniones concurrentes de la Conferencia de las Partes en el Convenio y reuniones de las Partes en los Protocolos</w:t>
      </w:r>
      <w:r w:rsidRPr="002F7AF1">
        <w:rPr>
          <w:rFonts w:eastAsia="Times New Roman"/>
          <w:kern w:val="22"/>
          <w:vertAlign w:val="superscript"/>
          <w:lang w:val="es-ES"/>
        </w:rPr>
        <w:footnoteReference w:id="2"/>
      </w:r>
      <w:r w:rsidRPr="002F7AF1">
        <w:rPr>
          <w:rFonts w:eastAsia="Times New Roman"/>
          <w:kern w:val="22"/>
          <w:lang w:val="es-ES"/>
        </w:rPr>
        <w:t>,</w:t>
      </w:r>
    </w:p>
    <w:p w:rsidR="00B82CC0" w:rsidRPr="002F7AF1" w:rsidRDefault="00B82CC0">
      <w:pPr>
        <w:suppressLineNumbers/>
        <w:suppressAutoHyphens/>
        <w:autoSpaceDE w:val="0"/>
        <w:autoSpaceDN w:val="0"/>
        <w:adjustRightInd w:val="0"/>
        <w:spacing w:before="120" w:after="120"/>
        <w:ind w:firstLine="720"/>
        <w:rPr>
          <w:rFonts w:eastAsia="Times New Roman"/>
          <w:kern w:val="22"/>
          <w:lang w:val="es-ES"/>
        </w:rPr>
      </w:pPr>
      <w:r w:rsidRPr="002F7AF1">
        <w:rPr>
          <w:rFonts w:eastAsia="Times New Roman"/>
          <w:kern w:val="22"/>
          <w:lang w:val="es-ES"/>
        </w:rPr>
        <w:t>1.</w:t>
      </w:r>
      <w:r w:rsidRPr="002F7AF1">
        <w:rPr>
          <w:rFonts w:eastAsia="Times New Roman"/>
          <w:kern w:val="22"/>
          <w:lang w:val="es-ES"/>
        </w:rPr>
        <w:tab/>
      </w:r>
      <w:r w:rsidRPr="002F7AF1">
        <w:rPr>
          <w:rFonts w:eastAsia="Times New Roman"/>
          <w:i/>
          <w:iCs/>
          <w:kern w:val="22"/>
          <w:lang w:val="es-ES"/>
        </w:rPr>
        <w:t xml:space="preserve">Observa con satisfacción </w:t>
      </w:r>
      <w:r w:rsidRPr="002F7AF1">
        <w:rPr>
          <w:rFonts w:eastAsia="Times New Roman"/>
          <w:kern w:val="22"/>
          <w:lang w:val="es-ES"/>
        </w:rPr>
        <w:t>que se consideró que, en general, las reuniones concurrentes habían permitido una mayor integración entre el Convenio y sus Protocolos, así como mejores consultas, coordinación y sinergias entre los respectivos puntos focales nacionales;</w:t>
      </w:r>
    </w:p>
    <w:p w:rsidR="00B82CC0" w:rsidRPr="002F7AF1" w:rsidRDefault="00B82CC0">
      <w:pPr>
        <w:suppressLineNumbers/>
        <w:suppressAutoHyphens/>
        <w:autoSpaceDE w:val="0"/>
        <w:autoSpaceDN w:val="0"/>
        <w:adjustRightInd w:val="0"/>
        <w:spacing w:before="120" w:after="120"/>
        <w:ind w:firstLine="720"/>
        <w:rPr>
          <w:rFonts w:eastAsia="Times New Roman"/>
          <w:kern w:val="22"/>
          <w:lang w:val="es-ES"/>
        </w:rPr>
      </w:pPr>
      <w:r w:rsidRPr="002F7AF1">
        <w:rPr>
          <w:rFonts w:eastAsia="Times New Roman"/>
          <w:kern w:val="22"/>
          <w:lang w:val="es-ES"/>
        </w:rPr>
        <w:t>2.</w:t>
      </w:r>
      <w:r w:rsidRPr="002F7AF1">
        <w:rPr>
          <w:rFonts w:eastAsia="Times New Roman"/>
          <w:kern w:val="22"/>
          <w:lang w:val="es-ES"/>
        </w:rPr>
        <w:tab/>
      </w:r>
      <w:r w:rsidRPr="002F7AF1">
        <w:rPr>
          <w:rFonts w:eastAsia="Times New Roman"/>
          <w:i/>
          <w:iCs/>
          <w:spacing w:val="-2"/>
          <w:kern w:val="22"/>
          <w:lang w:val="es-ES"/>
        </w:rPr>
        <w:t>Observa</w:t>
      </w:r>
      <w:r w:rsidRPr="002F7AF1">
        <w:rPr>
          <w:rFonts w:eastAsia="Times New Roman"/>
          <w:spacing w:val="-2"/>
          <w:kern w:val="22"/>
          <w:lang w:val="es-ES"/>
        </w:rPr>
        <w:t xml:space="preserve"> que se consideró que la mayoría de los criterios se cumplían total o parcialmente y que se podría seguir mejorando el funcionamiento de las reuniones concurrentes, en particular para lograr mejores resultados y una mayor eficacia en las reuniones de las Partes en los Protocolos</w:t>
      </w:r>
      <w:r w:rsidRPr="002F7AF1">
        <w:rPr>
          <w:rFonts w:eastAsia="Times New Roman"/>
          <w:kern w:val="22"/>
          <w:lang w:val="es-ES"/>
        </w:rPr>
        <w:t>;</w:t>
      </w:r>
    </w:p>
    <w:p w:rsidR="00B82CC0" w:rsidRPr="002F7AF1" w:rsidRDefault="00B82CC0">
      <w:pPr>
        <w:suppressLineNumbers/>
        <w:suppressAutoHyphens/>
        <w:autoSpaceDE w:val="0"/>
        <w:autoSpaceDN w:val="0"/>
        <w:adjustRightInd w:val="0"/>
        <w:spacing w:before="120" w:after="120"/>
        <w:ind w:firstLine="720"/>
        <w:rPr>
          <w:rFonts w:eastAsia="Times New Roman"/>
          <w:kern w:val="22"/>
          <w:lang w:val="es-ES"/>
        </w:rPr>
      </w:pPr>
      <w:r w:rsidRPr="002F7AF1">
        <w:rPr>
          <w:rFonts w:eastAsia="Times New Roman"/>
          <w:kern w:val="22"/>
          <w:lang w:val="es-ES"/>
        </w:rPr>
        <w:t>3.</w:t>
      </w:r>
      <w:r w:rsidRPr="002F7AF1">
        <w:rPr>
          <w:rFonts w:eastAsia="Times New Roman"/>
          <w:kern w:val="22"/>
          <w:lang w:val="es-ES"/>
        </w:rPr>
        <w:tab/>
      </w:r>
      <w:r w:rsidRPr="002F7AF1">
        <w:rPr>
          <w:rFonts w:eastAsia="Times New Roman"/>
          <w:i/>
          <w:iCs/>
          <w:kern w:val="22"/>
          <w:lang w:val="es-ES"/>
        </w:rPr>
        <w:t xml:space="preserve">Reitera </w:t>
      </w:r>
      <w:r w:rsidRPr="002F7AF1">
        <w:rPr>
          <w:rFonts w:eastAsia="Times New Roman"/>
          <w:kern w:val="22"/>
          <w:lang w:val="es-ES"/>
        </w:rPr>
        <w:t xml:space="preserve">la importancia de garantizar que en las reuniones concurrentes participen plena y efectivamente representantes de las Partes que son países en desarrollo, en particular los países menos adelantados y los pequeños Estados insulares en desarrollo entre ellos, así como los países con economías en transición, y la importancia, en especial, de garantizar una participación adecuada de representantes en </w:t>
      </w:r>
      <w:r w:rsidRPr="002F7AF1">
        <w:rPr>
          <w:rFonts w:eastAsia="Times New Roman"/>
          <w:kern w:val="22"/>
          <w:lang w:val="es-ES"/>
        </w:rPr>
        <w:lastRenderedPageBreak/>
        <w:t>las reuniones de las Partes en los Protocolos mediante la facilitación de fondos para dicha participación y, en ese sentido, recuerda los párrafos 36 a 46 de la decisión 14/37;</w:t>
      </w:r>
    </w:p>
    <w:p w:rsidR="00B82CC0" w:rsidRPr="002F7AF1" w:rsidRDefault="00B82CC0">
      <w:pPr>
        <w:suppressLineNumbers/>
        <w:suppressAutoHyphens/>
        <w:autoSpaceDE w:val="0"/>
        <w:autoSpaceDN w:val="0"/>
        <w:adjustRightInd w:val="0"/>
        <w:spacing w:before="120" w:after="120"/>
        <w:ind w:firstLine="720"/>
        <w:rPr>
          <w:rFonts w:eastAsia="Times New Roman"/>
          <w:kern w:val="22"/>
          <w:lang w:val="es-ES"/>
        </w:rPr>
      </w:pPr>
      <w:r w:rsidRPr="002F7AF1">
        <w:rPr>
          <w:rFonts w:eastAsia="Times New Roman"/>
          <w:kern w:val="22"/>
          <w:lang w:val="es-ES"/>
        </w:rPr>
        <w:t>4.</w:t>
      </w:r>
      <w:r w:rsidRPr="002F7AF1">
        <w:rPr>
          <w:rFonts w:eastAsia="Times New Roman"/>
          <w:kern w:val="22"/>
          <w:lang w:val="es-ES"/>
        </w:rPr>
        <w:tab/>
      </w:r>
      <w:r w:rsidRPr="002F7AF1">
        <w:rPr>
          <w:rFonts w:eastAsia="Times New Roman"/>
          <w:i/>
          <w:iCs/>
          <w:kern w:val="22"/>
          <w:lang w:val="es-ES"/>
        </w:rPr>
        <w:t xml:space="preserve">Pide </w:t>
      </w:r>
      <w:r w:rsidRPr="002F7AF1">
        <w:rPr>
          <w:rFonts w:eastAsia="Times New Roman"/>
          <w:kern w:val="22"/>
          <w:lang w:val="es-ES"/>
        </w:rPr>
        <w:t>a la Secretaria Ejecutiva que, en consulta con la Mesa, siga mejorando la planificación y organización de futuras reuniones concurrentes sobre la base de la experiencia adquirida hasta la fecha y de las opiniones expresadas por las Partes y los observadores;</w:t>
      </w:r>
    </w:p>
    <w:p w:rsidR="00B82CC0" w:rsidRPr="002F7AF1" w:rsidRDefault="00B82CC0">
      <w:pPr>
        <w:keepNext/>
        <w:suppressLineNumbers/>
        <w:suppressAutoHyphens/>
        <w:autoSpaceDE w:val="0"/>
        <w:autoSpaceDN w:val="0"/>
        <w:adjustRightInd w:val="0"/>
        <w:spacing w:before="120" w:after="120"/>
        <w:ind w:left="14" w:hanging="14"/>
        <w:jc w:val="center"/>
        <w:rPr>
          <w:rFonts w:eastAsia="Times New Roman"/>
          <w:lang w:val="es-ES"/>
        </w:rPr>
      </w:pPr>
      <w:r w:rsidRPr="002F7AF1">
        <w:rPr>
          <w:rFonts w:eastAsia="Times New Roman"/>
          <w:b/>
          <w:bCs/>
          <w:kern w:val="22"/>
          <w:lang w:val="es-ES"/>
        </w:rPr>
        <w:t>B.</w:t>
      </w:r>
      <w:r w:rsidRPr="002F7AF1">
        <w:rPr>
          <w:rFonts w:eastAsia="Times New Roman"/>
          <w:b/>
          <w:bCs/>
          <w:kern w:val="22"/>
          <w:lang w:val="es-ES"/>
        </w:rPr>
        <w:tab/>
        <w:t>Experiencia con reuniones virtuales</w:t>
      </w:r>
    </w:p>
    <w:p w:rsidR="00B82CC0" w:rsidRPr="002F7AF1" w:rsidRDefault="00B82CC0">
      <w:pPr>
        <w:suppressLineNumbers/>
        <w:suppressAutoHyphens/>
        <w:autoSpaceDE w:val="0"/>
        <w:autoSpaceDN w:val="0"/>
        <w:adjustRightInd w:val="0"/>
        <w:spacing w:before="120" w:after="120"/>
        <w:ind w:firstLine="720"/>
        <w:rPr>
          <w:rFonts w:eastAsia="Times New Roman"/>
          <w:kern w:val="22"/>
          <w:lang w:val="es-ES"/>
        </w:rPr>
      </w:pPr>
      <w:r w:rsidRPr="002F7AF1">
        <w:rPr>
          <w:rFonts w:eastAsia="Times New Roman"/>
          <w:i/>
          <w:iCs/>
          <w:kern w:val="22"/>
          <w:lang w:val="es-ES"/>
        </w:rPr>
        <w:t xml:space="preserve">Reconociendo </w:t>
      </w:r>
      <w:r w:rsidRPr="002F7AF1">
        <w:rPr>
          <w:rFonts w:eastAsia="Times New Roman"/>
          <w:kern w:val="22"/>
          <w:lang w:val="es-ES"/>
        </w:rPr>
        <w:t>las restricciones impuestas desde marzo de 2020 como consecuencia de la pandemia de COVID-19, que tornaron inviables las reuniones presenciales y dieron lugar a la convocatoria de reuniones virtuales,</w:t>
      </w:r>
    </w:p>
    <w:p w:rsidR="00B82CC0" w:rsidRPr="002F7AF1" w:rsidRDefault="00B82CC0">
      <w:pPr>
        <w:suppressLineNumbers/>
        <w:suppressAutoHyphens/>
        <w:autoSpaceDE w:val="0"/>
        <w:autoSpaceDN w:val="0"/>
        <w:adjustRightInd w:val="0"/>
        <w:spacing w:before="120" w:after="120"/>
        <w:ind w:firstLine="720"/>
        <w:rPr>
          <w:rFonts w:eastAsia="Times New Roman"/>
          <w:kern w:val="22"/>
          <w:lang w:val="es-ES"/>
        </w:rPr>
      </w:pPr>
      <w:r w:rsidRPr="002F7AF1">
        <w:rPr>
          <w:rFonts w:eastAsia="Times New Roman"/>
          <w:kern w:val="22"/>
          <w:lang w:val="es-ES"/>
        </w:rPr>
        <w:t>5.</w:t>
      </w:r>
      <w:r w:rsidRPr="002F7AF1">
        <w:rPr>
          <w:rFonts w:eastAsia="Times New Roman"/>
          <w:kern w:val="22"/>
          <w:lang w:val="es-ES"/>
        </w:rPr>
        <w:tab/>
      </w:r>
      <w:r w:rsidRPr="002F7AF1">
        <w:rPr>
          <w:rFonts w:eastAsia="Times New Roman"/>
          <w:i/>
          <w:iCs/>
          <w:kern w:val="22"/>
          <w:lang w:val="es-ES"/>
        </w:rPr>
        <w:t xml:space="preserve">Observa </w:t>
      </w:r>
      <w:r w:rsidRPr="002F7AF1">
        <w:rPr>
          <w:rFonts w:eastAsia="Times New Roman"/>
          <w:kern w:val="22"/>
          <w:lang w:val="es-ES"/>
        </w:rPr>
        <w:t>los expeditivos ajustes y preparativos realizados por la Secretaría, así como la comprensión y flexibilidad demostradas por las presidencias y los participantes, que permitieron organizar una serie de reuniones y consultas en un entorno virtual para sortear las restricciones ocasionadas por la situación de pandemia, más allá de los inconvenientes planteados por un entorno de tales características y de las limitaciones que se acordaron con respecto a la adopción de decisiones;</w:t>
      </w:r>
    </w:p>
    <w:p w:rsidR="00B82CC0" w:rsidRPr="002F7AF1" w:rsidRDefault="00B82CC0">
      <w:pPr>
        <w:suppressLineNumbers/>
        <w:suppressAutoHyphens/>
        <w:autoSpaceDE w:val="0"/>
        <w:autoSpaceDN w:val="0"/>
        <w:adjustRightInd w:val="0"/>
        <w:spacing w:before="120" w:after="120"/>
        <w:ind w:firstLine="720"/>
        <w:rPr>
          <w:rFonts w:eastAsia="Times New Roman"/>
          <w:kern w:val="22"/>
          <w:lang w:val="es-ES"/>
        </w:rPr>
      </w:pPr>
      <w:r w:rsidRPr="002F7AF1">
        <w:rPr>
          <w:rFonts w:eastAsia="Times New Roman"/>
          <w:kern w:val="22"/>
          <w:lang w:val="es-ES"/>
        </w:rPr>
        <w:t>6.</w:t>
      </w:r>
      <w:r w:rsidRPr="002F7AF1">
        <w:rPr>
          <w:rFonts w:eastAsia="Times New Roman"/>
          <w:i/>
          <w:iCs/>
          <w:kern w:val="22"/>
          <w:lang w:val="es-ES"/>
        </w:rPr>
        <w:tab/>
        <w:t>Conviene en que</w:t>
      </w:r>
      <w:r w:rsidRPr="002F7AF1">
        <w:rPr>
          <w:rFonts w:eastAsia="Times New Roman"/>
          <w:kern w:val="22"/>
          <w:lang w:val="es-ES"/>
        </w:rPr>
        <w:t xml:space="preserve"> la convocatoria de reuniones oficiales en un entorno virtual, si bien fue importante para hacer frente a las circunstancias extraordinarias ocasionadas por la pandemia de COVID-19, no sienta un precedente para la futura organización de reuniones similares en el marco del Convenio y de los Protocolos;</w:t>
      </w:r>
    </w:p>
    <w:p w:rsidR="00B82CC0" w:rsidRPr="002F7AF1" w:rsidRDefault="00B82CC0">
      <w:pPr>
        <w:suppressLineNumbers/>
        <w:suppressAutoHyphens/>
        <w:autoSpaceDE w:val="0"/>
        <w:autoSpaceDN w:val="0"/>
        <w:adjustRightInd w:val="0"/>
        <w:spacing w:before="120" w:after="120"/>
        <w:ind w:firstLine="720"/>
        <w:rPr>
          <w:rFonts w:eastAsia="Times New Roman"/>
          <w:kern w:val="22"/>
          <w:lang w:val="es-ES"/>
        </w:rPr>
      </w:pPr>
      <w:r w:rsidRPr="002F7AF1">
        <w:rPr>
          <w:rFonts w:eastAsia="Times New Roman"/>
          <w:kern w:val="22"/>
          <w:lang w:val="es-ES"/>
        </w:rPr>
        <w:t>7.</w:t>
      </w:r>
      <w:r w:rsidRPr="002F7AF1">
        <w:rPr>
          <w:rFonts w:eastAsia="Times New Roman"/>
          <w:kern w:val="22"/>
          <w:lang w:val="es-ES"/>
        </w:rPr>
        <w:tab/>
      </w:r>
      <w:r w:rsidRPr="002F7AF1">
        <w:rPr>
          <w:rFonts w:eastAsia="Times New Roman"/>
          <w:i/>
          <w:iCs/>
          <w:kern w:val="22"/>
          <w:lang w:val="es-ES"/>
        </w:rPr>
        <w:t>Alienta</w:t>
      </w:r>
      <w:r w:rsidRPr="002F7AF1">
        <w:rPr>
          <w:rFonts w:eastAsia="Times New Roman"/>
          <w:kern w:val="22"/>
          <w:lang w:val="es-ES"/>
        </w:rPr>
        <w:t xml:space="preserve"> a las Partes y a los observadores a que sigan participando en reuniones híbridas, cuando proceda, y en reuniones virtuales cuando se den circunstancias extraordinarias, reconociendo a la vez la necesidad de garantizar la participación plena y efectiva de las Partes, especialmente las Partes que son países en desarrollo, en particular los países menos adelantados y los pequeños Estados insulares en desarrollo entre ellos, así como las Partes con economías en transición, a fin de promover procesos transparentes e inclusivos en el marco del Convenio y de los Protocolos, siempre que no se adopten decisiones definitivas en modalidad virtual, con excepción de cuestiones presupuestarias y de procedimiento;</w:t>
      </w:r>
    </w:p>
    <w:p w:rsidR="00B82CC0" w:rsidRPr="002F7AF1" w:rsidRDefault="00B82CC0">
      <w:pPr>
        <w:suppressLineNumbers/>
        <w:suppressAutoHyphens/>
        <w:autoSpaceDE w:val="0"/>
        <w:autoSpaceDN w:val="0"/>
        <w:adjustRightInd w:val="0"/>
        <w:spacing w:before="120" w:after="120"/>
        <w:ind w:firstLine="720"/>
        <w:rPr>
          <w:rFonts w:eastAsia="Times New Roman"/>
          <w:kern w:val="22"/>
          <w:lang w:val="es-ES"/>
        </w:rPr>
      </w:pPr>
      <w:r w:rsidRPr="002F7AF1">
        <w:rPr>
          <w:rFonts w:eastAsia="Times New Roman"/>
          <w:kern w:val="22"/>
          <w:lang w:val="es-ES"/>
        </w:rPr>
        <w:t>8.</w:t>
      </w:r>
      <w:r w:rsidRPr="002F7AF1">
        <w:rPr>
          <w:rFonts w:eastAsia="Times New Roman"/>
          <w:kern w:val="22"/>
          <w:lang w:val="es-ES"/>
        </w:rPr>
        <w:tab/>
      </w:r>
      <w:r w:rsidRPr="002F7AF1">
        <w:rPr>
          <w:rFonts w:eastAsia="Times New Roman"/>
          <w:i/>
          <w:iCs/>
          <w:kern w:val="22"/>
          <w:lang w:val="es-ES"/>
        </w:rPr>
        <w:t>Pide</w:t>
      </w:r>
      <w:r w:rsidRPr="002F7AF1">
        <w:rPr>
          <w:rFonts w:eastAsia="Times New Roman"/>
          <w:kern w:val="22"/>
          <w:lang w:val="es-ES"/>
        </w:rPr>
        <w:t xml:space="preserve"> a la Secretaria Ejecutiva que recopile opiniones de las Partes y de interesados pertinentes, así como las experiencias y los estudios pertinentes que existan, en especial en el sistema de las Naciones Unidas, sobre la celebración de reuniones virtuales y reuniones híbridas en 2021 y 2022, y que prepare opciones de procedimiento para tales reuniones híbridas, y para reuniones virtuales en circunstancias extraordinarias, tomando en cuenta los problemas específicos que pudieran afectar a aquellas delegaciones que tienen dificultades de red y conectividad, especialmente en el caso de las Partes que son países en desarrollo, en particular los países menos adelantados y los pequeños Estados insulares en desarrollo entre ellos, así como las Partes con economías en transición, y en el caso de los pueblos indígenas y las comunidades locales y los observadores, y también las delegaciones de países que en la fecha prevista para las reuniones pudieran estar atravesando circunstancias difíciles, contemplando así cuestiones de igualdad, participación y legitimidad, y que presente dicha recopilación y opciones al Órgano Subsidiario sobre la Aplicación para que las considere en su cuarta reunión;</w:t>
      </w:r>
    </w:p>
    <w:p w:rsidR="00B82CC0" w:rsidRPr="002F7AF1" w:rsidRDefault="00B82CC0">
      <w:pPr>
        <w:suppressLineNumbers/>
        <w:suppressAutoHyphens/>
        <w:autoSpaceDE w:val="0"/>
        <w:autoSpaceDN w:val="0"/>
        <w:adjustRightInd w:val="0"/>
        <w:spacing w:before="120" w:after="120"/>
        <w:ind w:firstLine="720"/>
        <w:rPr>
          <w:rFonts w:eastAsia="Times New Roman"/>
          <w:kern w:val="22"/>
          <w:lang w:val="es-ES"/>
        </w:rPr>
      </w:pPr>
      <w:r w:rsidRPr="002F7AF1">
        <w:rPr>
          <w:rFonts w:eastAsia="Times New Roman"/>
          <w:kern w:val="22"/>
          <w:lang w:val="es-ES"/>
        </w:rPr>
        <w:t>9.</w:t>
      </w:r>
      <w:r w:rsidRPr="002F7AF1">
        <w:rPr>
          <w:rFonts w:eastAsia="Times New Roman"/>
          <w:kern w:val="22"/>
          <w:lang w:val="es-ES"/>
        </w:rPr>
        <w:tab/>
      </w:r>
      <w:r w:rsidRPr="002F7AF1">
        <w:rPr>
          <w:rFonts w:eastAsia="Times New Roman"/>
          <w:i/>
          <w:iCs/>
          <w:kern w:val="22"/>
          <w:lang w:val="es-ES"/>
        </w:rPr>
        <w:t xml:space="preserve">Pide </w:t>
      </w:r>
      <w:r w:rsidRPr="002F7AF1">
        <w:rPr>
          <w:rFonts w:eastAsia="Times New Roman"/>
          <w:kern w:val="22"/>
          <w:lang w:val="es-ES"/>
        </w:rPr>
        <w:t>al Órgano Subsidiario sobre la Aplicación que examine la recopilación de opiniones, el análisis y las opciones a las que se hace referencia en el párrafo 8 anterior y que formule recomendaciones para el abordaje de esas cuestiones y se las presente a los órganos rectores del Convenio y de los Protocolos para que las consideren en sus próximas reuniones.</w:t>
      </w:r>
    </w:p>
    <w:p w:rsidR="00B82CC0" w:rsidRPr="002F7AF1" w:rsidRDefault="00B82CC0">
      <w:pPr>
        <w:keepNext/>
        <w:suppressLineNumbers/>
        <w:suppressAutoHyphens/>
        <w:autoSpaceDE w:val="0"/>
        <w:autoSpaceDN w:val="0"/>
        <w:adjustRightInd w:val="0"/>
        <w:spacing w:before="120" w:after="120"/>
        <w:ind w:left="14" w:hanging="14"/>
        <w:jc w:val="center"/>
        <w:rPr>
          <w:rFonts w:eastAsia="Times New Roman"/>
          <w:lang w:val="es-ES"/>
        </w:rPr>
      </w:pPr>
      <w:r w:rsidRPr="002F7AF1">
        <w:rPr>
          <w:rFonts w:eastAsia="Times New Roman"/>
          <w:b/>
          <w:bCs/>
          <w:kern w:val="22"/>
          <w:lang w:val="es-ES"/>
        </w:rPr>
        <w:t>C.</w:t>
      </w:r>
      <w:r w:rsidRPr="002F7AF1">
        <w:rPr>
          <w:rFonts w:eastAsia="Times New Roman"/>
          <w:b/>
          <w:bCs/>
          <w:kern w:val="22"/>
          <w:lang w:val="es-ES"/>
        </w:rPr>
        <w:tab/>
        <w:t>Otras áreas para mejorar la eficacia</w:t>
      </w:r>
    </w:p>
    <w:p w:rsidR="00B82CC0" w:rsidRPr="002F7AF1" w:rsidRDefault="00B82CC0">
      <w:pPr>
        <w:suppressLineNumbers/>
        <w:suppressAutoHyphens/>
        <w:autoSpaceDE w:val="0"/>
        <w:autoSpaceDN w:val="0"/>
        <w:adjustRightInd w:val="0"/>
        <w:spacing w:before="120" w:after="120"/>
        <w:ind w:firstLine="720"/>
        <w:rPr>
          <w:rFonts w:eastAsia="Times New Roman"/>
          <w:lang w:val="es-ES"/>
        </w:rPr>
      </w:pPr>
      <w:r w:rsidRPr="002F7AF1">
        <w:rPr>
          <w:rFonts w:eastAsia="Times New Roman"/>
          <w:kern w:val="22"/>
          <w:lang w:val="es-ES"/>
        </w:rPr>
        <w:t>10.</w:t>
      </w:r>
      <w:r w:rsidRPr="002F7AF1">
        <w:rPr>
          <w:rFonts w:eastAsia="Times New Roman"/>
          <w:kern w:val="22"/>
          <w:lang w:val="es-ES"/>
        </w:rPr>
        <w:tab/>
      </w:r>
      <w:r w:rsidRPr="002F7AF1">
        <w:rPr>
          <w:rFonts w:eastAsia="Times New Roman"/>
          <w:i/>
          <w:iCs/>
          <w:kern w:val="22"/>
          <w:lang w:val="es-ES"/>
        </w:rPr>
        <w:t>Pide</w:t>
      </w:r>
      <w:r w:rsidRPr="002F7AF1">
        <w:rPr>
          <w:rFonts w:eastAsia="Times New Roman"/>
          <w:kern w:val="22"/>
          <w:lang w:val="es-ES"/>
        </w:rPr>
        <w:t xml:space="preserve"> a la Secretaria Ejecutiva que, en consulta con las Partes, los miembros de la Mesa, los asociados y los interesados, prepare un análisis de opciones para seguir mejorando la eficacia de las reuniones celebradas en el marco del Convenio y de los Protocolos, incluidas, entre otras, opciones para mejorar los procesos de negociación, para dar un mejor seguimiento a decisiones anteriores, para </w:t>
      </w:r>
      <w:r w:rsidRPr="002F7AF1">
        <w:rPr>
          <w:rFonts w:eastAsia="Times New Roman"/>
          <w:kern w:val="22"/>
          <w:lang w:val="es-ES"/>
        </w:rPr>
        <w:lastRenderedPageBreak/>
        <w:t>aprovechar las innovaciones en materia de tecnologías y métodos de adopción de decisiones y para estudiar modalidades para la participación de observadores en los procesos en el marco del Convenio y de los Protocolos, garantizando al mismo tiempo que se respete el reglamento del Convenio y de los Protocolos, y que presente dicho análisis de opciones al Órgano Subsidiario sobre la Aplicación para que lo considere en su cuarta reunión.</w:t>
      </w:r>
    </w:p>
    <w:p w:rsidR="00B82CC0" w:rsidRPr="002F7AF1" w:rsidRDefault="00B82CC0">
      <w:pPr>
        <w:jc w:val="center"/>
        <w:rPr>
          <w:rFonts w:eastAsia="Times New Roman"/>
          <w:lang w:val="es-ES"/>
        </w:rPr>
      </w:pPr>
      <w:r w:rsidRPr="002F7AF1">
        <w:rPr>
          <w:rFonts w:eastAsia="Times New Roman"/>
          <w:lang w:val="es-ES"/>
        </w:rPr>
        <w:t>__________</w:t>
      </w:r>
    </w:p>
    <w:sectPr w:rsidR="00B82CC0" w:rsidRPr="002F7AF1" w:rsidSect="00AD4C9A">
      <w:headerReference w:type="even" r:id="rId10"/>
      <w:headerReference w:type="default" r:id="rId11"/>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9EB" w:rsidRDefault="000A79EB">
      <w:pPr>
        <w:rPr>
          <w:rFonts w:eastAsia="Times New Roman"/>
        </w:rPr>
      </w:pPr>
      <w:r>
        <w:rPr>
          <w:rFonts w:eastAsia="Times New Roman"/>
        </w:rPr>
        <w:separator/>
      </w:r>
    </w:p>
  </w:endnote>
  <w:endnote w:type="continuationSeparator" w:id="1">
    <w:p w:rsidR="000A79EB" w:rsidRDefault="000A79EB">
      <w:pPr>
        <w:rPr>
          <w:rFonts w:eastAsia="Times New Roman"/>
        </w:rPr>
      </w:pPr>
      <w:r>
        <w:rPr>
          <w:rFonts w:eastAsia="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9EB" w:rsidRDefault="000A79EB">
      <w:pPr>
        <w:rPr>
          <w:rFonts w:eastAsia="Times New Roman"/>
        </w:rPr>
      </w:pPr>
      <w:r>
        <w:rPr>
          <w:rFonts w:eastAsia="Times New Roman"/>
        </w:rPr>
        <w:separator/>
      </w:r>
    </w:p>
  </w:footnote>
  <w:footnote w:type="continuationSeparator" w:id="1">
    <w:p w:rsidR="000A79EB" w:rsidRDefault="000A79EB">
      <w:pPr>
        <w:rPr>
          <w:rFonts w:eastAsia="Times New Roman"/>
        </w:rPr>
      </w:pPr>
      <w:r>
        <w:rPr>
          <w:rFonts w:eastAsia="Times New Roman"/>
        </w:rPr>
        <w:continuationSeparator/>
      </w:r>
    </w:p>
  </w:footnote>
  <w:footnote w:id="2">
    <w:p w:rsidR="00B82CC0" w:rsidRPr="00E4192A" w:rsidRDefault="00B82CC0">
      <w:pPr>
        <w:keepLines/>
        <w:suppressLineNumbers/>
        <w:suppressAutoHyphens/>
        <w:spacing w:after="60"/>
        <w:rPr>
          <w:rFonts w:eastAsia="Times New Roman"/>
          <w:lang w:val="es-ES"/>
        </w:rPr>
      </w:pPr>
      <w:r w:rsidRPr="00E4192A">
        <w:rPr>
          <w:rStyle w:val="FootnoteReference"/>
          <w:rFonts w:eastAsia="Times New Roman"/>
          <w:kern w:val="18"/>
          <w:sz w:val="18"/>
          <w:szCs w:val="18"/>
          <w:lang w:val="es-ES"/>
        </w:rPr>
        <w:footnoteRef/>
      </w:r>
      <w:r w:rsidRPr="00E4192A">
        <w:rPr>
          <w:rFonts w:eastAsia="Times New Roman"/>
          <w:kern w:val="18"/>
          <w:sz w:val="18"/>
          <w:szCs w:val="18"/>
          <w:lang w:val="es-ES"/>
        </w:rPr>
        <w:t xml:space="preserve"> Véanse </w:t>
      </w:r>
      <w:hyperlink r:id="rId1" w:history="1">
        <w:r w:rsidRPr="00E4192A">
          <w:rPr>
            <w:rStyle w:val="Hyperlink"/>
            <w:rFonts w:eastAsia="Times New Roman"/>
            <w:kern w:val="18"/>
            <w:lang w:val="es-ES"/>
          </w:rPr>
          <w:t>CBD/SBI/2/16/Add.1</w:t>
        </w:r>
      </w:hyperlink>
      <w:r w:rsidRPr="00E4192A">
        <w:rPr>
          <w:rFonts w:eastAsia="Times New Roman"/>
          <w:kern w:val="18"/>
          <w:sz w:val="18"/>
          <w:szCs w:val="18"/>
          <w:lang w:val="es-ES"/>
        </w:rPr>
        <w:t xml:space="preserve"> y las notas informativas relacionadas (CBD/SBI/2/INF/1 e INF/2).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CC0" w:rsidRPr="002F7AF1" w:rsidRDefault="00B82CC0">
    <w:pPr>
      <w:pStyle w:val="Header"/>
      <w:rPr>
        <w:rFonts w:eastAsia="Times New Roman"/>
        <w:lang w:val="es-ES"/>
      </w:rPr>
    </w:pPr>
    <w:r w:rsidRPr="002F7AF1">
      <w:rPr>
        <w:rFonts w:eastAsia="Times New Roman"/>
        <w:lang w:val="es-ES"/>
      </w:rPr>
      <w:t>CBD/CP/MOP/DEC/10/8</w:t>
    </w:r>
  </w:p>
  <w:p w:rsidR="00B82CC0" w:rsidRPr="002F7AF1" w:rsidRDefault="00B82CC0">
    <w:pPr>
      <w:pStyle w:val="Header"/>
      <w:rPr>
        <w:rFonts w:eastAsia="Times New Roman"/>
        <w:lang w:val="es-ES"/>
      </w:rPr>
    </w:pPr>
    <w:r w:rsidRPr="002F7AF1">
      <w:rPr>
        <w:rFonts w:eastAsia="Times New Roman"/>
        <w:lang w:val="es-ES"/>
      </w:rPr>
      <w:t xml:space="preserve">Página </w:t>
    </w:r>
    <w:r w:rsidR="00AD4C9A" w:rsidRPr="002F7AF1">
      <w:rPr>
        <w:rFonts w:eastAsia="Times New Roman"/>
        <w:lang w:val="es-ES"/>
      </w:rPr>
      <w:fldChar w:fldCharType="begin"/>
    </w:r>
    <w:r w:rsidRPr="002F7AF1">
      <w:rPr>
        <w:rFonts w:eastAsia="Times New Roman"/>
        <w:lang w:val="es-ES"/>
      </w:rPr>
      <w:instrText xml:space="preserve"> PAGE   \* MERGEFORMAT </w:instrText>
    </w:r>
    <w:r w:rsidR="00AD4C9A" w:rsidRPr="002F7AF1">
      <w:rPr>
        <w:rFonts w:eastAsia="Times New Roman"/>
        <w:lang w:val="es-ES"/>
      </w:rPr>
      <w:fldChar w:fldCharType="separate"/>
    </w:r>
    <w:r w:rsidR="00E4192A">
      <w:rPr>
        <w:rFonts w:eastAsia="Times New Roman"/>
        <w:noProof/>
        <w:lang w:val="es-ES"/>
      </w:rPr>
      <w:t>2</w:t>
    </w:r>
    <w:r w:rsidR="00AD4C9A" w:rsidRPr="002F7AF1">
      <w:rPr>
        <w:rFonts w:eastAsia="Times New Roman"/>
        <w:lang w:val="es-ES"/>
      </w:rPr>
      <w:fldChar w:fldCharType="end"/>
    </w:r>
  </w:p>
  <w:p w:rsidR="00B82CC0" w:rsidRPr="002F7AF1" w:rsidRDefault="00B82CC0">
    <w:pPr>
      <w:pStyle w:val="Header"/>
      <w:rPr>
        <w:rFonts w:eastAsia="Times New Roman"/>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CC0" w:rsidRPr="00115321" w:rsidRDefault="00B82CC0">
    <w:pPr>
      <w:pStyle w:val="Header"/>
      <w:jc w:val="right"/>
      <w:rPr>
        <w:rFonts w:eastAsia="Times New Roman"/>
        <w:lang w:val="es-ES"/>
      </w:rPr>
    </w:pPr>
    <w:r w:rsidRPr="00115321">
      <w:rPr>
        <w:rFonts w:eastAsia="Times New Roman"/>
        <w:lang w:val="es-ES"/>
      </w:rPr>
      <w:t>CBD/CP/MOP/DEC/10/8</w:t>
    </w:r>
  </w:p>
  <w:p w:rsidR="00B82CC0" w:rsidRPr="00115321" w:rsidRDefault="00B82CC0">
    <w:pPr>
      <w:pStyle w:val="Header"/>
      <w:jc w:val="right"/>
      <w:rPr>
        <w:rFonts w:eastAsia="Times New Roman"/>
        <w:lang w:val="es-ES"/>
      </w:rPr>
    </w:pPr>
    <w:r w:rsidRPr="00115321">
      <w:rPr>
        <w:rFonts w:eastAsia="Times New Roman"/>
        <w:lang w:val="es-ES"/>
      </w:rPr>
      <w:t>P</w:t>
    </w:r>
    <w:r w:rsidR="00115321">
      <w:rPr>
        <w:rFonts w:eastAsia="Times New Roman"/>
        <w:lang w:val="es-ES"/>
      </w:rPr>
      <w:t>á</w:t>
    </w:r>
    <w:r w:rsidRPr="00115321">
      <w:rPr>
        <w:rFonts w:eastAsia="Times New Roman"/>
        <w:lang w:val="es-ES"/>
      </w:rPr>
      <w:t>g</w:t>
    </w:r>
    <w:r w:rsidR="00115321">
      <w:rPr>
        <w:rFonts w:eastAsia="Times New Roman"/>
        <w:lang w:val="es-ES"/>
      </w:rPr>
      <w:t>ina</w:t>
    </w:r>
    <w:r w:rsidRPr="00115321">
      <w:rPr>
        <w:rFonts w:eastAsia="Times New Roman"/>
        <w:lang w:val="es-ES"/>
      </w:rPr>
      <w:t xml:space="preserve"> </w:t>
    </w:r>
    <w:r w:rsidR="00AD4C9A" w:rsidRPr="00115321">
      <w:rPr>
        <w:rFonts w:eastAsia="Times New Roman"/>
        <w:lang w:val="es-ES"/>
      </w:rPr>
      <w:fldChar w:fldCharType="begin"/>
    </w:r>
    <w:r w:rsidRPr="00115321">
      <w:rPr>
        <w:rFonts w:eastAsia="Times New Roman"/>
        <w:lang w:val="es-ES"/>
      </w:rPr>
      <w:instrText xml:space="preserve"> PAGE   \* MERGEFORMAT </w:instrText>
    </w:r>
    <w:r w:rsidR="00AD4C9A" w:rsidRPr="00115321">
      <w:rPr>
        <w:rFonts w:eastAsia="Times New Roman"/>
        <w:lang w:val="es-ES"/>
      </w:rPr>
      <w:fldChar w:fldCharType="separate"/>
    </w:r>
    <w:r w:rsidR="00E4192A">
      <w:rPr>
        <w:rFonts w:eastAsia="Times New Roman"/>
        <w:noProof/>
        <w:lang w:val="es-ES"/>
      </w:rPr>
      <w:t>3</w:t>
    </w:r>
    <w:r w:rsidR="00AD4C9A" w:rsidRPr="00115321">
      <w:rPr>
        <w:rFonts w:eastAsia="Times New Roman"/>
        <w:lang w:val="es-ES"/>
      </w:rPr>
      <w:fldChar w:fldCharType="end"/>
    </w:r>
  </w:p>
  <w:p w:rsidR="00B82CC0" w:rsidRPr="00115321" w:rsidRDefault="00B82CC0">
    <w:pPr>
      <w:pStyle w:val="Header"/>
      <w:rPr>
        <w:rFonts w:eastAsia="Times New Roman"/>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191"/>
        </w:tabs>
        <w:ind w:left="1191" w:hanging="471"/>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pPr>
      <w:rPr>
        <w:rFonts w:hint="default"/>
      </w:rPr>
    </w:lvl>
    <w:lvl w:ilvl="1" w:tplc="561613B4">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pPr>
      <w:rPr>
        <w:rFonts w:hint="default"/>
      </w:rPr>
    </w:lvl>
    <w:lvl w:ilvl="1">
      <w:start w:val="1"/>
      <w:numFmt w:val="upperLetter"/>
      <w:lvlText w:val="%2."/>
      <w:lvlJc w:val="left"/>
      <w:pPr>
        <w:tabs>
          <w:tab w:val="num" w:pos="360"/>
        </w:tabs>
      </w:pPr>
      <w:rPr>
        <w:rFonts w:hint="default"/>
      </w:rPr>
    </w:lvl>
    <w:lvl w:ilvl="2">
      <w:start w:val="1"/>
      <w:numFmt w:val="decimal"/>
      <w:lvlText w:val="%3."/>
      <w:lvlJc w:val="left"/>
      <w:pPr>
        <w:tabs>
          <w:tab w:val="num" w:pos="360"/>
        </w:tabs>
      </w:pPr>
      <w:rPr>
        <w:rFonts w:hint="default"/>
      </w:rPr>
    </w:lvl>
    <w:lvl w:ilvl="3">
      <w:start w:val="1"/>
      <w:numFmt w:val="decimal"/>
      <w:lvlText w:val="1.%4"/>
      <w:lvlJc w:val="left"/>
      <w:pPr>
        <w:tabs>
          <w:tab w:val="num" w:pos="360"/>
        </w:tabs>
      </w:pPr>
      <w:rPr>
        <w:rFonts w:hint="default"/>
      </w:rPr>
    </w:lvl>
    <w:lvl w:ilvl="4">
      <w:start w:val="1"/>
      <w:numFmt w:val="lowerRoman"/>
      <w:pStyle w:val="Heading5"/>
      <w:lvlText w:val="(%5)"/>
      <w:lvlJc w:val="left"/>
      <w:pPr>
        <w:tabs>
          <w:tab w:val="num" w:pos="720"/>
        </w:tabs>
      </w:pPr>
      <w:rPr>
        <w:rFonts w:hint="default"/>
      </w:rPr>
    </w:lvl>
    <w:lvl w:ilvl="5">
      <w:start w:val="1"/>
      <w:numFmt w:val="lowerLetter"/>
      <w:lvlText w:val="(%6)"/>
      <w:lvlJc w:val="left"/>
      <w:pPr>
        <w:tabs>
          <w:tab w:val="num" w:pos="1080"/>
        </w:tabs>
        <w:ind w:left="72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360"/>
        </w:tabs>
        <w:ind w:left="-720"/>
      </w:pPr>
      <w:rPr>
        <w:rFonts w:hint="default"/>
      </w:rPr>
    </w:lvl>
    <w:lvl w:ilvl="8">
      <w:start w:val="1"/>
      <w:numFmt w:val="lowerRoman"/>
      <w:lvlText w:val="(%9)"/>
      <w:lvlJc w:val="left"/>
      <w:pPr>
        <w:tabs>
          <w:tab w:val="num" w:pos="6120"/>
        </w:tabs>
        <w:ind w:left="576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bCs w:val="0"/>
        <w:i w:val="0"/>
        <w:iCs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pPr>
    </w:lvl>
    <w:lvl w:ilvl="1">
      <w:start w:val="1"/>
      <w:numFmt w:val="lowerLetter"/>
      <w:lvlText w:val="(%2)"/>
      <w:lvlJc w:val="left"/>
      <w:pPr>
        <w:tabs>
          <w:tab w:val="num" w:pos="1440"/>
        </w:tabs>
        <w:ind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C6E1F8D"/>
    <w:multiLevelType w:val="hybridMultilevel"/>
    <w:tmpl w:val="689E1294"/>
    <w:lvl w:ilvl="0" w:tplc="04090015">
      <w:start w:val="1"/>
      <w:numFmt w:val="upperLetter"/>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C975246"/>
    <w:multiLevelType w:val="hybridMultilevel"/>
    <w:tmpl w:val="8CC0468E"/>
    <w:lvl w:ilvl="0" w:tplc="4342AD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cs="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1">
    <w:nsid w:val="73D802DE"/>
    <w:multiLevelType w:val="hybridMultilevel"/>
    <w:tmpl w:val="33140710"/>
    <w:lvl w:ilvl="0" w:tplc="D30ACC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B617DFD"/>
    <w:multiLevelType w:val="hybridMultilevel"/>
    <w:tmpl w:val="0DFE41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7"/>
  </w:num>
  <w:num w:numId="16">
    <w:abstractNumId w:val="1"/>
  </w:num>
  <w:num w:numId="17">
    <w:abstractNumId w:val="11"/>
  </w:num>
  <w:num w:numId="18">
    <w:abstractNumId w:val="12"/>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evenAndOddHeaders/>
  <w:characterSpacingControl w:val="doNotCompress"/>
  <w:doNotValidateAgainstSchema/>
  <w:doNotDemarcateInvalidXml/>
  <w:footnotePr>
    <w:footnote w:id="0"/>
    <w:footnote w:id="1"/>
  </w:footnotePr>
  <w:endnotePr>
    <w:endnote w:id="0"/>
    <w:endnote w:id="1"/>
  </w:endnotePr>
  <w:compat/>
  <w:rsids>
    <w:rsidRoot w:val="00C9161D"/>
    <w:rsid w:val="0000099C"/>
    <w:rsid w:val="000061F2"/>
    <w:rsid w:val="00011021"/>
    <w:rsid w:val="00020A25"/>
    <w:rsid w:val="000512E2"/>
    <w:rsid w:val="00051AB0"/>
    <w:rsid w:val="0007171B"/>
    <w:rsid w:val="0009518D"/>
    <w:rsid w:val="00097DBC"/>
    <w:rsid w:val="000A79EB"/>
    <w:rsid w:val="000B366C"/>
    <w:rsid w:val="000C64C2"/>
    <w:rsid w:val="000D0BBE"/>
    <w:rsid w:val="000D7DD5"/>
    <w:rsid w:val="000E3DFB"/>
    <w:rsid w:val="000E673A"/>
    <w:rsid w:val="000E6E3E"/>
    <w:rsid w:val="000F74F5"/>
    <w:rsid w:val="00104520"/>
    <w:rsid w:val="00105372"/>
    <w:rsid w:val="00115321"/>
    <w:rsid w:val="00123022"/>
    <w:rsid w:val="001312AD"/>
    <w:rsid w:val="00131E7A"/>
    <w:rsid w:val="00134846"/>
    <w:rsid w:val="00156A07"/>
    <w:rsid w:val="00162C1D"/>
    <w:rsid w:val="001706D4"/>
    <w:rsid w:val="00172AF6"/>
    <w:rsid w:val="00176CEE"/>
    <w:rsid w:val="00186DD8"/>
    <w:rsid w:val="00190A41"/>
    <w:rsid w:val="001B13FE"/>
    <w:rsid w:val="001C4D8D"/>
    <w:rsid w:val="001D3635"/>
    <w:rsid w:val="001F11AC"/>
    <w:rsid w:val="00201591"/>
    <w:rsid w:val="0020308A"/>
    <w:rsid w:val="00211F4D"/>
    <w:rsid w:val="002122F6"/>
    <w:rsid w:val="00235E63"/>
    <w:rsid w:val="002400F2"/>
    <w:rsid w:val="00265BBD"/>
    <w:rsid w:val="00290697"/>
    <w:rsid w:val="00291A84"/>
    <w:rsid w:val="00293A5A"/>
    <w:rsid w:val="002B0B6F"/>
    <w:rsid w:val="002B5CFF"/>
    <w:rsid w:val="002B7CFA"/>
    <w:rsid w:val="002C0276"/>
    <w:rsid w:val="002C7A1E"/>
    <w:rsid w:val="002E3E2D"/>
    <w:rsid w:val="002E54FA"/>
    <w:rsid w:val="002F7AF1"/>
    <w:rsid w:val="00300842"/>
    <w:rsid w:val="0030137F"/>
    <w:rsid w:val="0030169D"/>
    <w:rsid w:val="00303E03"/>
    <w:rsid w:val="003060EB"/>
    <w:rsid w:val="0030799A"/>
    <w:rsid w:val="00312434"/>
    <w:rsid w:val="003153EB"/>
    <w:rsid w:val="0032145D"/>
    <w:rsid w:val="00321985"/>
    <w:rsid w:val="003262F3"/>
    <w:rsid w:val="00326E05"/>
    <w:rsid w:val="00351205"/>
    <w:rsid w:val="00352B66"/>
    <w:rsid w:val="0036273E"/>
    <w:rsid w:val="00372F74"/>
    <w:rsid w:val="00395F46"/>
    <w:rsid w:val="003A406C"/>
    <w:rsid w:val="003B09A5"/>
    <w:rsid w:val="003B7BB2"/>
    <w:rsid w:val="003D6F4C"/>
    <w:rsid w:val="003E5FA3"/>
    <w:rsid w:val="003F1460"/>
    <w:rsid w:val="003F7224"/>
    <w:rsid w:val="00427D21"/>
    <w:rsid w:val="0044423F"/>
    <w:rsid w:val="004644C2"/>
    <w:rsid w:val="00467758"/>
    <w:rsid w:val="00467F9C"/>
    <w:rsid w:val="00481B41"/>
    <w:rsid w:val="004A7D72"/>
    <w:rsid w:val="004B170A"/>
    <w:rsid w:val="004B44DE"/>
    <w:rsid w:val="004C3754"/>
    <w:rsid w:val="004C6C4A"/>
    <w:rsid w:val="004C7CC7"/>
    <w:rsid w:val="004E29A7"/>
    <w:rsid w:val="004E4B5F"/>
    <w:rsid w:val="004F0AEC"/>
    <w:rsid w:val="005233D7"/>
    <w:rsid w:val="00534681"/>
    <w:rsid w:val="00552E9A"/>
    <w:rsid w:val="00556B99"/>
    <w:rsid w:val="00563442"/>
    <w:rsid w:val="00565B42"/>
    <w:rsid w:val="00567B94"/>
    <w:rsid w:val="0057080C"/>
    <w:rsid w:val="00581CB5"/>
    <w:rsid w:val="00584286"/>
    <w:rsid w:val="00586841"/>
    <w:rsid w:val="00596340"/>
    <w:rsid w:val="005A73E8"/>
    <w:rsid w:val="005B0084"/>
    <w:rsid w:val="005B4ADC"/>
    <w:rsid w:val="005B5F53"/>
    <w:rsid w:val="005B74C4"/>
    <w:rsid w:val="005C4CE6"/>
    <w:rsid w:val="005C6BEF"/>
    <w:rsid w:val="005D409D"/>
    <w:rsid w:val="005E0ED3"/>
    <w:rsid w:val="005E2A06"/>
    <w:rsid w:val="006122BA"/>
    <w:rsid w:val="00634868"/>
    <w:rsid w:val="0063588C"/>
    <w:rsid w:val="00650304"/>
    <w:rsid w:val="0065194A"/>
    <w:rsid w:val="00656201"/>
    <w:rsid w:val="00660CB5"/>
    <w:rsid w:val="006661A9"/>
    <w:rsid w:val="00675148"/>
    <w:rsid w:val="006877F9"/>
    <w:rsid w:val="00697B25"/>
    <w:rsid w:val="006B2290"/>
    <w:rsid w:val="006B4CFB"/>
    <w:rsid w:val="006C4B25"/>
    <w:rsid w:val="006C6130"/>
    <w:rsid w:val="006F4AF6"/>
    <w:rsid w:val="00706AF0"/>
    <w:rsid w:val="00710F17"/>
    <w:rsid w:val="00717428"/>
    <w:rsid w:val="00717D88"/>
    <w:rsid w:val="00723F1E"/>
    <w:rsid w:val="00755A3F"/>
    <w:rsid w:val="00786056"/>
    <w:rsid w:val="00791324"/>
    <w:rsid w:val="007942D3"/>
    <w:rsid w:val="007965D1"/>
    <w:rsid w:val="007A4F1B"/>
    <w:rsid w:val="007A6C65"/>
    <w:rsid w:val="007A75DD"/>
    <w:rsid w:val="007B2099"/>
    <w:rsid w:val="007B6C09"/>
    <w:rsid w:val="007B7741"/>
    <w:rsid w:val="007C5879"/>
    <w:rsid w:val="007E09DA"/>
    <w:rsid w:val="007F0FDC"/>
    <w:rsid w:val="007F0FE1"/>
    <w:rsid w:val="00803628"/>
    <w:rsid w:val="008178B6"/>
    <w:rsid w:val="00820E1B"/>
    <w:rsid w:val="00830EED"/>
    <w:rsid w:val="0083629E"/>
    <w:rsid w:val="00865B74"/>
    <w:rsid w:val="0086651F"/>
    <w:rsid w:val="00872637"/>
    <w:rsid w:val="008974F0"/>
    <w:rsid w:val="008A4A55"/>
    <w:rsid w:val="008B012A"/>
    <w:rsid w:val="008B4876"/>
    <w:rsid w:val="008B6F45"/>
    <w:rsid w:val="008C71AC"/>
    <w:rsid w:val="008D497E"/>
    <w:rsid w:val="00902FBF"/>
    <w:rsid w:val="00906E17"/>
    <w:rsid w:val="00910961"/>
    <w:rsid w:val="00917C10"/>
    <w:rsid w:val="00926D9A"/>
    <w:rsid w:val="00930BA1"/>
    <w:rsid w:val="0093169E"/>
    <w:rsid w:val="00937130"/>
    <w:rsid w:val="009505C9"/>
    <w:rsid w:val="00950752"/>
    <w:rsid w:val="00957240"/>
    <w:rsid w:val="009653FF"/>
    <w:rsid w:val="00966424"/>
    <w:rsid w:val="00971E33"/>
    <w:rsid w:val="00976640"/>
    <w:rsid w:val="009809C7"/>
    <w:rsid w:val="00982139"/>
    <w:rsid w:val="009828FA"/>
    <w:rsid w:val="009B3004"/>
    <w:rsid w:val="009B4822"/>
    <w:rsid w:val="009C2DE6"/>
    <w:rsid w:val="009D72AE"/>
    <w:rsid w:val="00A1252A"/>
    <w:rsid w:val="00A171C8"/>
    <w:rsid w:val="00A31924"/>
    <w:rsid w:val="00A361CA"/>
    <w:rsid w:val="00A96BF6"/>
    <w:rsid w:val="00AA6448"/>
    <w:rsid w:val="00AA6F92"/>
    <w:rsid w:val="00AA7B3C"/>
    <w:rsid w:val="00AB36A5"/>
    <w:rsid w:val="00AB6934"/>
    <w:rsid w:val="00AD4C9A"/>
    <w:rsid w:val="00AD6BAB"/>
    <w:rsid w:val="00AD7FFC"/>
    <w:rsid w:val="00AF42DE"/>
    <w:rsid w:val="00AF619A"/>
    <w:rsid w:val="00B06074"/>
    <w:rsid w:val="00B07277"/>
    <w:rsid w:val="00B117DA"/>
    <w:rsid w:val="00B26ACD"/>
    <w:rsid w:val="00B32DCA"/>
    <w:rsid w:val="00B3369F"/>
    <w:rsid w:val="00B36135"/>
    <w:rsid w:val="00B560FF"/>
    <w:rsid w:val="00B6492A"/>
    <w:rsid w:val="00B82CC0"/>
    <w:rsid w:val="00B94E6C"/>
    <w:rsid w:val="00BB4606"/>
    <w:rsid w:val="00BF11F9"/>
    <w:rsid w:val="00BF6823"/>
    <w:rsid w:val="00C03C7F"/>
    <w:rsid w:val="00C07339"/>
    <w:rsid w:val="00C073DC"/>
    <w:rsid w:val="00C2024C"/>
    <w:rsid w:val="00C23D2F"/>
    <w:rsid w:val="00C443BD"/>
    <w:rsid w:val="00C451C5"/>
    <w:rsid w:val="00C60022"/>
    <w:rsid w:val="00C71A70"/>
    <w:rsid w:val="00C72C64"/>
    <w:rsid w:val="00C75463"/>
    <w:rsid w:val="00C75B9F"/>
    <w:rsid w:val="00C87AF9"/>
    <w:rsid w:val="00C9161D"/>
    <w:rsid w:val="00CA0C1D"/>
    <w:rsid w:val="00CC1DD2"/>
    <w:rsid w:val="00CD3BFC"/>
    <w:rsid w:val="00CF1848"/>
    <w:rsid w:val="00D12044"/>
    <w:rsid w:val="00D15761"/>
    <w:rsid w:val="00D2421F"/>
    <w:rsid w:val="00D30264"/>
    <w:rsid w:val="00D33EFC"/>
    <w:rsid w:val="00D40DBC"/>
    <w:rsid w:val="00D4736B"/>
    <w:rsid w:val="00D60BD0"/>
    <w:rsid w:val="00D667F1"/>
    <w:rsid w:val="00D67904"/>
    <w:rsid w:val="00D76A18"/>
    <w:rsid w:val="00D80849"/>
    <w:rsid w:val="00D82E8F"/>
    <w:rsid w:val="00DC24D4"/>
    <w:rsid w:val="00DD118C"/>
    <w:rsid w:val="00DD384E"/>
    <w:rsid w:val="00DE048F"/>
    <w:rsid w:val="00DF0991"/>
    <w:rsid w:val="00E03A8F"/>
    <w:rsid w:val="00E121F2"/>
    <w:rsid w:val="00E4192A"/>
    <w:rsid w:val="00E43E4A"/>
    <w:rsid w:val="00E64147"/>
    <w:rsid w:val="00E66235"/>
    <w:rsid w:val="00E76CE1"/>
    <w:rsid w:val="00E83C24"/>
    <w:rsid w:val="00E92A39"/>
    <w:rsid w:val="00E9318D"/>
    <w:rsid w:val="00E96ED6"/>
    <w:rsid w:val="00EA0E42"/>
    <w:rsid w:val="00EA2AB0"/>
    <w:rsid w:val="00EA5248"/>
    <w:rsid w:val="00EC1F46"/>
    <w:rsid w:val="00EC2277"/>
    <w:rsid w:val="00EE7371"/>
    <w:rsid w:val="00F024FE"/>
    <w:rsid w:val="00F02BF3"/>
    <w:rsid w:val="00F31DD6"/>
    <w:rsid w:val="00F53193"/>
    <w:rsid w:val="00F5357E"/>
    <w:rsid w:val="00F6586C"/>
    <w:rsid w:val="00F76FB1"/>
    <w:rsid w:val="00F92B14"/>
    <w:rsid w:val="00F94774"/>
    <w:rsid w:val="00FA0E9A"/>
    <w:rsid w:val="00FA663B"/>
    <w:rsid w:val="00FB3671"/>
    <w:rsid w:val="00FC25F8"/>
    <w:rsid w:val="00FC53DB"/>
    <w:rsid w:val="00FC65C0"/>
    <w:rsid w:val="00FE2131"/>
    <w:rsid w:val="00FE4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header" w:locked="1"/>
    <w:lsdException w:name="footer" w:locked="1"/>
    <w:lsdException w:name="caption" w:locked="1" w:qFormat="1"/>
    <w:lsdException w:name="footnote reference" w:locked="1"/>
    <w:lsdException w:name="annotation reference" w:locked="1"/>
    <w:lsdException w:name="page number" w:locked="1"/>
    <w:lsdException w:name="endnote reference" w:locked="1"/>
    <w:lsdException w:name="endnote text" w:locked="1"/>
    <w:lsdException w:name="toa heading" w:locked="1"/>
    <w:lsdException w:name="Title" w:locked="1" w:qFormat="1"/>
    <w:lsdException w:name="Default Paragraph Font" w:locked="1"/>
    <w:lsdException w:name="Body Text" w:locked="1"/>
    <w:lsdException w:name="Body Text Indent" w:locked="1"/>
    <w:lsdException w:name="Subtitle" w:locked="1" w:qFormat="1"/>
    <w:lsdException w:name="FollowedHyperlink" w:locked="1"/>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Heading8Char"/>
    <w:qFormat/>
    <w:rsid w:val="00AD4C9A"/>
    <w:pPr>
      <w:jc w:val="both"/>
    </w:pPr>
    <w:rPr>
      <w:rFonts w:eastAsia="MS Mincho" w:cs="Times New Roman"/>
      <w:snapToGrid w:val="0"/>
      <w:sz w:val="22"/>
      <w:szCs w:val="22"/>
      <w:lang w:val="en-GB" w:eastAsia="ko-KR"/>
    </w:rPr>
  </w:style>
  <w:style w:type="paragraph" w:styleId="Heading1">
    <w:name w:val="heading 1"/>
    <w:basedOn w:val="Normal"/>
    <w:next w:val="Heading2"/>
    <w:qFormat/>
    <w:rsid w:val="00AD4C9A"/>
    <w:pPr>
      <w:keepNext/>
      <w:tabs>
        <w:tab w:val="left" w:pos="720"/>
      </w:tabs>
      <w:spacing w:before="240" w:after="120"/>
      <w:jc w:val="center"/>
      <w:outlineLvl w:val="0"/>
    </w:pPr>
    <w:rPr>
      <w:b/>
      <w:bCs/>
      <w:caps/>
    </w:rPr>
  </w:style>
  <w:style w:type="paragraph" w:styleId="Heading2">
    <w:name w:val="heading 2"/>
    <w:basedOn w:val="Normal"/>
    <w:next w:val="Normal"/>
    <w:link w:val="PlaceholderText"/>
    <w:qFormat/>
    <w:rsid w:val="00AD4C9A"/>
    <w:pPr>
      <w:keepNext/>
      <w:tabs>
        <w:tab w:val="left" w:pos="720"/>
      </w:tabs>
      <w:spacing w:before="120" w:after="120"/>
      <w:jc w:val="center"/>
      <w:outlineLvl w:val="1"/>
    </w:pPr>
    <w:rPr>
      <w:b/>
      <w:bCs/>
    </w:rPr>
  </w:style>
  <w:style w:type="paragraph" w:styleId="Heading3">
    <w:name w:val="heading 3"/>
    <w:basedOn w:val="Normal"/>
    <w:next w:val="Normal"/>
    <w:qFormat/>
    <w:rsid w:val="00AD4C9A"/>
    <w:pPr>
      <w:keepNext/>
      <w:tabs>
        <w:tab w:val="left" w:pos="567"/>
      </w:tabs>
      <w:spacing w:before="120" w:after="120"/>
      <w:jc w:val="center"/>
      <w:outlineLvl w:val="2"/>
    </w:pPr>
    <w:rPr>
      <w:i/>
      <w:iCs/>
    </w:rPr>
  </w:style>
  <w:style w:type="paragraph" w:styleId="Heading4">
    <w:name w:val="heading 4"/>
    <w:basedOn w:val="Normal"/>
    <w:qFormat/>
    <w:rsid w:val="00AD4C9A"/>
    <w:pPr>
      <w:keepNext/>
      <w:spacing w:before="120" w:after="120"/>
      <w:outlineLvl w:val="3"/>
    </w:pPr>
    <w:rPr>
      <w:rFonts w:eastAsia="Times New Roman"/>
      <w:b/>
      <w:bCs/>
      <w:i/>
      <w:iCs/>
    </w:rPr>
  </w:style>
  <w:style w:type="paragraph" w:styleId="Heading5">
    <w:name w:val="heading 5"/>
    <w:basedOn w:val="Normal"/>
    <w:next w:val="Normal"/>
    <w:qFormat/>
    <w:rsid w:val="00AD4C9A"/>
    <w:pPr>
      <w:keepNext/>
      <w:numPr>
        <w:ilvl w:val="4"/>
        <w:numId w:val="1"/>
      </w:numPr>
      <w:spacing w:before="120" w:after="120"/>
      <w:jc w:val="left"/>
      <w:outlineLvl w:val="4"/>
    </w:pPr>
    <w:rPr>
      <w:i/>
      <w:iCs/>
      <w:lang w:val="en-CA"/>
    </w:rPr>
  </w:style>
  <w:style w:type="paragraph" w:styleId="Heading6">
    <w:name w:val="heading 6"/>
    <w:basedOn w:val="Normal"/>
    <w:next w:val="Normal"/>
    <w:qFormat/>
    <w:rsid w:val="00AD4C9A"/>
    <w:pPr>
      <w:keepNext/>
      <w:spacing w:after="240" w:line="240" w:lineRule="exact"/>
      <w:ind w:left="720"/>
      <w:outlineLvl w:val="5"/>
    </w:pPr>
    <w:rPr>
      <w:u w:val="single"/>
    </w:rPr>
  </w:style>
  <w:style w:type="paragraph" w:styleId="Heading7">
    <w:name w:val="heading 7"/>
    <w:basedOn w:val="Normal"/>
    <w:next w:val="Normal"/>
    <w:qFormat/>
    <w:rsid w:val="00AD4C9A"/>
    <w:pPr>
      <w:keepNext/>
      <w:jc w:val="right"/>
      <w:outlineLvl w:val="6"/>
    </w:pPr>
    <w:rPr>
      <w:b/>
      <w:bCs/>
      <w:sz w:val="28"/>
      <w:szCs w:val="28"/>
    </w:rPr>
  </w:style>
  <w:style w:type="paragraph" w:styleId="Heading8">
    <w:name w:val="heading 8"/>
    <w:basedOn w:val="Normal"/>
    <w:next w:val="Normal"/>
    <w:qFormat/>
    <w:rsid w:val="00AD4C9A"/>
    <w:pPr>
      <w:keepNext/>
      <w:jc w:val="right"/>
      <w:outlineLvl w:val="7"/>
    </w:pPr>
    <w:rPr>
      <w:b/>
      <w:bCs/>
      <w:sz w:val="32"/>
      <w:szCs w:val="32"/>
    </w:rPr>
  </w:style>
  <w:style w:type="paragraph" w:styleId="Heading9">
    <w:name w:val="heading 9"/>
    <w:basedOn w:val="Normal"/>
    <w:next w:val="Normal"/>
    <w:qFormat/>
    <w:rsid w:val="00AD4C9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4C9A"/>
    <w:rPr>
      <w:rFonts w:eastAsia="MS Mincho" w:cs="Times New Roman"/>
      <w:snapToGrid w:val="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semiHidden/>
    <w:rsid w:val="00AD4C9A"/>
    <w:rPr>
      <w:sz w:val="18"/>
      <w:szCs w:val="18"/>
    </w:rPr>
  </w:style>
  <w:style w:type="character" w:customStyle="1" w:styleId="BalloonTextChar">
    <w:name w:val="Balloon Text Char"/>
    <w:basedOn w:val="DefaultParagraphFont"/>
    <w:semiHidden/>
    <w:locked/>
    <w:rsid w:val="00AD4C9A"/>
    <w:rPr>
      <w:rFonts w:ascii="Times New Roman" w:hAnsi="Times New Roman" w:cs="Times New Roman"/>
      <w:sz w:val="18"/>
      <w:szCs w:val="18"/>
      <w:lang w:val="en-US"/>
    </w:rPr>
  </w:style>
  <w:style w:type="character" w:styleId="PlaceholderText">
    <w:name w:val="Placeholder Text"/>
    <w:aliases w:val="Heading 2 Char1"/>
    <w:basedOn w:val="DefaultParagraphFont"/>
    <w:link w:val="Heading2"/>
    <w:semiHidden/>
    <w:rsid w:val="00AD4C9A"/>
    <w:rPr>
      <w:color w:val="808080"/>
    </w:rPr>
  </w:style>
  <w:style w:type="paragraph" w:styleId="Header">
    <w:name w:val="header"/>
    <w:basedOn w:val="Normal"/>
    <w:rsid w:val="00AD4C9A"/>
    <w:pPr>
      <w:tabs>
        <w:tab w:val="center" w:pos="4320"/>
        <w:tab w:val="right" w:pos="8640"/>
      </w:tabs>
    </w:pPr>
  </w:style>
  <w:style w:type="character" w:customStyle="1" w:styleId="HeaderChar">
    <w:name w:val="Header Char"/>
    <w:basedOn w:val="DefaultParagraphFont"/>
    <w:locked/>
    <w:rsid w:val="00AD4C9A"/>
    <w:rPr>
      <w:rFonts w:ascii="Times New Roman" w:hAnsi="Times New Roman" w:cs="Times New Roman"/>
      <w:sz w:val="22"/>
      <w:szCs w:val="22"/>
      <w:lang w:val="en-GB"/>
    </w:rPr>
  </w:style>
  <w:style w:type="paragraph" w:styleId="Footer">
    <w:name w:val="footer"/>
    <w:basedOn w:val="Normal"/>
    <w:rsid w:val="00AD4C9A"/>
    <w:pPr>
      <w:tabs>
        <w:tab w:val="center" w:pos="4320"/>
        <w:tab w:val="right" w:pos="8640"/>
      </w:tabs>
      <w:ind w:firstLine="720"/>
      <w:jc w:val="right"/>
    </w:pPr>
  </w:style>
  <w:style w:type="character" w:customStyle="1" w:styleId="FooterChar">
    <w:name w:val="Footer Char"/>
    <w:basedOn w:val="DefaultParagraphFont"/>
    <w:locked/>
    <w:rsid w:val="00AD4C9A"/>
    <w:rPr>
      <w:rFonts w:ascii="Times New Roman" w:hAnsi="Times New Roman" w:cs="Times New Roman"/>
      <w:sz w:val="22"/>
      <w:szCs w:val="22"/>
      <w:lang w:val="en-GB"/>
    </w:rPr>
  </w:style>
  <w:style w:type="paragraph" w:customStyle="1" w:styleId="meetingname">
    <w:name w:val="meeting name"/>
    <w:basedOn w:val="Normal"/>
    <w:rsid w:val="00AD4C9A"/>
    <w:pPr>
      <w:ind w:left="142" w:right="4218" w:hanging="142"/>
    </w:pPr>
    <w:rPr>
      <w:caps/>
    </w:rPr>
  </w:style>
  <w:style w:type="paragraph" w:styleId="Title">
    <w:name w:val="Title"/>
    <w:basedOn w:val="Normal"/>
    <w:next w:val="Normal"/>
    <w:qFormat/>
    <w:rsid w:val="00AD4C9A"/>
    <w:pPr>
      <w:pBdr>
        <w:bottom w:val="single" w:sz="8" w:space="4" w:color="4F81BD"/>
      </w:pBdr>
      <w:spacing w:after="300"/>
    </w:pPr>
    <w:rPr>
      <w:rFonts w:eastAsia="Times New Roman"/>
      <w:color w:val="17365D"/>
      <w:spacing w:val="5"/>
      <w:kern w:val="28"/>
      <w:sz w:val="52"/>
      <w:szCs w:val="52"/>
    </w:rPr>
  </w:style>
  <w:style w:type="character" w:customStyle="1" w:styleId="TitleChar">
    <w:name w:val="Title Char"/>
    <w:basedOn w:val="DefaultParagraphFont"/>
    <w:locked/>
    <w:rsid w:val="00AD4C9A"/>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rsid w:val="00AD4C9A"/>
    <w:pPr>
      <w:numPr>
        <w:ilvl w:val="1"/>
      </w:numPr>
    </w:pPr>
    <w:rPr>
      <w:rFonts w:eastAsia="Times New Roman"/>
      <w:i/>
      <w:iCs/>
      <w:color w:val="4F81BD"/>
      <w:spacing w:val="15"/>
      <w:sz w:val="24"/>
      <w:szCs w:val="24"/>
    </w:rPr>
  </w:style>
  <w:style w:type="character" w:customStyle="1" w:styleId="SubtitleChar">
    <w:name w:val="Subtitle Char"/>
    <w:basedOn w:val="DefaultParagraphFont"/>
    <w:locked/>
    <w:rsid w:val="00AD4C9A"/>
    <w:rPr>
      <w:rFonts w:ascii="Times New Roman" w:eastAsia="Times New Roman" w:hAnsi="Times New Roman" w:cs="Times New Roman"/>
      <w:i/>
      <w:iCs/>
      <w:color w:val="4F81BD"/>
      <w:spacing w:val="15"/>
      <w:lang w:val="en-US"/>
    </w:rPr>
  </w:style>
  <w:style w:type="character" w:customStyle="1" w:styleId="Heading1Char">
    <w:name w:val="Heading 1 Char"/>
    <w:basedOn w:val="DefaultParagraphFont"/>
    <w:locked/>
    <w:rsid w:val="00AD4C9A"/>
    <w:rPr>
      <w:rFonts w:ascii="Times New Roman" w:hAnsi="Times New Roman" w:cs="Times New Roman"/>
      <w:b/>
      <w:bCs/>
      <w:caps/>
      <w:sz w:val="22"/>
      <w:szCs w:val="22"/>
      <w:lang w:val="en-GB"/>
    </w:rPr>
  </w:style>
  <w:style w:type="paragraph" w:styleId="BodyText">
    <w:name w:val="Body Text"/>
    <w:basedOn w:val="Normal"/>
    <w:rsid w:val="00AD4C9A"/>
    <w:pPr>
      <w:spacing w:before="120" w:after="120"/>
      <w:ind w:firstLine="720"/>
    </w:pPr>
  </w:style>
  <w:style w:type="character" w:customStyle="1" w:styleId="BalloonTextChar1">
    <w:name w:val="Balloon Text Char1"/>
    <w:basedOn w:val="DefaultParagraphFont"/>
    <w:link w:val="BalloonText"/>
    <w:locked/>
    <w:rsid w:val="00AD4C9A"/>
    <w:rPr>
      <w:rFonts w:ascii="Times New Roman" w:hAnsi="Times New Roman" w:cs="Times New Roman"/>
      <w:sz w:val="22"/>
      <w:szCs w:val="22"/>
      <w:lang w:val="en-GB"/>
    </w:rPr>
  </w:style>
  <w:style w:type="paragraph" w:styleId="BodyTextIndent">
    <w:name w:val="Body Text Indent"/>
    <w:basedOn w:val="Normal"/>
    <w:rsid w:val="00AD4C9A"/>
    <w:pPr>
      <w:spacing w:before="120" w:after="120"/>
      <w:ind w:left="1440" w:hanging="720"/>
      <w:jc w:val="left"/>
    </w:pPr>
  </w:style>
  <w:style w:type="character" w:customStyle="1" w:styleId="BodyTextIndentChar">
    <w:name w:val="Body Text Indent Char"/>
    <w:basedOn w:val="DefaultParagraphFont"/>
    <w:locked/>
    <w:rsid w:val="00AD4C9A"/>
    <w:rPr>
      <w:rFonts w:ascii="Times New Roman" w:hAnsi="Times New Roman" w:cs="Times New Roman"/>
      <w:sz w:val="22"/>
      <w:szCs w:val="22"/>
      <w:lang w:val="en-GB"/>
    </w:rPr>
  </w:style>
  <w:style w:type="character" w:styleId="CommentReference">
    <w:name w:val="annotation reference"/>
    <w:basedOn w:val="DefaultParagraphFont"/>
    <w:semiHidden/>
    <w:rsid w:val="00AD4C9A"/>
    <w:rPr>
      <w:sz w:val="16"/>
      <w:szCs w:val="16"/>
    </w:rPr>
  </w:style>
  <w:style w:type="paragraph" w:styleId="CommentText">
    <w:name w:val="annotation text"/>
    <w:basedOn w:val="Normal"/>
    <w:semiHidden/>
    <w:rsid w:val="00AD4C9A"/>
    <w:pPr>
      <w:spacing w:after="120" w:line="240" w:lineRule="exact"/>
    </w:pPr>
  </w:style>
  <w:style w:type="character" w:customStyle="1" w:styleId="CommentTextChar">
    <w:name w:val="Comment Text Char"/>
    <w:basedOn w:val="DefaultParagraphFont"/>
    <w:semiHidden/>
    <w:locked/>
    <w:rsid w:val="00AD4C9A"/>
    <w:rPr>
      <w:rFonts w:ascii="Times New Roman" w:hAnsi="Times New Roman" w:cs="Times New Roman"/>
      <w:sz w:val="22"/>
      <w:szCs w:val="22"/>
      <w:lang w:val="en-GB"/>
    </w:rPr>
  </w:style>
  <w:style w:type="paragraph" w:customStyle="1" w:styleId="Cornernotation">
    <w:name w:val="Corner notation"/>
    <w:basedOn w:val="Normal"/>
    <w:rsid w:val="00AD4C9A"/>
    <w:pPr>
      <w:ind w:left="170" w:right="3119" w:hanging="170"/>
      <w:jc w:val="left"/>
    </w:pPr>
  </w:style>
  <w:style w:type="character" w:styleId="EndnoteReference">
    <w:name w:val="endnote reference"/>
    <w:basedOn w:val="DefaultParagraphFont"/>
    <w:semiHidden/>
    <w:rsid w:val="00AD4C9A"/>
    <w:rPr>
      <w:vertAlign w:val="superscript"/>
    </w:rPr>
  </w:style>
  <w:style w:type="paragraph" w:styleId="EndnoteText">
    <w:name w:val="endnote text"/>
    <w:basedOn w:val="Normal"/>
    <w:semiHidden/>
    <w:rsid w:val="00AD4C9A"/>
    <w:pPr>
      <w:widowControl w:val="0"/>
      <w:tabs>
        <w:tab w:val="left" w:pos="-720"/>
      </w:tabs>
      <w:suppressAutoHyphens/>
    </w:pPr>
    <w:rPr>
      <w:rFonts w:ascii="Courier New" w:hAnsi="Courier New" w:cs="Courier New"/>
    </w:rPr>
  </w:style>
  <w:style w:type="character" w:customStyle="1" w:styleId="EndnoteTextChar">
    <w:name w:val="Endnote Text Char"/>
    <w:basedOn w:val="DefaultParagraphFont"/>
    <w:semiHidden/>
    <w:locked/>
    <w:rsid w:val="00AD4C9A"/>
    <w:rPr>
      <w:rFonts w:ascii="Courier New" w:hAnsi="Courier New" w:cs="Courier New"/>
      <w:sz w:val="22"/>
      <w:szCs w:val="22"/>
      <w:lang w:val="en-GB"/>
    </w:rPr>
  </w:style>
  <w:style w:type="character" w:styleId="FollowedHyperlink">
    <w:name w:val="FollowedHyperlink"/>
    <w:basedOn w:val="DefaultParagraphFont"/>
    <w:rsid w:val="00AD4C9A"/>
    <w:rPr>
      <w:color w:val="800080"/>
      <w:u w:val="single"/>
    </w:rPr>
  </w:style>
  <w:style w:type="character" w:styleId="FootnoteReference">
    <w:name w:val="footnote reference"/>
    <w:basedOn w:val="DefaultParagraphFont"/>
    <w:semiHidden/>
    <w:locked/>
    <w:rsid w:val="00AD4C9A"/>
    <w:rPr>
      <w:sz w:val="22"/>
      <w:szCs w:val="22"/>
      <w:u w:val="none"/>
      <w:vertAlign w:val="superscript"/>
    </w:rPr>
  </w:style>
  <w:style w:type="paragraph" w:styleId="FootnoteText">
    <w:name w:val="footnote text"/>
    <w:basedOn w:val="Normal"/>
    <w:semiHidden/>
    <w:rsid w:val="00AD4C9A"/>
    <w:pPr>
      <w:keepLines/>
      <w:spacing w:after="60"/>
      <w:ind w:firstLine="720"/>
    </w:pPr>
    <w:rPr>
      <w:sz w:val="18"/>
      <w:szCs w:val="18"/>
    </w:rPr>
  </w:style>
  <w:style w:type="character" w:customStyle="1" w:styleId="FootnoteTextChar">
    <w:name w:val="Footnote Text Char"/>
    <w:basedOn w:val="DefaultParagraphFont"/>
    <w:semiHidden/>
    <w:locked/>
    <w:rsid w:val="00AD4C9A"/>
    <w:rPr>
      <w:rFonts w:ascii="Times New Roman" w:hAnsi="Times New Roman" w:cs="Times New Roman"/>
      <w:sz w:val="18"/>
      <w:szCs w:val="18"/>
      <w:lang w:val="en-GB"/>
    </w:rPr>
  </w:style>
  <w:style w:type="paragraph" w:customStyle="1" w:styleId="HEADING">
    <w:name w:val="HEADING"/>
    <w:basedOn w:val="Normal"/>
    <w:rsid w:val="00AD4C9A"/>
    <w:pPr>
      <w:keepNext/>
      <w:spacing w:before="240" w:after="120"/>
      <w:jc w:val="center"/>
    </w:pPr>
    <w:rPr>
      <w:b/>
      <w:bCs/>
      <w:caps/>
    </w:rPr>
  </w:style>
  <w:style w:type="character" w:customStyle="1" w:styleId="Heading2Char">
    <w:name w:val="Heading 2 Char"/>
    <w:basedOn w:val="DefaultParagraphFont"/>
    <w:locked/>
    <w:rsid w:val="00AD4C9A"/>
    <w:rPr>
      <w:rFonts w:ascii="Times New Roman" w:hAnsi="Times New Roman" w:cs="Times New Roman"/>
      <w:b/>
      <w:bCs/>
      <w:sz w:val="22"/>
      <w:szCs w:val="22"/>
      <w:lang w:val="en-GB"/>
    </w:rPr>
  </w:style>
  <w:style w:type="paragraph" w:customStyle="1" w:styleId="HEADINGNOTFORTOC">
    <w:name w:val="HEADING (NOT FOR TOC)"/>
    <w:basedOn w:val="Heading1"/>
    <w:next w:val="Heading2"/>
    <w:rsid w:val="00AD4C9A"/>
  </w:style>
  <w:style w:type="paragraph" w:customStyle="1" w:styleId="Heading1longmultiline">
    <w:name w:val="Heading 1 (long multiline)"/>
    <w:basedOn w:val="Heading1"/>
    <w:rsid w:val="00AD4C9A"/>
    <w:pPr>
      <w:ind w:left="1843" w:hanging="1134"/>
      <w:jc w:val="left"/>
    </w:pPr>
  </w:style>
  <w:style w:type="paragraph" w:customStyle="1" w:styleId="Heading1multiline">
    <w:name w:val="Heading 1 (multiline)"/>
    <w:basedOn w:val="Heading1"/>
    <w:rsid w:val="00AD4C9A"/>
    <w:pPr>
      <w:ind w:left="1843" w:right="996" w:hanging="567"/>
      <w:jc w:val="left"/>
    </w:pPr>
  </w:style>
  <w:style w:type="paragraph" w:customStyle="1" w:styleId="Heading2multiline">
    <w:name w:val="Heading 2 (multiline)"/>
    <w:basedOn w:val="Heading1"/>
    <w:next w:val="Normal"/>
    <w:rsid w:val="00AD4C9A"/>
    <w:pPr>
      <w:spacing w:before="120"/>
      <w:ind w:left="1843" w:right="998" w:hanging="567"/>
      <w:jc w:val="left"/>
    </w:pPr>
    <w:rPr>
      <w:i/>
      <w:iCs/>
      <w:caps w:val="0"/>
    </w:rPr>
  </w:style>
  <w:style w:type="paragraph" w:customStyle="1" w:styleId="Heading2longmultiline">
    <w:name w:val="Heading 2 (long multiline)"/>
    <w:basedOn w:val="Heading2multiline"/>
    <w:rsid w:val="00AD4C9A"/>
    <w:pPr>
      <w:ind w:left="2127" w:hanging="1276"/>
    </w:pPr>
  </w:style>
  <w:style w:type="character" w:customStyle="1" w:styleId="Heading3Char">
    <w:name w:val="Heading 3 Char"/>
    <w:basedOn w:val="DefaultParagraphFont"/>
    <w:locked/>
    <w:rsid w:val="00AD4C9A"/>
    <w:rPr>
      <w:rFonts w:ascii="Times New Roman" w:hAnsi="Times New Roman" w:cs="Times New Roman"/>
      <w:i/>
      <w:iCs/>
      <w:sz w:val="22"/>
      <w:szCs w:val="22"/>
      <w:lang w:val="en-GB"/>
    </w:rPr>
  </w:style>
  <w:style w:type="paragraph" w:customStyle="1" w:styleId="heading2notforTOC">
    <w:name w:val="heading 2 not for TOC"/>
    <w:basedOn w:val="Heading3"/>
    <w:rsid w:val="00AD4C9A"/>
  </w:style>
  <w:style w:type="paragraph" w:customStyle="1" w:styleId="Heading3multiline">
    <w:name w:val="Heading 3 (multiline)"/>
    <w:basedOn w:val="Heading3"/>
    <w:next w:val="Normal"/>
    <w:rsid w:val="00AD4C9A"/>
    <w:pPr>
      <w:ind w:left="1418" w:hanging="425"/>
      <w:jc w:val="left"/>
    </w:pPr>
  </w:style>
  <w:style w:type="character" w:customStyle="1" w:styleId="Heading4Char">
    <w:name w:val="Heading 4 Char"/>
    <w:basedOn w:val="DefaultParagraphFont"/>
    <w:locked/>
    <w:rsid w:val="00AD4C9A"/>
    <w:rPr>
      <w:rFonts w:ascii="Times New Roman" w:eastAsia="Times New Roman" w:hAnsi="Times New Roman" w:cs="Times New Roman"/>
      <w:b/>
      <w:bCs/>
      <w:i/>
      <w:iCs/>
      <w:sz w:val="22"/>
      <w:szCs w:val="22"/>
      <w:lang w:val="en-GB"/>
    </w:rPr>
  </w:style>
  <w:style w:type="paragraph" w:customStyle="1" w:styleId="Heading4indent">
    <w:name w:val="Heading 4 indent"/>
    <w:basedOn w:val="Heading4"/>
    <w:rsid w:val="00AD4C9A"/>
    <w:pPr>
      <w:ind w:left="720"/>
      <w:outlineLvl w:val="9"/>
    </w:pPr>
  </w:style>
  <w:style w:type="character" w:customStyle="1" w:styleId="Heading5Char">
    <w:name w:val="Heading 5 Char"/>
    <w:basedOn w:val="DefaultParagraphFont"/>
    <w:locked/>
    <w:rsid w:val="00AD4C9A"/>
    <w:rPr>
      <w:rFonts w:ascii="Times New Roman" w:hAnsi="Times New Roman" w:cs="Times New Roman"/>
      <w:i/>
      <w:iCs/>
      <w:sz w:val="26"/>
      <w:szCs w:val="26"/>
      <w:lang w:val="en-CA"/>
    </w:rPr>
  </w:style>
  <w:style w:type="character" w:customStyle="1" w:styleId="Heading6Char">
    <w:name w:val="Heading 6 Char"/>
    <w:basedOn w:val="DefaultParagraphFont"/>
    <w:locked/>
    <w:rsid w:val="00AD4C9A"/>
    <w:rPr>
      <w:rFonts w:ascii="Times New Roman" w:hAnsi="Times New Roman" w:cs="Times New Roman"/>
      <w:sz w:val="22"/>
      <w:szCs w:val="22"/>
      <w:u w:val="single"/>
      <w:lang w:val="en-GB"/>
    </w:rPr>
  </w:style>
  <w:style w:type="character" w:customStyle="1" w:styleId="Heading7Char">
    <w:name w:val="Heading 7 Char"/>
    <w:basedOn w:val="DefaultParagraphFont"/>
    <w:locked/>
    <w:rsid w:val="00AD4C9A"/>
    <w:rPr>
      <w:rFonts w:ascii="Times New Roman" w:hAnsi="Times New Roman" w:cs="Times New Roman"/>
      <w:b/>
      <w:bCs/>
      <w:sz w:val="28"/>
      <w:szCs w:val="28"/>
      <w:lang w:val="en-GB"/>
    </w:rPr>
  </w:style>
  <w:style w:type="character" w:customStyle="1" w:styleId="Heading8Char">
    <w:name w:val="Heading 8 Char"/>
    <w:basedOn w:val="DefaultParagraphFont"/>
    <w:locked/>
    <w:rsid w:val="00AD4C9A"/>
    <w:rPr>
      <w:rFonts w:ascii="Times New Roman" w:hAnsi="Times New Roman" w:cs="Times New Roman"/>
      <w:b/>
      <w:bCs/>
      <w:sz w:val="32"/>
      <w:szCs w:val="32"/>
      <w:lang w:val="en-GB"/>
    </w:rPr>
  </w:style>
  <w:style w:type="character" w:customStyle="1" w:styleId="Heading9Char">
    <w:name w:val="Heading 9 Char"/>
    <w:basedOn w:val="DefaultParagraphFont"/>
    <w:locked/>
    <w:rsid w:val="00AD4C9A"/>
    <w:rPr>
      <w:rFonts w:ascii="Times New Roman" w:hAnsi="Times New Roman" w:cs="Times New Roman"/>
      <w:i/>
      <w:iCs/>
      <w:sz w:val="22"/>
      <w:szCs w:val="22"/>
      <w:lang w:val="en-GB"/>
    </w:rPr>
  </w:style>
  <w:style w:type="character" w:styleId="PageNumber">
    <w:name w:val="page number"/>
    <w:basedOn w:val="DefaultParagraphFont"/>
    <w:rsid w:val="00AD4C9A"/>
    <w:rPr>
      <w:rFonts w:ascii="Times New Roman" w:hAnsi="Times New Roman" w:cs="Times New Roman"/>
      <w:sz w:val="22"/>
      <w:szCs w:val="22"/>
    </w:rPr>
  </w:style>
  <w:style w:type="paragraph" w:customStyle="1" w:styleId="Para1">
    <w:name w:val="Para1"/>
    <w:basedOn w:val="Normal"/>
    <w:rsid w:val="00AD4C9A"/>
    <w:pPr>
      <w:numPr>
        <w:numId w:val="4"/>
      </w:numPr>
      <w:tabs>
        <w:tab w:val="clear" w:pos="360"/>
      </w:tabs>
      <w:spacing w:before="120" w:after="120"/>
    </w:pPr>
  </w:style>
  <w:style w:type="paragraph" w:customStyle="1" w:styleId="Para2">
    <w:name w:val="Para2"/>
    <w:basedOn w:val="Para1"/>
    <w:rsid w:val="00AD4C9A"/>
    <w:pPr>
      <w:numPr>
        <w:numId w:val="0"/>
      </w:numPr>
      <w:autoSpaceDE w:val="0"/>
      <w:autoSpaceDN w:val="0"/>
    </w:pPr>
  </w:style>
  <w:style w:type="paragraph" w:customStyle="1" w:styleId="Para3">
    <w:name w:val="Para3"/>
    <w:basedOn w:val="Normal"/>
    <w:rsid w:val="00AD4C9A"/>
    <w:pPr>
      <w:numPr>
        <w:ilvl w:val="3"/>
        <w:numId w:val="5"/>
      </w:numPr>
      <w:tabs>
        <w:tab w:val="left" w:pos="1980"/>
      </w:tabs>
      <w:spacing w:before="80" w:after="80"/>
    </w:pPr>
  </w:style>
  <w:style w:type="paragraph" w:customStyle="1" w:styleId="para4">
    <w:name w:val="para4"/>
    <w:basedOn w:val="Normal"/>
    <w:rsid w:val="00AD4C9A"/>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rsid w:val="00AD4C9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AD4C9A"/>
    <w:pPr>
      <w:spacing w:before="120" w:after="120"/>
      <w:ind w:left="720" w:right="720"/>
    </w:pPr>
  </w:style>
  <w:style w:type="paragraph" w:customStyle="1" w:styleId="recommendationheader">
    <w:name w:val="recommendation header"/>
    <w:basedOn w:val="Heading2"/>
    <w:rsid w:val="00AD4C9A"/>
  </w:style>
  <w:style w:type="paragraph" w:customStyle="1" w:styleId="recommendationheaderlong">
    <w:name w:val="recommendation header long"/>
    <w:basedOn w:val="Heading2longmultiline"/>
    <w:rsid w:val="00AD4C9A"/>
  </w:style>
  <w:style w:type="paragraph" w:customStyle="1" w:styleId="reference">
    <w:name w:val="reference"/>
    <w:basedOn w:val="Heading9"/>
    <w:rsid w:val="00AD4C9A"/>
    <w:rPr>
      <w:i w:val="0"/>
      <w:iCs w:val="0"/>
      <w:sz w:val="18"/>
      <w:szCs w:val="18"/>
    </w:rPr>
  </w:style>
  <w:style w:type="character" w:customStyle="1" w:styleId="StyleFootnoteReferenceNounderline">
    <w:name w:val="Style Footnote Reference + No underline"/>
    <w:rsid w:val="00AD4C9A"/>
    <w:rPr>
      <w:sz w:val="18"/>
      <w:szCs w:val="18"/>
      <w:u w:val="none"/>
      <w:vertAlign w:val="baseline"/>
    </w:rPr>
  </w:style>
  <w:style w:type="paragraph" w:customStyle="1" w:styleId="tabletitle">
    <w:name w:val="table title"/>
    <w:basedOn w:val="Heading2"/>
    <w:rsid w:val="00AD4C9A"/>
    <w:pPr>
      <w:jc w:val="left"/>
      <w:outlineLvl w:val="9"/>
    </w:pPr>
    <w:rPr>
      <w:i/>
      <w:iCs/>
    </w:rPr>
  </w:style>
  <w:style w:type="paragraph" w:styleId="TOAHeading">
    <w:name w:val="toa heading"/>
    <w:basedOn w:val="Normal"/>
    <w:next w:val="Normal"/>
    <w:semiHidden/>
    <w:rsid w:val="00AD4C9A"/>
    <w:pPr>
      <w:spacing w:before="120"/>
    </w:pPr>
    <w:rPr>
      <w:b/>
      <w:bCs/>
      <w:sz w:val="24"/>
      <w:szCs w:val="24"/>
    </w:rPr>
  </w:style>
  <w:style w:type="paragraph" w:styleId="TOC1">
    <w:name w:val="toc 1"/>
    <w:basedOn w:val="Normal"/>
    <w:next w:val="Normal"/>
    <w:autoRedefine/>
    <w:semiHidden/>
    <w:rsid w:val="00AD4C9A"/>
    <w:pPr>
      <w:ind w:left="720" w:hanging="720"/>
    </w:pPr>
    <w:rPr>
      <w:caps/>
    </w:rPr>
  </w:style>
  <w:style w:type="paragraph" w:styleId="TOC2">
    <w:name w:val="toc 2"/>
    <w:basedOn w:val="Normal"/>
    <w:next w:val="Normal"/>
    <w:autoRedefine/>
    <w:semiHidden/>
    <w:rsid w:val="00AD4C9A"/>
    <w:pPr>
      <w:tabs>
        <w:tab w:val="right" w:leader="dot" w:pos="9356"/>
      </w:tabs>
      <w:ind w:left="1440" w:hanging="720"/>
    </w:pPr>
    <w:rPr>
      <w:noProof/>
      <w:lang w:val="en-US"/>
    </w:rPr>
  </w:style>
  <w:style w:type="paragraph" w:styleId="TOC3">
    <w:name w:val="toc 3"/>
    <w:basedOn w:val="Normal"/>
    <w:next w:val="Normal"/>
    <w:autoRedefine/>
    <w:semiHidden/>
    <w:rsid w:val="00AD4C9A"/>
    <w:pPr>
      <w:ind w:left="2160" w:hanging="720"/>
    </w:pPr>
  </w:style>
  <w:style w:type="paragraph" w:styleId="TOC4">
    <w:name w:val="toc 4"/>
    <w:basedOn w:val="Normal"/>
    <w:next w:val="Normal"/>
    <w:autoRedefine/>
    <w:semiHidden/>
    <w:rsid w:val="00AD4C9A"/>
    <w:pPr>
      <w:spacing w:before="120" w:after="120"/>
      <w:ind w:left="660"/>
      <w:jc w:val="left"/>
    </w:pPr>
  </w:style>
  <w:style w:type="paragraph" w:styleId="TOC5">
    <w:name w:val="toc 5"/>
    <w:basedOn w:val="Normal"/>
    <w:next w:val="Normal"/>
    <w:autoRedefine/>
    <w:semiHidden/>
    <w:rsid w:val="00AD4C9A"/>
    <w:pPr>
      <w:spacing w:before="120" w:after="120"/>
      <w:ind w:left="880"/>
      <w:jc w:val="left"/>
    </w:pPr>
  </w:style>
  <w:style w:type="paragraph" w:styleId="TOC6">
    <w:name w:val="toc 6"/>
    <w:basedOn w:val="Normal"/>
    <w:next w:val="Normal"/>
    <w:autoRedefine/>
    <w:semiHidden/>
    <w:rsid w:val="00AD4C9A"/>
    <w:pPr>
      <w:spacing w:before="120" w:after="120"/>
      <w:ind w:left="1100"/>
      <w:jc w:val="left"/>
    </w:pPr>
  </w:style>
  <w:style w:type="paragraph" w:styleId="TOC7">
    <w:name w:val="toc 7"/>
    <w:basedOn w:val="Normal"/>
    <w:next w:val="Normal"/>
    <w:autoRedefine/>
    <w:semiHidden/>
    <w:rsid w:val="00AD4C9A"/>
    <w:pPr>
      <w:spacing w:before="120" w:after="120"/>
      <w:ind w:left="1320"/>
      <w:jc w:val="left"/>
    </w:pPr>
  </w:style>
  <w:style w:type="paragraph" w:styleId="TOC8">
    <w:name w:val="toc 8"/>
    <w:basedOn w:val="Normal"/>
    <w:next w:val="Normal"/>
    <w:autoRedefine/>
    <w:semiHidden/>
    <w:rsid w:val="00AD4C9A"/>
    <w:pPr>
      <w:spacing w:before="120" w:after="120"/>
      <w:ind w:left="1540"/>
      <w:jc w:val="left"/>
    </w:pPr>
  </w:style>
  <w:style w:type="paragraph" w:styleId="TOC9">
    <w:name w:val="toc 9"/>
    <w:basedOn w:val="Normal"/>
    <w:next w:val="Normal"/>
    <w:autoRedefine/>
    <w:semiHidden/>
    <w:rsid w:val="00AD4C9A"/>
    <w:pPr>
      <w:spacing w:before="120" w:after="120"/>
      <w:ind w:left="1760"/>
      <w:jc w:val="left"/>
    </w:pPr>
  </w:style>
  <w:style w:type="character" w:styleId="Hyperlink">
    <w:name w:val="Hyperlink"/>
    <w:basedOn w:val="DefaultParagraphFont"/>
    <w:rsid w:val="00AD4C9A"/>
    <w:rPr>
      <w:color w:val="0000FF"/>
      <w:sz w:val="18"/>
      <w:szCs w:val="18"/>
      <w:u w:val="single"/>
    </w:rPr>
  </w:style>
  <w:style w:type="character" w:customStyle="1" w:styleId="Para1Char">
    <w:name w:val="Para1 Char"/>
    <w:locked/>
    <w:rsid w:val="00AD4C9A"/>
    <w:rPr>
      <w:rFonts w:ascii="Times New Roman" w:hAnsi="Times New Roman" w:cs="Times New Roman"/>
      <w:snapToGrid w:val="0"/>
      <w:sz w:val="18"/>
      <w:szCs w:val="18"/>
      <w:lang w:val="en-GB"/>
    </w:rPr>
  </w:style>
  <w:style w:type="paragraph" w:customStyle="1" w:styleId="CBD-Doc-Type">
    <w:name w:val="CBD-Doc-Type"/>
    <w:basedOn w:val="Normal"/>
    <w:rsid w:val="00AD4C9A"/>
    <w:pPr>
      <w:keepLines/>
      <w:spacing w:before="240" w:after="120"/>
    </w:pPr>
    <w:rPr>
      <w:b/>
      <w:bCs/>
      <w:i/>
      <w:iCs/>
      <w:sz w:val="24"/>
      <w:szCs w:val="24"/>
    </w:rPr>
  </w:style>
  <w:style w:type="paragraph" w:customStyle="1" w:styleId="CBD-Doc">
    <w:name w:val="CBD-Doc"/>
    <w:basedOn w:val="Normal"/>
    <w:rsid w:val="00AD4C9A"/>
    <w:pPr>
      <w:keepLines/>
      <w:numPr>
        <w:numId w:val="9"/>
      </w:numPr>
      <w:spacing w:after="120"/>
    </w:pPr>
  </w:style>
  <w:style w:type="paragraph" w:styleId="ListParagraph">
    <w:name w:val="List Paragraph"/>
    <w:basedOn w:val="Normal"/>
    <w:qFormat/>
    <w:rsid w:val="00AD4C9A"/>
    <w:pPr>
      <w:ind w:left="720"/>
    </w:pPr>
  </w:style>
  <w:style w:type="paragraph" w:styleId="Caption">
    <w:name w:val="caption"/>
    <w:basedOn w:val="Normal"/>
    <w:next w:val="Normal"/>
    <w:qFormat/>
    <w:rsid w:val="00AD4C9A"/>
    <w:pPr>
      <w:keepNext/>
      <w:keepLines/>
      <w:spacing w:after="200"/>
    </w:pPr>
    <w:rPr>
      <w:b/>
      <w:bCs/>
    </w:rPr>
  </w:style>
  <w:style w:type="paragraph" w:customStyle="1" w:styleId="Style1">
    <w:name w:val="Style1"/>
    <w:basedOn w:val="Heading2"/>
    <w:rsid w:val="00AD4C9A"/>
    <w:rPr>
      <w:i/>
      <w:iC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rsid w:val="00AD4C9A"/>
    <w:pPr>
      <w:spacing w:after="160" w:line="240" w:lineRule="exact"/>
      <w:jc w:val="left"/>
    </w:pPr>
    <w:rPr>
      <w:vertAlign w:val="superscript"/>
      <w:lang w:val="en-US"/>
    </w:rPr>
  </w:style>
  <w:style w:type="paragraph" w:styleId="Revision">
    <w:name w:val="Revision"/>
    <w:hidden/>
    <w:semiHidden/>
    <w:rsid w:val="00AD4C9A"/>
    <w:rPr>
      <w:rFonts w:eastAsia="MS Mincho" w:cs="Times New Roman"/>
      <w:snapToGrid w:val="0"/>
      <w:sz w:val="22"/>
      <w:szCs w:val="22"/>
      <w:lang w:val="en-GB" w:eastAsia="ko-KR"/>
    </w:rPr>
  </w:style>
  <w:style w:type="paragraph" w:styleId="CommentSubject">
    <w:name w:val="annotation subject"/>
    <w:basedOn w:val="CommentText"/>
    <w:next w:val="CommentText"/>
    <w:semiHidden/>
    <w:rsid w:val="00AD4C9A"/>
    <w:pPr>
      <w:spacing w:after="0" w:line="240" w:lineRule="auto"/>
    </w:pPr>
    <w:rPr>
      <w:b/>
      <w:bCs/>
      <w:sz w:val="20"/>
      <w:szCs w:val="20"/>
    </w:rPr>
  </w:style>
  <w:style w:type="character" w:customStyle="1" w:styleId="CommentSubjectChar">
    <w:name w:val="Comment Subject Char"/>
    <w:basedOn w:val="CommentTextChar"/>
    <w:semiHidden/>
    <w:locked/>
    <w:rsid w:val="00AD4C9A"/>
    <w:rPr>
      <w:b/>
      <w:bCs/>
      <w:sz w:val="20"/>
      <w:szCs w:val="20"/>
    </w:rPr>
  </w:style>
  <w:style w:type="character" w:customStyle="1" w:styleId="UnresolvedMention">
    <w:name w:val="Unresolved Mention"/>
    <w:basedOn w:val="DefaultParagraphFont"/>
    <w:semiHidden/>
    <w:rsid w:val="00AD4C9A"/>
    <w:rPr>
      <w:color w:val="auto"/>
      <w:shd w:val="clear" w:color="auto" w:fill="auto"/>
    </w:rPr>
  </w:style>
  <w:style w:type="character" w:customStyle="1" w:styleId="tw4winMark">
    <w:name w:val="tw4winMark"/>
    <w:rsid w:val="00AD4C9A"/>
    <w:rPr>
      <w:rFonts w:ascii="Courier New" w:hAnsi="Courier New" w:cs="Courier New"/>
      <w:vanish/>
      <w:color w:val="800080"/>
      <w:sz w:val="24"/>
      <w:szCs w:val="24"/>
      <w:vertAlign w:val="subscript"/>
    </w:rPr>
  </w:style>
  <w:style w:type="character" w:customStyle="1" w:styleId="apple-converted-space">
    <w:name w:val="apple-converted-space"/>
    <w:rsid w:val="00AD4C9A"/>
  </w:style>
  <w:style w:type="character" w:customStyle="1" w:styleId="tw4winError">
    <w:name w:val="tw4winError"/>
    <w:rsid w:val="00AD4C9A"/>
    <w:rPr>
      <w:rFonts w:ascii="Courier New" w:hAnsi="Courier New" w:cs="Courier New"/>
      <w:color w:val="00FF00"/>
      <w:sz w:val="40"/>
      <w:szCs w:val="40"/>
    </w:rPr>
  </w:style>
  <w:style w:type="character" w:customStyle="1" w:styleId="tw4winTerm">
    <w:name w:val="tw4winTerm"/>
    <w:rsid w:val="00AD4C9A"/>
    <w:rPr>
      <w:color w:val="0000FF"/>
    </w:rPr>
  </w:style>
  <w:style w:type="character" w:customStyle="1" w:styleId="tw4winPopup">
    <w:name w:val="tw4winPopup"/>
    <w:rsid w:val="00AD4C9A"/>
    <w:rPr>
      <w:rFonts w:ascii="Courier New" w:hAnsi="Courier New" w:cs="Courier New"/>
      <w:noProof/>
      <w:color w:val="008000"/>
    </w:rPr>
  </w:style>
  <w:style w:type="character" w:customStyle="1" w:styleId="tw4winJump">
    <w:name w:val="tw4winJump"/>
    <w:rsid w:val="00AD4C9A"/>
    <w:rPr>
      <w:rFonts w:ascii="Courier New" w:hAnsi="Courier New" w:cs="Courier New"/>
      <w:noProof/>
      <w:color w:val="008080"/>
    </w:rPr>
  </w:style>
  <w:style w:type="character" w:customStyle="1" w:styleId="tw4winExternal">
    <w:name w:val="tw4winExternal"/>
    <w:rsid w:val="00AD4C9A"/>
    <w:rPr>
      <w:rFonts w:ascii="Courier New" w:hAnsi="Courier New" w:cs="Courier New"/>
      <w:noProof/>
      <w:color w:val="808080"/>
    </w:rPr>
  </w:style>
  <w:style w:type="character" w:customStyle="1" w:styleId="tw4winInternal">
    <w:name w:val="tw4winInternal"/>
    <w:rsid w:val="00AD4C9A"/>
    <w:rPr>
      <w:rFonts w:ascii="Courier New" w:hAnsi="Courier New" w:cs="Courier New"/>
      <w:noProof/>
      <w:color w:val="FF0000"/>
    </w:rPr>
  </w:style>
  <w:style w:type="character" w:customStyle="1" w:styleId="DONOTTRANSLATE">
    <w:name w:val="DO_NOT_TRANSLATE"/>
    <w:rsid w:val="00AD4C9A"/>
    <w:rPr>
      <w:rFonts w:ascii="Courier New" w:hAnsi="Courier New" w:cs="Courier New"/>
      <w:noProof/>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0069/ee5c/e2cdfdb1252f37b6e10bb6af/sbi-02-16-add1-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1116</Words>
  <Characters>6072</Characters>
  <Application>Microsoft Office Word</Application>
  <DocSecurity>0</DocSecurity>
  <Lines>101</Lines>
  <Paragraphs>37</Paragraphs>
  <ScaleCrop>false</ScaleCrop>
  <HeadingPairs>
    <vt:vector size="2" baseType="variant">
      <vt:variant>
        <vt:lpstr>Title</vt:lpstr>
      </vt:variant>
      <vt:variant>
        <vt:i4>1</vt:i4>
      </vt:variant>
    </vt:vector>
  </HeadingPairs>
  <TitlesOfParts>
    <vt:vector size="1" baseType="lpstr">
      <vt:lpstr>CP-10/8. 	Review of effectiveness of structures and processes under the Convention and its Protocols</vt:lpstr>
    </vt:vector>
  </TitlesOfParts>
  <Company>SCBD</Company>
  <LinksUpToDate>false</LinksUpToDate>
  <CharactersWithSpaces>7151</CharactersWithSpaces>
  <SharedDoc>false</SharedDoc>
  <HLinks>
    <vt:vector size="6" baseType="variant">
      <vt:variant>
        <vt:i4>7471136</vt:i4>
      </vt:variant>
      <vt:variant>
        <vt:i4>0</vt:i4>
      </vt:variant>
      <vt:variant>
        <vt:i4>0</vt:i4>
      </vt:variant>
      <vt:variant>
        <vt:i4>5</vt:i4>
      </vt:variant>
      <vt:variant>
        <vt:lpwstr>https://www.cbd.int/doc/c/0069/ee5c/e2cdfdb1252f37b6e10bb6af/sbi-02-16-add1-es.pdf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CP-10/8. 	Review of effectiveness of structures and processes under the Convention and its Protocols</dc:title>
  <dc:subject>CBD/CP/MOP/DEC/10/8</dc:subject>
  <dc:creator>SCBD</dc:creator>
  <cp:keywords>Decision adopted by the Parties to the Cartagena Protocol on Biosafety</cp:keywords>
  <cp:lastModifiedBy>Laura Perez</cp:lastModifiedBy>
  <cp:revision>5</cp:revision>
  <cp:lastPrinted>2020-01-21T16:56:00Z</cp:lastPrinted>
  <dcterms:created xsi:type="dcterms:W3CDTF">2023-02-17T15:54:00Z</dcterms:created>
  <dcterms:modified xsi:type="dcterms:W3CDTF">2023-02-17T16:23:00Z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