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020"/>
        <w:gridCol w:w="4961"/>
      </w:tblGrid>
      <w:tr w:rsidR="00C9161D" w14:paraId="07F6750D" w14:textId="77777777" w:rsidTr="004671EA">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020" w:type="dxa"/>
            <w:tcBorders>
              <w:bottom w:val="single" w:sz="12" w:space="0" w:color="auto"/>
            </w:tcBorders>
            <w:shd w:val="clear" w:color="auto" w:fill="auto"/>
            <w:tcFitText/>
          </w:tcPr>
          <w:p w14:paraId="1986B63F" w14:textId="1087733B" w:rsidR="00FA663B" w:rsidRPr="00321985" w:rsidRDefault="00AA6F92" w:rsidP="00321985">
            <w:r w:rsidRPr="001E05C1">
              <w:rPr>
                <w:noProof/>
              </w:rPr>
              <w:drawing>
                <wp:inline distT="0" distB="0" distL="0" distR="0" wp14:anchorId="4030DC6E" wp14:editId="5D58092A">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96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4671EA">
        <w:tc>
          <w:tcPr>
            <w:tcW w:w="4996"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14:paraId="1C693BA4" w14:textId="77777777" w:rsidR="00C9161D" w:rsidRPr="00C9161D" w:rsidRDefault="00C9161D" w:rsidP="004671EA">
            <w:pPr>
              <w:ind w:left="1596"/>
              <w:jc w:val="left"/>
              <w:rPr>
                <w:szCs w:val="22"/>
              </w:rPr>
            </w:pPr>
            <w:r w:rsidRPr="00C9161D">
              <w:rPr>
                <w:szCs w:val="22"/>
              </w:rPr>
              <w:t>Distr.</w:t>
            </w:r>
          </w:p>
          <w:p w14:paraId="0C21C438" w14:textId="5F5F985E" w:rsidR="00C9161D" w:rsidRPr="00C9161D" w:rsidRDefault="00B979E0" w:rsidP="004671EA">
            <w:pPr>
              <w:ind w:left="1596"/>
              <w:jc w:val="left"/>
              <w:rPr>
                <w:szCs w:val="22"/>
              </w:rPr>
            </w:pPr>
            <w:r>
              <w:rPr>
                <w:caps/>
                <w:szCs w:val="22"/>
              </w:rPr>
              <w:t>General</w:t>
            </w:r>
          </w:p>
          <w:p w14:paraId="06715052" w14:textId="77777777" w:rsidR="00C9161D" w:rsidRPr="00C9161D" w:rsidRDefault="00C9161D" w:rsidP="004671EA">
            <w:pPr>
              <w:ind w:left="1596"/>
              <w:jc w:val="left"/>
              <w:rPr>
                <w:szCs w:val="22"/>
              </w:rPr>
            </w:pPr>
          </w:p>
          <w:p w14:paraId="44230134" w14:textId="71652630" w:rsidR="00C9161D" w:rsidRPr="00C9161D" w:rsidRDefault="00DD45E6" w:rsidP="004671EA">
            <w:pPr>
              <w:ind w:left="1596"/>
              <w:jc w:val="left"/>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979E0">
                  <w:rPr>
                    <w:lang w:val="en-US"/>
                  </w:rPr>
                  <w:t>CBD/CP/MOP/DEC/10/</w:t>
                </w:r>
                <w:r w:rsidR="001B5E37">
                  <w:rPr>
                    <w:lang w:val="en-US"/>
                  </w:rPr>
                  <w:t>9</w:t>
                </w:r>
              </w:sdtContent>
            </w:sdt>
          </w:p>
          <w:p w14:paraId="0DF1F033" w14:textId="23E36889" w:rsidR="00C9161D" w:rsidRPr="00C9161D" w:rsidRDefault="00B979E0" w:rsidP="004671EA">
            <w:pPr>
              <w:ind w:left="1596"/>
              <w:jc w:val="left"/>
              <w:rPr>
                <w:szCs w:val="22"/>
              </w:rPr>
            </w:pPr>
            <w:r>
              <w:rPr>
                <w:szCs w:val="22"/>
              </w:rPr>
              <w:t>1</w:t>
            </w:r>
            <w:r w:rsidR="00B0087D">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4671EA">
            <w:pPr>
              <w:ind w:left="1596"/>
              <w:jc w:val="left"/>
              <w:rPr>
                <w:szCs w:val="22"/>
              </w:rPr>
            </w:pPr>
          </w:p>
          <w:p w14:paraId="19472D49" w14:textId="77777777" w:rsidR="00C9161D" w:rsidRPr="00C9161D" w:rsidRDefault="006B2290" w:rsidP="004671EA">
            <w:pPr>
              <w:ind w:left="1596"/>
              <w:jc w:val="left"/>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51CFE6F1" w:rsidR="003B7BB2" w:rsidRPr="00910961" w:rsidRDefault="003B7BB2" w:rsidP="004671EA">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1FD3CBC5" w:rsidR="00C9161D" w:rsidRPr="00C9161D" w:rsidRDefault="00B26ACD" w:rsidP="00C9161D">
      <w:r>
        <w:rPr>
          <w:snapToGrid w:val="0"/>
          <w:kern w:val="22"/>
          <w:szCs w:val="22"/>
        </w:rPr>
        <w:t>Agenda i</w:t>
      </w:r>
      <w:r w:rsidR="00134846" w:rsidRPr="004B44DE">
        <w:rPr>
          <w:snapToGrid w:val="0"/>
          <w:kern w:val="22"/>
          <w:szCs w:val="22"/>
        </w:rPr>
        <w:t xml:space="preserve">tem </w:t>
      </w:r>
      <w:r w:rsidR="00B0087D">
        <w:rPr>
          <w:snapToGrid w:val="0"/>
          <w:kern w:val="22"/>
          <w:szCs w:val="22"/>
        </w:rPr>
        <w:t>8</w:t>
      </w:r>
      <w:r w:rsidR="00134846" w:rsidRPr="004B44DE">
        <w:rPr>
          <w:snapToGrid w:val="0"/>
          <w:kern w:val="22"/>
          <w:szCs w:val="22"/>
        </w:rPr>
        <w:t xml:space="preserve"> </w:t>
      </w:r>
    </w:p>
    <w:p w14:paraId="56C7C279" w14:textId="77777777" w:rsidR="00814D6D" w:rsidRPr="00162C1D" w:rsidRDefault="00814D6D" w:rsidP="004671EA">
      <w:pPr>
        <w:keepNext/>
        <w:spacing w:before="240" w:after="240"/>
        <w:ind w:right="-288"/>
        <w:jc w:val="center"/>
        <w:rPr>
          <w:rFonts w:ascii="Times New Roman Bold" w:hAnsi="Times New Roman Bold"/>
          <w:b/>
          <w:caps/>
        </w:rPr>
      </w:pPr>
      <w:r w:rsidRPr="00162C1D">
        <w:rPr>
          <w:rFonts w:ascii="Times New Roman Bold" w:hAnsi="Times New Roman Bold"/>
          <w:b/>
          <w:caps/>
        </w:rPr>
        <w:t>Decision adopted by the Parties to the Cartagena Protocol on Biosafety</w:t>
      </w:r>
    </w:p>
    <w:p w14:paraId="57F6B7A1" w14:textId="317EFEC4" w:rsidR="00C9161D" w:rsidRDefault="00DD45E6" w:rsidP="004671EA">
      <w:pPr>
        <w:keepNext/>
        <w:spacing w:before="120" w:after="240"/>
        <w:jc w:val="center"/>
        <w:outlineLvl w:val="1"/>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979E0" w:rsidRPr="00B979E0">
            <w:rPr>
              <w:b/>
            </w:rPr>
            <w:t>CP-10/</w:t>
          </w:r>
          <w:r w:rsidR="001B5E37">
            <w:rPr>
              <w:b/>
            </w:rPr>
            <w:t>9</w:t>
          </w:r>
          <w:r w:rsidR="00B979E0" w:rsidRPr="00B979E0">
            <w:rPr>
              <w:b/>
            </w:rPr>
            <w:t>.</w:t>
          </w:r>
          <w:r w:rsidR="00B979E0" w:rsidRPr="00B979E0">
            <w:rPr>
              <w:b/>
            </w:rPr>
            <w:tab/>
            <w:t>Monitoring and reporting (Article 33)</w:t>
          </w:r>
        </w:sdtContent>
      </w:sdt>
    </w:p>
    <w:p w14:paraId="7E76099A" w14:textId="77777777" w:rsidR="00B0087D" w:rsidRPr="00C03F8E" w:rsidRDefault="00B0087D" w:rsidP="00B0087D">
      <w:pPr>
        <w:shd w:val="clear" w:color="auto" w:fill="FFFFFF" w:themeFill="background1"/>
        <w:spacing w:before="120" w:after="120"/>
        <w:ind w:firstLine="720"/>
        <w:rPr>
          <w:i/>
          <w:iCs/>
          <w:szCs w:val="22"/>
        </w:rPr>
      </w:pPr>
      <w:r w:rsidRPr="00C03F8E">
        <w:rPr>
          <w:i/>
          <w:iCs/>
          <w:szCs w:val="22"/>
        </w:rPr>
        <w:t xml:space="preserve">The Conference of the Parties serving as the meeting of the Parties to the Cartagena Protocol on Biosafety, </w:t>
      </w:r>
    </w:p>
    <w:p w14:paraId="115B4419" w14:textId="77777777" w:rsidR="00B0087D" w:rsidRPr="00C03F8E" w:rsidRDefault="00B0087D" w:rsidP="00B0087D">
      <w:pPr>
        <w:shd w:val="clear" w:color="auto" w:fill="FFFFFF" w:themeFill="background1"/>
        <w:spacing w:before="120" w:after="120"/>
        <w:ind w:firstLine="720"/>
        <w:rPr>
          <w:i/>
          <w:iCs/>
          <w:szCs w:val="22"/>
        </w:rPr>
      </w:pPr>
      <w:r w:rsidRPr="00C03F8E">
        <w:rPr>
          <w:i/>
          <w:iCs/>
          <w:szCs w:val="22"/>
        </w:rPr>
        <w:t xml:space="preserve">Recalling </w:t>
      </w:r>
      <w:r w:rsidRPr="00C03F8E">
        <w:rPr>
          <w:szCs w:val="22"/>
        </w:rPr>
        <w:t>Article 33 and decision CP-9/5, in which Parties were requested to prepare and submit to the Secretariat their fourth national report on the implementation of the Cartagena Protocol,</w:t>
      </w:r>
    </w:p>
    <w:p w14:paraId="75501CF7" w14:textId="6A9F9D48" w:rsidR="00B0087D" w:rsidRPr="004C2CA8" w:rsidRDefault="008650D2" w:rsidP="00B0087D">
      <w:pPr>
        <w:shd w:val="clear" w:color="auto" w:fill="FFFFFF" w:themeFill="background1"/>
        <w:spacing w:before="120" w:after="120"/>
        <w:ind w:firstLine="720"/>
        <w:rPr>
          <w:i/>
          <w:iCs/>
          <w:szCs w:val="22"/>
        </w:rPr>
      </w:pPr>
      <w:proofErr w:type="gramStart"/>
      <w:r>
        <w:rPr>
          <w:i/>
          <w:iCs/>
          <w:szCs w:val="22"/>
        </w:rPr>
        <w:t>R</w:t>
      </w:r>
      <w:r w:rsidR="00B0087D" w:rsidRPr="00C03F8E">
        <w:rPr>
          <w:i/>
          <w:iCs/>
          <w:szCs w:val="22"/>
        </w:rPr>
        <w:t>ecalling</w:t>
      </w:r>
      <w:r>
        <w:rPr>
          <w:i/>
          <w:iCs/>
          <w:szCs w:val="22"/>
        </w:rPr>
        <w:t xml:space="preserve"> also</w:t>
      </w:r>
      <w:proofErr w:type="gramEnd"/>
      <w:r w:rsidR="00B0087D" w:rsidRPr="00C03F8E">
        <w:rPr>
          <w:i/>
          <w:iCs/>
          <w:szCs w:val="22"/>
        </w:rPr>
        <w:t xml:space="preserve"> </w:t>
      </w:r>
      <w:r w:rsidR="00B0087D" w:rsidRPr="00C03F8E">
        <w:rPr>
          <w:szCs w:val="22"/>
        </w:rPr>
        <w:t xml:space="preserve">decision CP-9/5, in </w:t>
      </w:r>
      <w:r w:rsidR="00B0087D" w:rsidRPr="005002B6">
        <w:rPr>
          <w:szCs w:val="22"/>
        </w:rPr>
        <w:t>which it acce</w:t>
      </w:r>
      <w:r w:rsidR="00B0087D" w:rsidRPr="00C03F8E">
        <w:rPr>
          <w:szCs w:val="22"/>
        </w:rPr>
        <w:t xml:space="preserve">pted the invitation of the Conference of the Parties </w:t>
      </w:r>
      <w:r w:rsidR="00B0087D" w:rsidRPr="004C2CA8">
        <w:rPr>
          <w:szCs w:val="22"/>
        </w:rPr>
        <w:t>to the Convention contained in decision 14/27, and decided to have a synchronized national reporting cycle,</w:t>
      </w:r>
      <w:r w:rsidR="00B0087D" w:rsidRPr="004C2CA8">
        <w:rPr>
          <w:i/>
          <w:iCs/>
          <w:szCs w:val="22"/>
        </w:rPr>
        <w:t xml:space="preserve"> </w:t>
      </w:r>
    </w:p>
    <w:p w14:paraId="1D741E2D" w14:textId="77777777" w:rsidR="00B0087D" w:rsidRPr="004C2CA8" w:rsidRDefault="00B0087D" w:rsidP="00B0087D">
      <w:pPr>
        <w:keepNext/>
        <w:shd w:val="clear" w:color="auto" w:fill="FFFFFF" w:themeFill="background1"/>
        <w:spacing w:before="120" w:after="120"/>
        <w:jc w:val="center"/>
        <w:rPr>
          <w:szCs w:val="22"/>
        </w:rPr>
      </w:pPr>
      <w:r w:rsidRPr="004C2CA8">
        <w:rPr>
          <w:b/>
          <w:bCs/>
          <w:szCs w:val="22"/>
        </w:rPr>
        <w:t>A.</w:t>
      </w:r>
      <w:r w:rsidRPr="004C2CA8">
        <w:rPr>
          <w:b/>
          <w:bCs/>
          <w:szCs w:val="22"/>
        </w:rPr>
        <w:tab/>
        <w:t>Fourth national reports on the implementation of the Cartagena Protocol</w:t>
      </w:r>
    </w:p>
    <w:p w14:paraId="0AB6744D" w14:textId="77777777" w:rsidR="00B0087D" w:rsidRPr="004C2CA8" w:rsidRDefault="00B0087D" w:rsidP="00B0087D">
      <w:pPr>
        <w:shd w:val="clear" w:color="auto" w:fill="FFFFFF" w:themeFill="background1"/>
        <w:spacing w:before="120" w:after="120"/>
        <w:ind w:firstLine="720"/>
        <w:rPr>
          <w:i/>
          <w:iCs/>
          <w:szCs w:val="22"/>
        </w:rPr>
      </w:pPr>
      <w:r w:rsidRPr="004C2CA8">
        <w:t>1.</w:t>
      </w:r>
      <w:r w:rsidRPr="004C2CA8">
        <w:tab/>
      </w:r>
      <w:r w:rsidRPr="004C2CA8">
        <w:rPr>
          <w:i/>
          <w:iCs/>
          <w:szCs w:val="22"/>
        </w:rPr>
        <w:t xml:space="preserve">Welcomes </w:t>
      </w:r>
      <w:r w:rsidRPr="004C2CA8">
        <w:rPr>
          <w:szCs w:val="22"/>
        </w:rPr>
        <w:t>the 135 complete fourth national reports submitted through the Biosafety Clearing-House;</w:t>
      </w:r>
      <w:r w:rsidRPr="004C2CA8">
        <w:rPr>
          <w:i/>
          <w:iCs/>
          <w:szCs w:val="22"/>
        </w:rPr>
        <w:t xml:space="preserve"> </w:t>
      </w:r>
    </w:p>
    <w:p w14:paraId="14985A2F" w14:textId="77777777" w:rsidR="00B0087D" w:rsidRPr="004C2CA8" w:rsidRDefault="00B0087D" w:rsidP="00B0087D">
      <w:pPr>
        <w:shd w:val="clear" w:color="auto" w:fill="FFFFFF" w:themeFill="background1"/>
        <w:spacing w:before="120" w:after="120"/>
        <w:ind w:firstLine="720"/>
        <w:rPr>
          <w:szCs w:val="22"/>
        </w:rPr>
      </w:pPr>
      <w:r w:rsidRPr="004C2CA8">
        <w:t>2.</w:t>
      </w:r>
      <w:r w:rsidRPr="004C2CA8">
        <w:tab/>
      </w:r>
      <w:r w:rsidRPr="004C2CA8">
        <w:rPr>
          <w:i/>
          <w:iCs/>
          <w:szCs w:val="22"/>
        </w:rPr>
        <w:t xml:space="preserve">Expresses concern </w:t>
      </w:r>
      <w:r w:rsidRPr="004C2CA8">
        <w:rPr>
          <w:szCs w:val="22"/>
        </w:rPr>
        <w:t>about the low number of fourth national reports submitted;</w:t>
      </w:r>
    </w:p>
    <w:p w14:paraId="33C876FF" w14:textId="77777777" w:rsidR="00B0087D" w:rsidRPr="004C2CA8" w:rsidRDefault="00B0087D" w:rsidP="00B0087D">
      <w:pPr>
        <w:shd w:val="clear" w:color="auto" w:fill="FFFFFF" w:themeFill="background1"/>
        <w:spacing w:before="120" w:after="120"/>
        <w:ind w:firstLine="720"/>
      </w:pPr>
      <w:r w:rsidRPr="004C2CA8">
        <w:t>3.</w:t>
      </w:r>
      <w:r w:rsidRPr="004C2CA8">
        <w:tab/>
      </w:r>
      <w:r w:rsidRPr="004C2CA8">
        <w:rPr>
          <w:i/>
          <w:iCs/>
        </w:rPr>
        <w:t xml:space="preserve">Also expresses concern </w:t>
      </w:r>
      <w:r w:rsidRPr="004C2CA8">
        <w:t>about delays in submitting the projects to the Global Environment Facility to support eligible Parties in the preparation of their fourth national reports, noting that such funding was not available before the deadline for the submission of fourth national reports, which is one of the factors that may have affected the submission rate;</w:t>
      </w:r>
    </w:p>
    <w:p w14:paraId="2C89D7C6" w14:textId="77777777" w:rsidR="00B0087D" w:rsidRPr="004C2CA8" w:rsidRDefault="00B0087D" w:rsidP="00B0087D">
      <w:pPr>
        <w:shd w:val="clear" w:color="auto" w:fill="FFFFFF" w:themeFill="background1"/>
        <w:spacing w:before="120" w:after="120"/>
        <w:ind w:firstLine="720"/>
        <w:rPr>
          <w:i/>
          <w:iCs/>
          <w:szCs w:val="22"/>
        </w:rPr>
      </w:pPr>
      <w:r w:rsidRPr="004C2CA8">
        <w:t>4.</w:t>
      </w:r>
      <w:r w:rsidRPr="004C2CA8">
        <w:tab/>
      </w:r>
      <w:r w:rsidRPr="004C2CA8">
        <w:rPr>
          <w:i/>
          <w:iCs/>
          <w:szCs w:val="22"/>
        </w:rPr>
        <w:t xml:space="preserve">Urges </w:t>
      </w:r>
      <w:r w:rsidRPr="004C2CA8">
        <w:rPr>
          <w:szCs w:val="22"/>
        </w:rPr>
        <w:t>Parties that have not yet submitted their fourth national report to do so as soon as possible;</w:t>
      </w:r>
      <w:r w:rsidRPr="004C2CA8">
        <w:rPr>
          <w:szCs w:val="22"/>
          <w:vertAlign w:val="superscript"/>
        </w:rPr>
        <w:footnoteReference w:id="1"/>
      </w:r>
      <w:r w:rsidRPr="004C2CA8">
        <w:rPr>
          <w:szCs w:val="22"/>
        </w:rPr>
        <w:t xml:space="preserve"> </w:t>
      </w:r>
    </w:p>
    <w:p w14:paraId="3F27972E" w14:textId="77777777" w:rsidR="00B0087D" w:rsidRPr="004C2CA8" w:rsidRDefault="00B0087D" w:rsidP="00B0087D">
      <w:pPr>
        <w:shd w:val="clear" w:color="auto" w:fill="FFFFFF" w:themeFill="background1"/>
        <w:spacing w:before="120" w:after="120"/>
        <w:ind w:firstLine="720"/>
        <w:rPr>
          <w:szCs w:val="22"/>
        </w:rPr>
      </w:pPr>
      <w:r w:rsidRPr="004C2CA8">
        <w:t>5.</w:t>
      </w:r>
      <w:r w:rsidRPr="004C2CA8">
        <w:tab/>
      </w:r>
      <w:r w:rsidRPr="004C2CA8">
        <w:rPr>
          <w:i/>
          <w:iCs/>
          <w:szCs w:val="22"/>
        </w:rPr>
        <w:t xml:space="preserve">Notes with concern </w:t>
      </w:r>
      <w:r w:rsidRPr="004C2CA8">
        <w:rPr>
          <w:szCs w:val="22"/>
        </w:rPr>
        <w:t>that, of the Parties that have not yet submitted their fourth national report, some Parties have also not submitted their third national report;</w:t>
      </w:r>
      <w:r w:rsidRPr="004C2CA8">
        <w:rPr>
          <w:szCs w:val="22"/>
          <w:vertAlign w:val="superscript"/>
        </w:rPr>
        <w:footnoteReference w:id="2"/>
      </w:r>
      <w:r w:rsidRPr="004C2CA8">
        <w:rPr>
          <w:szCs w:val="22"/>
        </w:rPr>
        <w:t xml:space="preserve"> </w:t>
      </w:r>
    </w:p>
    <w:p w14:paraId="6CDF87CA" w14:textId="0861D383" w:rsidR="00B0087D" w:rsidRPr="004C2CA8" w:rsidRDefault="00B0087D" w:rsidP="00B0087D">
      <w:pPr>
        <w:shd w:val="clear" w:color="auto" w:fill="FFFFFF" w:themeFill="background1"/>
        <w:spacing w:before="120" w:after="120"/>
        <w:ind w:firstLine="720"/>
        <w:rPr>
          <w:i/>
          <w:iCs/>
          <w:szCs w:val="22"/>
        </w:rPr>
      </w:pPr>
      <w:r w:rsidRPr="004C2CA8">
        <w:t>6.</w:t>
      </w:r>
      <w:r w:rsidRPr="004C2CA8">
        <w:tab/>
      </w:r>
      <w:r w:rsidRPr="004C2CA8">
        <w:rPr>
          <w:i/>
          <w:iCs/>
          <w:szCs w:val="22"/>
        </w:rPr>
        <w:t xml:space="preserve">Reminds </w:t>
      </w:r>
      <w:r w:rsidRPr="004C2CA8">
        <w:rPr>
          <w:szCs w:val="22"/>
        </w:rPr>
        <w:t>Parties</w:t>
      </w:r>
      <w:r w:rsidRPr="004C2CA8">
        <w:rPr>
          <w:i/>
          <w:iCs/>
          <w:szCs w:val="22"/>
        </w:rPr>
        <w:t xml:space="preserve"> </w:t>
      </w:r>
      <w:r w:rsidRPr="004C2CA8">
        <w:rPr>
          <w:szCs w:val="22"/>
        </w:rPr>
        <w:t xml:space="preserve">of their obligation to publish their national reports </w:t>
      </w:r>
      <w:r w:rsidR="00986B11" w:rsidRPr="004C2CA8">
        <w:rPr>
          <w:szCs w:val="22"/>
        </w:rPr>
        <w:t>in</w:t>
      </w:r>
      <w:r w:rsidRPr="004C2CA8">
        <w:rPr>
          <w:szCs w:val="22"/>
        </w:rPr>
        <w:t xml:space="preserve"> the Biosafety Clearing-House, in accordance with Article 20 of the </w:t>
      </w:r>
      <w:proofErr w:type="gramStart"/>
      <w:r w:rsidRPr="004C2CA8">
        <w:rPr>
          <w:szCs w:val="22"/>
        </w:rPr>
        <w:t>Protocol;</w:t>
      </w:r>
      <w:proofErr w:type="gramEnd"/>
    </w:p>
    <w:p w14:paraId="5669468B" w14:textId="2BFC01D6" w:rsidR="00B0087D" w:rsidRPr="004C2CA8" w:rsidRDefault="00B0087D" w:rsidP="00B0087D">
      <w:pPr>
        <w:shd w:val="clear" w:color="auto" w:fill="FFFFFF" w:themeFill="background1"/>
        <w:spacing w:before="120" w:after="120"/>
        <w:ind w:firstLine="720"/>
        <w:rPr>
          <w:i/>
          <w:iCs/>
          <w:szCs w:val="22"/>
        </w:rPr>
      </w:pPr>
      <w:r w:rsidRPr="004C2CA8">
        <w:t>7.</w:t>
      </w:r>
      <w:r w:rsidRPr="004C2CA8">
        <w:tab/>
      </w:r>
      <w:r w:rsidRPr="004C2CA8">
        <w:rPr>
          <w:i/>
          <w:iCs/>
          <w:szCs w:val="22"/>
        </w:rPr>
        <w:t xml:space="preserve">Encourages </w:t>
      </w:r>
      <w:r w:rsidRPr="004C2CA8">
        <w:rPr>
          <w:szCs w:val="22"/>
        </w:rPr>
        <w:t xml:space="preserve">Parties that have submitted their report in an offline format to ensure its publication </w:t>
      </w:r>
      <w:r w:rsidR="00986B11" w:rsidRPr="004C2CA8">
        <w:rPr>
          <w:szCs w:val="22"/>
        </w:rPr>
        <w:t>in</w:t>
      </w:r>
      <w:r w:rsidRPr="004C2CA8">
        <w:rPr>
          <w:szCs w:val="22"/>
        </w:rPr>
        <w:t xml:space="preserve"> the Biosafety Clearing-House in coordination with the Secretariat, as </w:t>
      </w:r>
      <w:proofErr w:type="gramStart"/>
      <w:r w:rsidRPr="004C2CA8">
        <w:rPr>
          <w:szCs w:val="22"/>
        </w:rPr>
        <w:t>necessary;</w:t>
      </w:r>
      <w:proofErr w:type="gramEnd"/>
    </w:p>
    <w:p w14:paraId="1FC42D92" w14:textId="77777777" w:rsidR="00B0087D" w:rsidRPr="004C2CA8" w:rsidRDefault="00B0087D" w:rsidP="00B0087D">
      <w:pPr>
        <w:shd w:val="clear" w:color="auto" w:fill="FFFFFF" w:themeFill="background1"/>
        <w:spacing w:before="120" w:after="120"/>
        <w:ind w:firstLine="720"/>
        <w:rPr>
          <w:i/>
          <w:iCs/>
          <w:szCs w:val="22"/>
        </w:rPr>
      </w:pPr>
      <w:r w:rsidRPr="004C2CA8">
        <w:t>8.</w:t>
      </w:r>
      <w:r w:rsidRPr="004C2CA8">
        <w:tab/>
      </w:r>
      <w:r w:rsidRPr="004C2CA8">
        <w:rPr>
          <w:i/>
          <w:iCs/>
          <w:szCs w:val="22"/>
        </w:rPr>
        <w:t xml:space="preserve">Urges </w:t>
      </w:r>
      <w:r w:rsidRPr="004C2CA8">
        <w:rPr>
          <w:szCs w:val="22"/>
        </w:rPr>
        <w:t>Parties that have submitted an incomplete fourth national report to provide the missing information as soon as possible;</w:t>
      </w:r>
    </w:p>
    <w:p w14:paraId="4415032B" w14:textId="77777777" w:rsidR="00B0087D" w:rsidRPr="004C2CA8" w:rsidRDefault="00B0087D" w:rsidP="00B0087D">
      <w:pPr>
        <w:keepNext/>
        <w:shd w:val="clear" w:color="auto" w:fill="FFFFFF" w:themeFill="background1"/>
        <w:spacing w:before="120" w:after="120"/>
        <w:jc w:val="center"/>
        <w:rPr>
          <w:b/>
          <w:bCs/>
          <w:szCs w:val="22"/>
        </w:rPr>
      </w:pPr>
      <w:r w:rsidRPr="004C2CA8">
        <w:rPr>
          <w:b/>
          <w:bCs/>
          <w:szCs w:val="22"/>
        </w:rPr>
        <w:t>B.</w:t>
      </w:r>
      <w:r w:rsidRPr="004C2CA8">
        <w:rPr>
          <w:b/>
          <w:bCs/>
          <w:szCs w:val="22"/>
        </w:rPr>
        <w:tab/>
        <w:t>Fifth national reports on the implementation of the Cartagena Protocol</w:t>
      </w:r>
    </w:p>
    <w:p w14:paraId="75276D3F" w14:textId="77777777" w:rsidR="00B0087D" w:rsidRPr="004C2CA8" w:rsidRDefault="00B0087D" w:rsidP="00B0087D">
      <w:pPr>
        <w:shd w:val="clear" w:color="auto" w:fill="FFFFFF" w:themeFill="background1"/>
        <w:spacing w:before="120" w:after="120"/>
        <w:ind w:firstLine="720"/>
      </w:pPr>
      <w:r w:rsidRPr="004C2CA8">
        <w:t>9.</w:t>
      </w:r>
      <w:r w:rsidRPr="004C2CA8">
        <w:tab/>
      </w:r>
      <w:r w:rsidRPr="004C2CA8">
        <w:rPr>
          <w:i/>
          <w:iCs/>
        </w:rPr>
        <w:t>Welcomes</w:t>
      </w:r>
      <w:r w:rsidRPr="004C2CA8">
        <w:t xml:space="preserve"> the draft format for the fifth national reports as contained in the annex to document CBD/CP/MOP/10/5, and requests</w:t>
      </w:r>
      <w:r w:rsidRPr="004C2CA8">
        <w:rPr>
          <w:i/>
          <w:iCs/>
        </w:rPr>
        <w:t xml:space="preserve"> </w:t>
      </w:r>
      <w:r w:rsidRPr="004C2CA8">
        <w:t xml:space="preserve">the Executive Secretary: </w:t>
      </w:r>
    </w:p>
    <w:p w14:paraId="049707EC" w14:textId="6AA0A030" w:rsidR="00B0087D" w:rsidRPr="001C1A77" w:rsidRDefault="00B0087D" w:rsidP="00B0087D">
      <w:pPr>
        <w:shd w:val="clear" w:color="auto" w:fill="FFFFFF" w:themeFill="background1"/>
        <w:spacing w:before="120" w:after="120"/>
        <w:ind w:firstLine="720"/>
      </w:pPr>
      <w:r w:rsidRPr="004C2CA8">
        <w:t>(a)</w:t>
      </w:r>
      <w:r w:rsidRPr="004C2CA8">
        <w:tab/>
        <w:t xml:space="preserve">To make any necessary adjustments to the </w:t>
      </w:r>
      <w:r w:rsidRPr="001C1A77">
        <w:t xml:space="preserve">questions in </w:t>
      </w:r>
      <w:r w:rsidRPr="006453A2">
        <w:t xml:space="preserve">light of the final text of the indicators of the </w:t>
      </w:r>
      <w:r w:rsidR="00DD67C6" w:rsidRPr="006453A2">
        <w:t>I</w:t>
      </w:r>
      <w:r w:rsidRPr="006453A2">
        <w:t xml:space="preserve">mplementation </w:t>
      </w:r>
      <w:r w:rsidR="00DD67C6" w:rsidRPr="006453A2">
        <w:t>P</w:t>
      </w:r>
      <w:r w:rsidRPr="006453A2">
        <w:t>lan for the Cartagena Protocol on Biosafety as adopted in decision CP-10/</w:t>
      </w:r>
      <w:proofErr w:type="gramStart"/>
      <w:r w:rsidR="0075790F" w:rsidRPr="006453A2">
        <w:t>3</w:t>
      </w:r>
      <w:r w:rsidRPr="006453A2">
        <w:t>;</w:t>
      </w:r>
      <w:proofErr w:type="gramEnd"/>
      <w:r w:rsidRPr="001C1A77">
        <w:t xml:space="preserve"> </w:t>
      </w:r>
    </w:p>
    <w:p w14:paraId="311789EE" w14:textId="77777777" w:rsidR="00B0087D" w:rsidRPr="001C1A77" w:rsidRDefault="00B0087D" w:rsidP="00B0087D">
      <w:pPr>
        <w:shd w:val="clear" w:color="auto" w:fill="FFFFFF" w:themeFill="background1"/>
        <w:spacing w:before="120" w:after="120"/>
        <w:ind w:firstLine="720"/>
      </w:pPr>
      <w:r w:rsidRPr="001C1A77">
        <w:t>(b)</w:t>
      </w:r>
      <w:r w:rsidRPr="001C1A77">
        <w:tab/>
        <w:t xml:space="preserve">To make the final format available online through the Biosafety Clearing-House; </w:t>
      </w:r>
    </w:p>
    <w:p w14:paraId="6F1334D8" w14:textId="77777777" w:rsidR="00B0087D" w:rsidRPr="004C2CA8" w:rsidRDefault="00B0087D" w:rsidP="00B0087D">
      <w:pPr>
        <w:shd w:val="clear" w:color="auto" w:fill="FFFFFF" w:themeFill="background1"/>
        <w:spacing w:before="120" w:after="120"/>
        <w:ind w:firstLine="720"/>
      </w:pPr>
      <w:r w:rsidRPr="001C1A77">
        <w:t>10.</w:t>
      </w:r>
      <w:r w:rsidRPr="001C1A77">
        <w:tab/>
      </w:r>
      <w:r w:rsidRPr="001C1A77">
        <w:rPr>
          <w:i/>
          <w:iCs/>
        </w:rPr>
        <w:t xml:space="preserve">Requests </w:t>
      </w:r>
      <w:r w:rsidRPr="001C1A77">
        <w:t>Parties to use the final format for the preparation of their fifth nat</w:t>
      </w:r>
      <w:r w:rsidRPr="004C2CA8">
        <w:t>ional report on the implementation of the Cartagena Protocol on Biosafety;</w:t>
      </w:r>
    </w:p>
    <w:p w14:paraId="4EDF23F3" w14:textId="01979B2F" w:rsidR="00B0087D" w:rsidRPr="004C2CA8" w:rsidRDefault="00B0087D" w:rsidP="00B0087D">
      <w:pPr>
        <w:shd w:val="clear" w:color="auto" w:fill="FFFFFF" w:themeFill="background1"/>
        <w:spacing w:before="120" w:after="120"/>
        <w:ind w:firstLine="720"/>
      </w:pPr>
      <w:r w:rsidRPr="004C2CA8">
        <w:t>11.</w:t>
      </w:r>
      <w:r w:rsidRPr="004C2CA8">
        <w:tab/>
      </w:r>
      <w:r w:rsidRPr="004C2CA8">
        <w:rPr>
          <w:i/>
          <w:iCs/>
        </w:rPr>
        <w:t xml:space="preserve">Invites </w:t>
      </w:r>
      <w:r w:rsidRPr="004C2CA8">
        <w:t>Parties to prepare their reports through a consultative process involving indigenous peoples and local communities, women and youth</w:t>
      </w:r>
      <w:r w:rsidR="00CC40B1">
        <w:t>,</w:t>
      </w:r>
      <w:r w:rsidRPr="004C2CA8">
        <w:t xml:space="preserve"> and all relevant national stakeholders, as appropriate;</w:t>
      </w:r>
    </w:p>
    <w:p w14:paraId="61730741" w14:textId="507A1EBB" w:rsidR="00B0087D" w:rsidRPr="004C2CA8" w:rsidRDefault="00B0087D" w:rsidP="00B0087D">
      <w:pPr>
        <w:shd w:val="clear" w:color="auto" w:fill="FFFFFF" w:themeFill="background1"/>
        <w:spacing w:before="120" w:after="120"/>
        <w:ind w:firstLine="720"/>
      </w:pPr>
      <w:r w:rsidRPr="004C2CA8">
        <w:t>12.</w:t>
      </w:r>
      <w:r w:rsidRPr="004C2CA8">
        <w:tab/>
      </w:r>
      <w:r w:rsidRPr="004C2CA8">
        <w:rPr>
          <w:i/>
        </w:rPr>
        <w:t>Encourages</w:t>
      </w:r>
      <w:r w:rsidRPr="004C2CA8">
        <w:t xml:space="preserve"> Parties to respond to all questions in the reporting format, and stresses the importance of the timely submission of fifth national reports in order to facilitate the midterm evaluation of the </w:t>
      </w:r>
      <w:r w:rsidR="00DD67C6" w:rsidRPr="004C2CA8">
        <w:t>I</w:t>
      </w:r>
      <w:r w:rsidRPr="004C2CA8">
        <w:t xml:space="preserve">mplementation </w:t>
      </w:r>
      <w:r w:rsidR="00DD67C6" w:rsidRPr="004C2CA8">
        <w:t>P</w:t>
      </w:r>
      <w:r w:rsidRPr="004C2CA8">
        <w:t xml:space="preserve">lan for the Cartagena Protocol on </w:t>
      </w:r>
      <w:proofErr w:type="gramStart"/>
      <w:r w:rsidRPr="004C2CA8">
        <w:t>Biosafety;</w:t>
      </w:r>
      <w:proofErr w:type="gramEnd"/>
    </w:p>
    <w:p w14:paraId="14EA2A9F" w14:textId="77777777" w:rsidR="00B0087D" w:rsidRPr="004C2CA8" w:rsidRDefault="00B0087D" w:rsidP="00B0087D">
      <w:pPr>
        <w:shd w:val="clear" w:color="auto" w:fill="FFFFFF" w:themeFill="background1"/>
        <w:spacing w:before="120" w:after="120"/>
        <w:ind w:firstLine="720"/>
      </w:pPr>
      <w:r w:rsidRPr="004C2CA8">
        <w:t>13.</w:t>
      </w:r>
      <w:r w:rsidRPr="004C2CA8">
        <w:tab/>
      </w:r>
      <w:r w:rsidRPr="004C2CA8">
        <w:rPr>
          <w:i/>
        </w:rPr>
        <w:t>Requests</w:t>
      </w:r>
      <w:r w:rsidRPr="004C2CA8">
        <w:t xml:space="preserve"> Parties and invites other Governments to submit to the Secretariat their fifth national report on the implementation of the Cartagena Protocol on Biosafety:</w:t>
      </w:r>
    </w:p>
    <w:p w14:paraId="7671DFB7" w14:textId="77777777" w:rsidR="00B0087D" w:rsidRPr="004C2CA8" w:rsidRDefault="00B0087D" w:rsidP="00B0087D">
      <w:pPr>
        <w:shd w:val="clear" w:color="auto" w:fill="FFFFFF" w:themeFill="background1"/>
        <w:spacing w:before="120" w:after="120"/>
        <w:ind w:firstLine="720"/>
      </w:pPr>
      <w:r w:rsidRPr="004C2CA8">
        <w:t>(a)</w:t>
      </w:r>
      <w:r w:rsidRPr="004C2CA8">
        <w:tab/>
        <w:t>In an official language of the United Nations;</w:t>
      </w:r>
    </w:p>
    <w:p w14:paraId="09A0540A" w14:textId="77777777" w:rsidR="00B0087D" w:rsidRPr="004C2CA8" w:rsidRDefault="00B0087D" w:rsidP="00B0087D">
      <w:pPr>
        <w:shd w:val="clear" w:color="auto" w:fill="FFFFFF" w:themeFill="background1"/>
        <w:spacing w:before="120" w:after="120"/>
        <w:ind w:firstLine="720"/>
      </w:pPr>
      <w:r w:rsidRPr="004C2CA8">
        <w:t>(b)</w:t>
      </w:r>
      <w:r w:rsidRPr="004C2CA8">
        <w:tab/>
        <w:t>At the same time as the seventh national reports under the Convention are due;</w:t>
      </w:r>
      <w:r w:rsidRPr="00CB3511">
        <w:rPr>
          <w:szCs w:val="32"/>
          <w:vertAlign w:val="superscript"/>
        </w:rPr>
        <w:footnoteReference w:id="3"/>
      </w:r>
    </w:p>
    <w:p w14:paraId="66C4AE1D" w14:textId="77777777" w:rsidR="00B0087D" w:rsidRPr="004C2CA8" w:rsidRDefault="00B0087D" w:rsidP="00B0087D">
      <w:pPr>
        <w:shd w:val="clear" w:color="auto" w:fill="FFFFFF" w:themeFill="background1"/>
        <w:spacing w:before="120" w:after="120"/>
        <w:ind w:firstLine="720"/>
      </w:pPr>
      <w:r w:rsidRPr="004C2CA8">
        <w:t>(c)</w:t>
      </w:r>
      <w:r w:rsidRPr="004C2CA8">
        <w:tab/>
        <w:t>Through the Biosafety Clearing-House;</w:t>
      </w:r>
    </w:p>
    <w:p w14:paraId="22588E5D" w14:textId="77777777" w:rsidR="00B0087D" w:rsidRPr="004C2CA8" w:rsidRDefault="00B0087D" w:rsidP="00B0087D">
      <w:pPr>
        <w:shd w:val="clear" w:color="auto" w:fill="FFFFFF" w:themeFill="background1"/>
        <w:spacing w:before="120" w:after="120"/>
        <w:ind w:firstLine="720"/>
        <w:rPr>
          <w:i/>
        </w:rPr>
      </w:pPr>
      <w:r w:rsidRPr="004C2CA8">
        <w:t>14.</w:t>
      </w:r>
      <w:r w:rsidRPr="004C2CA8">
        <w:tab/>
      </w:r>
      <w:r w:rsidRPr="004C2CA8">
        <w:rPr>
          <w:i/>
        </w:rPr>
        <w:t>Requests</w:t>
      </w:r>
      <w:r w:rsidRPr="004C2CA8">
        <w:t xml:space="preserve"> Parties experiencing challenges submitting their national report through the Biosafety Clearing-House to coordinate with the Secretariat to facilitate the publication of their national report in the Biosafety Clearing-House;</w:t>
      </w:r>
    </w:p>
    <w:p w14:paraId="376116D1" w14:textId="225C2DD1" w:rsidR="00B0087D" w:rsidRPr="006453A2" w:rsidRDefault="00B0087D" w:rsidP="00592720">
      <w:pPr>
        <w:shd w:val="clear" w:color="auto" w:fill="FFFFFF" w:themeFill="background1"/>
        <w:spacing w:before="120" w:after="120"/>
        <w:ind w:firstLine="720"/>
        <w:rPr>
          <w:i/>
          <w:iCs/>
        </w:rPr>
      </w:pPr>
      <w:r w:rsidRPr="006453A2">
        <w:t xml:space="preserve">15. </w:t>
      </w:r>
      <w:r w:rsidRPr="006453A2">
        <w:tab/>
      </w:r>
      <w:r w:rsidRPr="006453A2">
        <w:rPr>
          <w:i/>
          <w:iCs/>
        </w:rPr>
        <w:t>Recognizes</w:t>
      </w:r>
      <w:r w:rsidRPr="006453A2">
        <w:t xml:space="preserve"> that the fifth national reports will also be an important source of information, along with other sources, for measuring progress under the </w:t>
      </w:r>
      <w:r w:rsidR="00DD67C6" w:rsidRPr="006453A2">
        <w:t>C</w:t>
      </w:r>
      <w:r w:rsidRPr="006453A2">
        <w:t xml:space="preserve">apacity-building </w:t>
      </w:r>
      <w:r w:rsidR="00DD67C6" w:rsidRPr="006453A2">
        <w:t>A</w:t>
      </w:r>
      <w:r w:rsidRPr="006453A2">
        <w:t xml:space="preserve">ction </w:t>
      </w:r>
      <w:r w:rsidR="00DD67C6" w:rsidRPr="006453A2">
        <w:t>P</w:t>
      </w:r>
      <w:r w:rsidRPr="006453A2">
        <w:t>lan for the Cartagena Protocol</w:t>
      </w:r>
      <w:r w:rsidR="00DD03DA" w:rsidRPr="006453A2">
        <w:t xml:space="preserve"> on Biosafety</w:t>
      </w:r>
      <w:r w:rsidR="0018435A" w:rsidRPr="006453A2">
        <w:t>,</w:t>
      </w:r>
      <w:r w:rsidRPr="006453A2">
        <w:t xml:space="preserve"> as set out in paragraph </w:t>
      </w:r>
      <w:r w:rsidR="00936789" w:rsidRPr="006453A2">
        <w:t>19</w:t>
      </w:r>
      <w:r w:rsidRPr="006453A2">
        <w:t xml:space="preserve"> of the </w:t>
      </w:r>
      <w:r w:rsidR="00F73313" w:rsidRPr="006453A2">
        <w:t>C</w:t>
      </w:r>
      <w:r w:rsidRPr="006453A2">
        <w:t xml:space="preserve">apacity-building </w:t>
      </w:r>
      <w:r w:rsidR="00F73313" w:rsidRPr="006453A2">
        <w:t>A</w:t>
      </w:r>
      <w:r w:rsidRPr="006453A2">
        <w:t xml:space="preserve">ction </w:t>
      </w:r>
      <w:r w:rsidR="00F73313" w:rsidRPr="006453A2">
        <w:t>P</w:t>
      </w:r>
      <w:r w:rsidRPr="006453A2">
        <w:t>lan;</w:t>
      </w:r>
      <w:r w:rsidR="007645E1" w:rsidRPr="006453A2">
        <w:rPr>
          <w:rStyle w:val="FootnoteReference"/>
        </w:rPr>
        <w:footnoteReference w:id="4"/>
      </w:r>
      <w:r w:rsidRPr="006453A2">
        <w:t xml:space="preserve"> </w:t>
      </w:r>
    </w:p>
    <w:p w14:paraId="22B51C48" w14:textId="77777777" w:rsidR="00B0087D" w:rsidRPr="004C2CA8" w:rsidRDefault="00B0087D" w:rsidP="00B0087D">
      <w:pPr>
        <w:shd w:val="clear" w:color="auto" w:fill="FFFFFF" w:themeFill="background1"/>
        <w:spacing w:before="120" w:after="120"/>
        <w:ind w:firstLine="720"/>
        <w:rPr>
          <w:i/>
          <w:iCs/>
        </w:rPr>
      </w:pPr>
      <w:r w:rsidRPr="006453A2">
        <w:t>16.</w:t>
      </w:r>
      <w:r w:rsidRPr="006453A2">
        <w:tab/>
      </w:r>
      <w:r w:rsidRPr="006453A2">
        <w:rPr>
          <w:i/>
          <w:iCs/>
        </w:rPr>
        <w:t xml:space="preserve">Urges </w:t>
      </w:r>
      <w:r w:rsidRPr="006453A2">
        <w:t>eligible Parties to submit their letters of commitment to the</w:t>
      </w:r>
      <w:r w:rsidRPr="004C2CA8">
        <w:t xml:space="preserve"> implementing agency in a timely manner to ensure that projects to support the preparation of fifth national reports can be submitted to the Global Environment Facility for approval well before the deadline for the submission of the reports</w:t>
      </w:r>
      <w:r w:rsidRPr="004671EA">
        <w:t>;</w:t>
      </w:r>
    </w:p>
    <w:p w14:paraId="190AAD28" w14:textId="5370CCCC" w:rsidR="00B0087D" w:rsidRPr="00B1265C" w:rsidRDefault="00B0087D" w:rsidP="00B0087D">
      <w:pPr>
        <w:shd w:val="clear" w:color="auto" w:fill="FFFFFF" w:themeFill="background1"/>
        <w:spacing w:before="120" w:after="120"/>
        <w:ind w:firstLine="720"/>
        <w:rPr>
          <w:i/>
          <w:iCs/>
        </w:rPr>
      </w:pPr>
      <w:r w:rsidRPr="004C2CA8">
        <w:t>17.</w:t>
      </w:r>
      <w:r w:rsidRPr="004C2CA8">
        <w:tab/>
      </w:r>
      <w:r w:rsidRPr="004C2CA8">
        <w:rPr>
          <w:i/>
          <w:iCs/>
        </w:rPr>
        <w:t>Notes</w:t>
      </w:r>
      <w:r w:rsidRPr="004C2CA8">
        <w:t xml:space="preserve"> decision 15/</w:t>
      </w:r>
      <w:r w:rsidR="008F6A1F" w:rsidRPr="004C2CA8">
        <w:t>6</w:t>
      </w:r>
      <w:r w:rsidRPr="004C2CA8">
        <w:t xml:space="preserve"> and decision 15/</w:t>
      </w:r>
      <w:r w:rsidR="00123002" w:rsidRPr="004C2CA8">
        <w:t>4</w:t>
      </w:r>
      <w:r w:rsidRPr="004C2CA8">
        <w:t xml:space="preserve"> </w:t>
      </w:r>
      <w:r w:rsidR="003F71C8" w:rsidRPr="004C2CA8">
        <w:t>of</w:t>
      </w:r>
      <w:r w:rsidRPr="004C2CA8">
        <w:t xml:space="preserve"> the Conference of the Parties and </w:t>
      </w:r>
      <w:r w:rsidRPr="004671EA">
        <w:t>encourages</w:t>
      </w:r>
      <w:r w:rsidRPr="004C2CA8">
        <w:t xml:space="preserve"> Parties to the Cartagena Protocol to contribute to national processes for the preparation of the seventh national reports under the Convention, including by providing information related to targets relevant for biosafety.</w:t>
      </w:r>
    </w:p>
    <w:p w14:paraId="3093D971" w14:textId="6D44432E" w:rsidR="00B3369F" w:rsidRPr="00C9161D" w:rsidRDefault="00B0087D" w:rsidP="00B0087D">
      <w:pPr>
        <w:shd w:val="clear" w:color="auto" w:fill="FFFFFF" w:themeFill="background1"/>
        <w:jc w:val="center"/>
      </w:pPr>
      <w:r w:rsidRPr="00B1265C">
        <w:t>__________</w:t>
      </w:r>
    </w:p>
    <w:sectPr w:rsidR="00B3369F" w:rsidRPr="00C9161D" w:rsidSect="00DF75CC">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7608" w14:textId="77777777" w:rsidR="00DD45E6" w:rsidRDefault="00DD45E6" w:rsidP="00CF1848">
      <w:r>
        <w:separator/>
      </w:r>
    </w:p>
  </w:endnote>
  <w:endnote w:type="continuationSeparator" w:id="0">
    <w:p w14:paraId="7681426E" w14:textId="77777777" w:rsidR="00DD45E6" w:rsidRDefault="00DD45E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312B" w14:textId="77777777" w:rsidR="001E05C1" w:rsidRDefault="001E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749A" w14:textId="77777777" w:rsidR="001E05C1" w:rsidRDefault="001E0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E9E8" w14:textId="77777777" w:rsidR="001E05C1" w:rsidRDefault="001E0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8EBB" w14:textId="77777777" w:rsidR="00DD45E6" w:rsidRDefault="00DD45E6" w:rsidP="00CF1848">
      <w:r>
        <w:separator/>
      </w:r>
    </w:p>
  </w:footnote>
  <w:footnote w:type="continuationSeparator" w:id="0">
    <w:p w14:paraId="68628027" w14:textId="77777777" w:rsidR="00DD45E6" w:rsidRDefault="00DD45E6" w:rsidP="00CF1848">
      <w:r>
        <w:continuationSeparator/>
      </w:r>
    </w:p>
  </w:footnote>
  <w:footnote w:id="1">
    <w:p w14:paraId="573BC7EE" w14:textId="33F51BEC" w:rsidR="00B0087D" w:rsidRPr="003C4255" w:rsidRDefault="00B0087D" w:rsidP="00B0087D">
      <w:pPr>
        <w:pStyle w:val="FootnoteText"/>
        <w:suppressLineNumbers/>
        <w:suppressAutoHyphens/>
        <w:ind w:firstLine="0"/>
        <w:jc w:val="left"/>
        <w:rPr>
          <w:kern w:val="18"/>
          <w:szCs w:val="18"/>
        </w:rPr>
      </w:pPr>
      <w:r w:rsidRPr="0063709A">
        <w:rPr>
          <w:rStyle w:val="FootnoteReference"/>
          <w:rFonts w:asciiTheme="majorBidi" w:hAnsiTheme="majorBidi" w:cstheme="majorBidi"/>
          <w:sz w:val="18"/>
          <w:szCs w:val="18"/>
        </w:rPr>
        <w:footnoteRef/>
      </w:r>
      <w:r w:rsidRPr="003C4255">
        <w:rPr>
          <w:kern w:val="18"/>
          <w:szCs w:val="18"/>
        </w:rPr>
        <w:t xml:space="preserve"> Afghanistan, Albania, Angola, Azerbaijan, Belize, Bolivia, Cabo Verde, Democratic People</w:t>
      </w:r>
      <w:r w:rsidR="00C540C1" w:rsidRPr="003C4255">
        <w:rPr>
          <w:kern w:val="18"/>
          <w:szCs w:val="18"/>
        </w:rPr>
        <w:t>’</w:t>
      </w:r>
      <w:r w:rsidRPr="003C4255">
        <w:rPr>
          <w:kern w:val="18"/>
          <w:szCs w:val="18"/>
        </w:rPr>
        <w:t>s Republic of Korea, Djibouti, Dominica, Fiji, Honduras, Jordan, Kiribati, Kyrgyzstan, Libya, Marshall Islands, Mauritius, Mongolia, Nauru, Niue, Papua New Guinea, Qatar, Saint Vincent and the Grenadines, Samoa, Saudi Arabia, Seychelles, Syrian Arab Republic, Tajikistan, Trinidad and Tobago</w:t>
      </w:r>
      <w:r w:rsidR="00B07B98">
        <w:rPr>
          <w:kern w:val="18"/>
          <w:szCs w:val="18"/>
        </w:rPr>
        <w:t>,</w:t>
      </w:r>
      <w:r w:rsidRPr="003C4255">
        <w:rPr>
          <w:kern w:val="18"/>
          <w:szCs w:val="18"/>
        </w:rPr>
        <w:t xml:space="preserve"> and Yemen. </w:t>
      </w:r>
    </w:p>
  </w:footnote>
  <w:footnote w:id="2">
    <w:p w14:paraId="2B71D54C" w14:textId="77777777" w:rsidR="00B0087D" w:rsidRDefault="00B0087D" w:rsidP="00B0087D">
      <w:pPr>
        <w:pStyle w:val="FootnoteText"/>
        <w:suppressLineNumbers/>
        <w:suppressAutoHyphens/>
        <w:ind w:firstLine="0"/>
        <w:jc w:val="left"/>
        <w:rPr>
          <w:kern w:val="18"/>
          <w:szCs w:val="18"/>
        </w:rPr>
      </w:pPr>
      <w:r w:rsidRPr="0063709A">
        <w:rPr>
          <w:rStyle w:val="FootnoteReference"/>
          <w:rFonts w:asciiTheme="majorBidi" w:hAnsiTheme="majorBidi" w:cstheme="majorBidi"/>
          <w:sz w:val="18"/>
          <w:szCs w:val="18"/>
        </w:rPr>
        <w:footnoteRef/>
      </w:r>
      <w:r w:rsidRPr="003C4255">
        <w:rPr>
          <w:kern w:val="18"/>
          <w:szCs w:val="18"/>
        </w:rPr>
        <w:t xml:space="preserve"> Azerbaijan, Belize, Libya, Nauru, Papua New Guinea, Qatar, Saudi Arabia, Seychelles and Syrian Arab Republic.</w:t>
      </w:r>
      <w:r w:rsidRPr="00851765">
        <w:rPr>
          <w:kern w:val="18"/>
          <w:szCs w:val="18"/>
        </w:rPr>
        <w:t xml:space="preserve"> </w:t>
      </w:r>
    </w:p>
  </w:footnote>
  <w:footnote w:id="3">
    <w:p w14:paraId="4910844C" w14:textId="06AB442D" w:rsidR="00B0087D" w:rsidRPr="00F14894" w:rsidRDefault="00B0087D" w:rsidP="00B0087D">
      <w:pPr>
        <w:pStyle w:val="FootnoteText"/>
        <w:ind w:firstLine="0"/>
        <w:jc w:val="left"/>
        <w:rPr>
          <w:szCs w:val="18"/>
        </w:rPr>
      </w:pPr>
      <w:r w:rsidRPr="00F14894">
        <w:rPr>
          <w:rStyle w:val="FootnoteReference"/>
          <w:rFonts w:asciiTheme="majorBidi" w:hAnsiTheme="majorBidi" w:cstheme="majorBidi"/>
          <w:sz w:val="18"/>
          <w:szCs w:val="18"/>
        </w:rPr>
        <w:footnoteRef/>
      </w:r>
      <w:r w:rsidRPr="00F14894">
        <w:rPr>
          <w:szCs w:val="18"/>
        </w:rPr>
        <w:t xml:space="preserve"> Decision 15/</w:t>
      </w:r>
      <w:r w:rsidR="00EE4EE7" w:rsidRPr="00F14894">
        <w:rPr>
          <w:szCs w:val="18"/>
        </w:rPr>
        <w:t>6</w:t>
      </w:r>
      <w:r w:rsidRPr="00F14894">
        <w:rPr>
          <w:szCs w:val="18"/>
        </w:rPr>
        <w:t xml:space="preserve"> of the Conference of the Parties.</w:t>
      </w:r>
    </w:p>
  </w:footnote>
  <w:footnote w:id="4">
    <w:p w14:paraId="224CC536" w14:textId="542C7322" w:rsidR="007645E1" w:rsidRPr="00CB3511" w:rsidRDefault="007645E1" w:rsidP="00CB3511">
      <w:pPr>
        <w:pStyle w:val="FootnoteText"/>
        <w:ind w:firstLine="0"/>
        <w:rPr>
          <w:szCs w:val="18"/>
          <w:lang w:val="en-US"/>
        </w:rPr>
      </w:pPr>
      <w:r w:rsidRPr="00F14894">
        <w:rPr>
          <w:rStyle w:val="FootnoteReference"/>
          <w:sz w:val="18"/>
          <w:szCs w:val="18"/>
        </w:rPr>
        <w:footnoteRef/>
      </w:r>
      <w:r w:rsidRPr="00F14894">
        <w:rPr>
          <w:szCs w:val="18"/>
        </w:rPr>
        <w:t xml:space="preserve"> Decisio</w:t>
      </w:r>
      <w:r w:rsidR="00936789" w:rsidRPr="00F14894">
        <w:rPr>
          <w:szCs w:val="18"/>
        </w:rPr>
        <w:t>n CP-10/</w:t>
      </w:r>
      <w:r w:rsidR="00C52CF5" w:rsidRPr="004671EA">
        <w:rPr>
          <w:szCs w:val="18"/>
        </w:rPr>
        <w:t>4</w:t>
      </w:r>
      <w:r w:rsidR="00936789" w:rsidRPr="00F14894">
        <w:rPr>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AEE1C79" w:rsidR="00534681" w:rsidRPr="00134846" w:rsidRDefault="001B5E37" w:rsidP="00534681">
        <w:pPr>
          <w:pStyle w:val="Header"/>
          <w:rPr>
            <w:lang w:val="fr-FR"/>
          </w:rPr>
        </w:pPr>
        <w:r>
          <w:rPr>
            <w:lang w:val="fr-FR"/>
          </w:rPr>
          <w:t>CBD/CP/MOP/DEC/10/9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BC732CF" w:rsidR="009505C9" w:rsidRPr="00134846" w:rsidRDefault="001B5E37" w:rsidP="009505C9">
        <w:pPr>
          <w:pStyle w:val="Header"/>
          <w:jc w:val="right"/>
          <w:rPr>
            <w:lang w:val="fr-FR"/>
          </w:rPr>
        </w:pPr>
        <w:r>
          <w:rPr>
            <w:lang w:val="fr-FR"/>
          </w:rPr>
          <w:t>CBD/CP/MOP/DEC/10/9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9804" w14:textId="77777777" w:rsidR="003A08C1" w:rsidRDefault="003A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28637">
    <w:abstractNumId w:val="3"/>
  </w:num>
  <w:num w:numId="2" w16cid:durableId="1831946746">
    <w:abstractNumId w:val="6"/>
  </w:num>
  <w:num w:numId="3" w16cid:durableId="654606211">
    <w:abstractNumId w:val="4"/>
  </w:num>
  <w:num w:numId="4" w16cid:durableId="384640126">
    <w:abstractNumId w:val="6"/>
  </w:num>
  <w:num w:numId="5" w16cid:durableId="1736778263">
    <w:abstractNumId w:val="5"/>
  </w:num>
  <w:num w:numId="6" w16cid:durableId="492064445">
    <w:abstractNumId w:val="0"/>
  </w:num>
  <w:num w:numId="7" w16cid:durableId="1657879067">
    <w:abstractNumId w:val="2"/>
  </w:num>
  <w:num w:numId="8" w16cid:durableId="1270890721">
    <w:abstractNumId w:val="4"/>
    <w:lvlOverride w:ilvl="0">
      <w:startOverride w:val="1"/>
    </w:lvlOverride>
  </w:num>
  <w:num w:numId="9" w16cid:durableId="1617298707">
    <w:abstractNumId w:val="9"/>
  </w:num>
  <w:num w:numId="10" w16cid:durableId="626204503">
    <w:abstractNumId w:val="4"/>
    <w:lvlOverride w:ilvl="0">
      <w:startOverride w:val="1"/>
    </w:lvlOverride>
  </w:num>
  <w:num w:numId="11" w16cid:durableId="48694395">
    <w:abstractNumId w:val="4"/>
    <w:lvlOverride w:ilvl="0">
      <w:startOverride w:val="1"/>
    </w:lvlOverride>
  </w:num>
  <w:num w:numId="12" w16cid:durableId="1497302111">
    <w:abstractNumId w:val="4"/>
    <w:lvlOverride w:ilvl="0">
      <w:startOverride w:val="1"/>
    </w:lvlOverride>
  </w:num>
  <w:num w:numId="13" w16cid:durableId="614286407">
    <w:abstractNumId w:val="4"/>
    <w:lvlOverride w:ilvl="0">
      <w:startOverride w:val="1"/>
    </w:lvlOverride>
  </w:num>
  <w:num w:numId="14" w16cid:durableId="1024132706">
    <w:abstractNumId w:val="8"/>
  </w:num>
  <w:num w:numId="15" w16cid:durableId="828131091">
    <w:abstractNumId w:val="7"/>
  </w:num>
  <w:num w:numId="16" w16cid:durableId="839543865">
    <w:abstractNumId w:val="1"/>
  </w:num>
  <w:num w:numId="17" w16cid:durableId="493224339">
    <w:abstractNumId w:val="10"/>
  </w:num>
  <w:num w:numId="18" w16cid:durableId="1922136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7E9C"/>
    <w:rsid w:val="0001738D"/>
    <w:rsid w:val="00020A25"/>
    <w:rsid w:val="00024A41"/>
    <w:rsid w:val="00052F0F"/>
    <w:rsid w:val="0007171B"/>
    <w:rsid w:val="000B534D"/>
    <w:rsid w:val="000C64C2"/>
    <w:rsid w:val="000E34F4"/>
    <w:rsid w:val="000E673A"/>
    <w:rsid w:val="000F07EE"/>
    <w:rsid w:val="000F2C6A"/>
    <w:rsid w:val="000F5524"/>
    <w:rsid w:val="000F74F5"/>
    <w:rsid w:val="00105372"/>
    <w:rsid w:val="001068CA"/>
    <w:rsid w:val="0011332D"/>
    <w:rsid w:val="00123002"/>
    <w:rsid w:val="001312AD"/>
    <w:rsid w:val="00131E7A"/>
    <w:rsid w:val="00134846"/>
    <w:rsid w:val="00172AF6"/>
    <w:rsid w:val="00176CEE"/>
    <w:rsid w:val="0018435A"/>
    <w:rsid w:val="001846C8"/>
    <w:rsid w:val="00186DD8"/>
    <w:rsid w:val="00191A9E"/>
    <w:rsid w:val="001B13FE"/>
    <w:rsid w:val="001B5E37"/>
    <w:rsid w:val="001C1A77"/>
    <w:rsid w:val="001C2E06"/>
    <w:rsid w:val="001D3934"/>
    <w:rsid w:val="001E05C1"/>
    <w:rsid w:val="001E6EB4"/>
    <w:rsid w:val="00201591"/>
    <w:rsid w:val="00271D1F"/>
    <w:rsid w:val="00283051"/>
    <w:rsid w:val="002A6451"/>
    <w:rsid w:val="002C55A1"/>
    <w:rsid w:val="002D10FA"/>
    <w:rsid w:val="002E16C9"/>
    <w:rsid w:val="002E6168"/>
    <w:rsid w:val="002F2BF2"/>
    <w:rsid w:val="0030169D"/>
    <w:rsid w:val="003060EB"/>
    <w:rsid w:val="003153EB"/>
    <w:rsid w:val="00321985"/>
    <w:rsid w:val="003270E2"/>
    <w:rsid w:val="00350AD5"/>
    <w:rsid w:val="00351205"/>
    <w:rsid w:val="00360F2A"/>
    <w:rsid w:val="0036467E"/>
    <w:rsid w:val="00372F74"/>
    <w:rsid w:val="00397C8C"/>
    <w:rsid w:val="003A08C1"/>
    <w:rsid w:val="003B4375"/>
    <w:rsid w:val="003B7BB2"/>
    <w:rsid w:val="003C4255"/>
    <w:rsid w:val="003C5C20"/>
    <w:rsid w:val="003F0087"/>
    <w:rsid w:val="003F71C8"/>
    <w:rsid w:val="003F7224"/>
    <w:rsid w:val="00427D21"/>
    <w:rsid w:val="00441851"/>
    <w:rsid w:val="00453B92"/>
    <w:rsid w:val="004575E2"/>
    <w:rsid w:val="004614DF"/>
    <w:rsid w:val="004644C2"/>
    <w:rsid w:val="004671EA"/>
    <w:rsid w:val="00467F9C"/>
    <w:rsid w:val="00470A1C"/>
    <w:rsid w:val="004753BC"/>
    <w:rsid w:val="004A2212"/>
    <w:rsid w:val="004B26BC"/>
    <w:rsid w:val="004C24C2"/>
    <w:rsid w:val="004C2CA8"/>
    <w:rsid w:val="004C48D8"/>
    <w:rsid w:val="004D6E81"/>
    <w:rsid w:val="004E6FB5"/>
    <w:rsid w:val="005002B6"/>
    <w:rsid w:val="005105C5"/>
    <w:rsid w:val="00534681"/>
    <w:rsid w:val="00535349"/>
    <w:rsid w:val="00563442"/>
    <w:rsid w:val="00564786"/>
    <w:rsid w:val="00565B42"/>
    <w:rsid w:val="005717D1"/>
    <w:rsid w:val="00573EE8"/>
    <w:rsid w:val="00582026"/>
    <w:rsid w:val="00592720"/>
    <w:rsid w:val="005A369C"/>
    <w:rsid w:val="005A3B19"/>
    <w:rsid w:val="005B4ADC"/>
    <w:rsid w:val="005C2CB4"/>
    <w:rsid w:val="005C4CE6"/>
    <w:rsid w:val="005E02CD"/>
    <w:rsid w:val="005E0ED3"/>
    <w:rsid w:val="005F0E73"/>
    <w:rsid w:val="005F13C4"/>
    <w:rsid w:val="006057E8"/>
    <w:rsid w:val="006122BA"/>
    <w:rsid w:val="00630ABA"/>
    <w:rsid w:val="0063588C"/>
    <w:rsid w:val="0063709A"/>
    <w:rsid w:val="006453A2"/>
    <w:rsid w:val="00652BA3"/>
    <w:rsid w:val="00662B2B"/>
    <w:rsid w:val="00687773"/>
    <w:rsid w:val="006A6045"/>
    <w:rsid w:val="006A7159"/>
    <w:rsid w:val="006B0308"/>
    <w:rsid w:val="006B1AAD"/>
    <w:rsid w:val="006B2290"/>
    <w:rsid w:val="006C4C5E"/>
    <w:rsid w:val="006D4229"/>
    <w:rsid w:val="00700BA6"/>
    <w:rsid w:val="00717D88"/>
    <w:rsid w:val="0073105A"/>
    <w:rsid w:val="007529FB"/>
    <w:rsid w:val="007552CE"/>
    <w:rsid w:val="00755860"/>
    <w:rsid w:val="0075790F"/>
    <w:rsid w:val="007645E1"/>
    <w:rsid w:val="00786056"/>
    <w:rsid w:val="00793EFA"/>
    <w:rsid w:val="007942D3"/>
    <w:rsid w:val="007B2099"/>
    <w:rsid w:val="007B6C09"/>
    <w:rsid w:val="007B7741"/>
    <w:rsid w:val="007C0C2F"/>
    <w:rsid w:val="007C19B8"/>
    <w:rsid w:val="007C7E31"/>
    <w:rsid w:val="007D17B2"/>
    <w:rsid w:val="007E09DA"/>
    <w:rsid w:val="007F2715"/>
    <w:rsid w:val="00814D6D"/>
    <w:rsid w:val="008178B6"/>
    <w:rsid w:val="00830FBD"/>
    <w:rsid w:val="008650D2"/>
    <w:rsid w:val="00865B74"/>
    <w:rsid w:val="008719DA"/>
    <w:rsid w:val="008974F0"/>
    <w:rsid w:val="008B012A"/>
    <w:rsid w:val="008F22FE"/>
    <w:rsid w:val="008F6A1F"/>
    <w:rsid w:val="0090576C"/>
    <w:rsid w:val="00906E17"/>
    <w:rsid w:val="00930BA1"/>
    <w:rsid w:val="0093169E"/>
    <w:rsid w:val="00936789"/>
    <w:rsid w:val="00937130"/>
    <w:rsid w:val="009505C9"/>
    <w:rsid w:val="00950752"/>
    <w:rsid w:val="00951C22"/>
    <w:rsid w:val="00964909"/>
    <w:rsid w:val="00966424"/>
    <w:rsid w:val="00966518"/>
    <w:rsid w:val="00966B32"/>
    <w:rsid w:val="00986B11"/>
    <w:rsid w:val="009C2DE6"/>
    <w:rsid w:val="009D1A70"/>
    <w:rsid w:val="009D50D3"/>
    <w:rsid w:val="009D6A3E"/>
    <w:rsid w:val="009D70D0"/>
    <w:rsid w:val="009F1109"/>
    <w:rsid w:val="009F2400"/>
    <w:rsid w:val="00A00387"/>
    <w:rsid w:val="00A1252A"/>
    <w:rsid w:val="00A60641"/>
    <w:rsid w:val="00A97229"/>
    <w:rsid w:val="00AA2B85"/>
    <w:rsid w:val="00AA3108"/>
    <w:rsid w:val="00AA6F92"/>
    <w:rsid w:val="00AB0178"/>
    <w:rsid w:val="00AB0FA7"/>
    <w:rsid w:val="00AB6934"/>
    <w:rsid w:val="00AD554B"/>
    <w:rsid w:val="00AD6325"/>
    <w:rsid w:val="00AD7FFC"/>
    <w:rsid w:val="00AE2329"/>
    <w:rsid w:val="00AF2CC5"/>
    <w:rsid w:val="00AF42DE"/>
    <w:rsid w:val="00B0087D"/>
    <w:rsid w:val="00B07709"/>
    <w:rsid w:val="00B07B98"/>
    <w:rsid w:val="00B1265C"/>
    <w:rsid w:val="00B164BD"/>
    <w:rsid w:val="00B26ACD"/>
    <w:rsid w:val="00B27A9F"/>
    <w:rsid w:val="00B32295"/>
    <w:rsid w:val="00B3369F"/>
    <w:rsid w:val="00B35855"/>
    <w:rsid w:val="00B4733E"/>
    <w:rsid w:val="00B50331"/>
    <w:rsid w:val="00B6270C"/>
    <w:rsid w:val="00B70EFF"/>
    <w:rsid w:val="00B8290E"/>
    <w:rsid w:val="00B92649"/>
    <w:rsid w:val="00B94E6C"/>
    <w:rsid w:val="00B979E0"/>
    <w:rsid w:val="00BB4606"/>
    <w:rsid w:val="00BB5162"/>
    <w:rsid w:val="00BD1BB4"/>
    <w:rsid w:val="00BD789E"/>
    <w:rsid w:val="00BF05B9"/>
    <w:rsid w:val="00BF11F9"/>
    <w:rsid w:val="00C23D2F"/>
    <w:rsid w:val="00C2401F"/>
    <w:rsid w:val="00C4115C"/>
    <w:rsid w:val="00C443BD"/>
    <w:rsid w:val="00C451C5"/>
    <w:rsid w:val="00C52CF5"/>
    <w:rsid w:val="00C540C1"/>
    <w:rsid w:val="00C72920"/>
    <w:rsid w:val="00C7562F"/>
    <w:rsid w:val="00C756FE"/>
    <w:rsid w:val="00C87DDF"/>
    <w:rsid w:val="00C9161D"/>
    <w:rsid w:val="00CA0C1D"/>
    <w:rsid w:val="00CA31C8"/>
    <w:rsid w:val="00CA6187"/>
    <w:rsid w:val="00CB3511"/>
    <w:rsid w:val="00CC40B1"/>
    <w:rsid w:val="00CD23FB"/>
    <w:rsid w:val="00CF1848"/>
    <w:rsid w:val="00D06CCE"/>
    <w:rsid w:val="00D12044"/>
    <w:rsid w:val="00D30264"/>
    <w:rsid w:val="00D3104F"/>
    <w:rsid w:val="00D33EFC"/>
    <w:rsid w:val="00D40DBC"/>
    <w:rsid w:val="00D548A5"/>
    <w:rsid w:val="00D674A2"/>
    <w:rsid w:val="00D67904"/>
    <w:rsid w:val="00D739FC"/>
    <w:rsid w:val="00D76A18"/>
    <w:rsid w:val="00D80849"/>
    <w:rsid w:val="00D82E8F"/>
    <w:rsid w:val="00D93CBF"/>
    <w:rsid w:val="00D94EA0"/>
    <w:rsid w:val="00D956C6"/>
    <w:rsid w:val="00DA5797"/>
    <w:rsid w:val="00DD03DA"/>
    <w:rsid w:val="00DD118C"/>
    <w:rsid w:val="00DD45E6"/>
    <w:rsid w:val="00DD67C6"/>
    <w:rsid w:val="00DF75CC"/>
    <w:rsid w:val="00E27E94"/>
    <w:rsid w:val="00E3188A"/>
    <w:rsid w:val="00E35E39"/>
    <w:rsid w:val="00E46704"/>
    <w:rsid w:val="00E66235"/>
    <w:rsid w:val="00E83C24"/>
    <w:rsid w:val="00E9318D"/>
    <w:rsid w:val="00EC1F46"/>
    <w:rsid w:val="00EE4EE7"/>
    <w:rsid w:val="00F14894"/>
    <w:rsid w:val="00F351DA"/>
    <w:rsid w:val="00F40439"/>
    <w:rsid w:val="00F41231"/>
    <w:rsid w:val="00F53193"/>
    <w:rsid w:val="00F5357E"/>
    <w:rsid w:val="00F64DE8"/>
    <w:rsid w:val="00F6586C"/>
    <w:rsid w:val="00F73313"/>
    <w:rsid w:val="00F7613C"/>
    <w:rsid w:val="00F7704B"/>
    <w:rsid w:val="00F94774"/>
    <w:rsid w:val="00FA0E9A"/>
    <w:rsid w:val="00FA663B"/>
    <w:rsid w:val="00FB202F"/>
    <w:rsid w:val="00FB654C"/>
    <w:rsid w:val="00FC25F8"/>
    <w:rsid w:val="00FC53DB"/>
    <w:rsid w:val="00FC5549"/>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3A08C1"/>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6270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6270C"/>
    <w:rPr>
      <w:rFonts w:ascii="Times New Roman" w:eastAsia="Times New Roman" w:hAnsi="Times New Roman" w:cs="Times New Roman"/>
      <w:b/>
      <w:bCs/>
      <w:sz w:val="20"/>
      <w:szCs w:val="20"/>
      <w:lang w:val="en-GB"/>
    </w:rPr>
  </w:style>
  <w:style w:type="character" w:customStyle="1" w:styleId="cf01">
    <w:name w:val="cf01"/>
    <w:basedOn w:val="DefaultParagraphFont"/>
    <w:rsid w:val="007645E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50B73"/>
    <w:rsid w:val="0016789F"/>
    <w:rsid w:val="00174F6B"/>
    <w:rsid w:val="0018183D"/>
    <w:rsid w:val="00230296"/>
    <w:rsid w:val="002965AC"/>
    <w:rsid w:val="003F6A01"/>
    <w:rsid w:val="00403A5A"/>
    <w:rsid w:val="0046422C"/>
    <w:rsid w:val="00464C78"/>
    <w:rsid w:val="004760CF"/>
    <w:rsid w:val="004E092F"/>
    <w:rsid w:val="00500A2B"/>
    <w:rsid w:val="0058288D"/>
    <w:rsid w:val="00592251"/>
    <w:rsid w:val="00665C6B"/>
    <w:rsid w:val="006801B3"/>
    <w:rsid w:val="007126E4"/>
    <w:rsid w:val="00716B06"/>
    <w:rsid w:val="00810A55"/>
    <w:rsid w:val="00827BC8"/>
    <w:rsid w:val="00847584"/>
    <w:rsid w:val="0085047C"/>
    <w:rsid w:val="008655D1"/>
    <w:rsid w:val="008C6619"/>
    <w:rsid w:val="008D420E"/>
    <w:rsid w:val="008E4045"/>
    <w:rsid w:val="00986241"/>
    <w:rsid w:val="0098642F"/>
    <w:rsid w:val="0099414A"/>
    <w:rsid w:val="00B27D2C"/>
    <w:rsid w:val="00B4450D"/>
    <w:rsid w:val="00C21515"/>
    <w:rsid w:val="00C558ED"/>
    <w:rsid w:val="00C61022"/>
    <w:rsid w:val="00C8104B"/>
    <w:rsid w:val="00C942E4"/>
    <w:rsid w:val="00CB0BE1"/>
    <w:rsid w:val="00D31D12"/>
    <w:rsid w:val="00E11FE0"/>
    <w:rsid w:val="00E82AD7"/>
    <w:rsid w:val="00E97F19"/>
    <w:rsid w:val="00EE2572"/>
    <w:rsid w:val="00F21037"/>
    <w:rsid w:val="00F842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21C8E711-7887-48C0-898A-61EBAFE8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4211</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CP-10/4.	Monitoring and reporting (Article 33)</vt:lpstr>
    </vt:vector>
  </TitlesOfParts>
  <Company>SCBD</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CP-10/9.	Monitoring and reporting (Article 33)</dc:title>
  <dc:subject>CBD/CP/MOP/DEC/10/9</dc:subject>
  <dc:creator>SCBD</dc:creator>
  <cp:keywords>Decision adopted by the Parties to the Cartagena Protocol on Biosafety</cp:keywords>
  <cp:lastModifiedBy>Veronique Lefebvre</cp:lastModifiedBy>
  <cp:revision>4</cp:revision>
  <cp:lastPrinted>2020-01-21T16:56:00Z</cp:lastPrinted>
  <dcterms:created xsi:type="dcterms:W3CDTF">2023-03-16T17:28:00Z</dcterms:created>
  <dcterms:modified xsi:type="dcterms:W3CDTF">2023-03-16T17:30:00Z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y fmtid="{D5CDD505-2E9C-101B-9397-08002B2CF9AE}" pid="4" name="GrammarlyDocumentId">
    <vt:lpwstr>f848b14a3d6c8c4d486fbc9cf569367b60638eaf4377f49ed5ed90a68bda70b7</vt:lpwstr>
  </property>
</Properties>
</file>