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1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4101"/>
      </w:tblGrid>
      <w:tr w:rsidR="00C9161D" w14:paraId="07F6750D" w14:textId="77777777" w:rsidTr="00183069">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1C6266">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101"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183069">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101"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703F30E3" w:rsidR="00C9161D" w:rsidRPr="00C9161D" w:rsidRDefault="00082BEB"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43437544" w:rsidR="00C9161D" w:rsidRPr="00C9161D" w:rsidRDefault="00183069"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082BEB">
                  <w:rPr>
                    <w:lang w:val="en-US"/>
                  </w:rPr>
                  <w:t>CBD/CP/MOP/DEC/</w:t>
                </w:r>
                <w:r w:rsidR="00A37FBF">
                  <w:rPr>
                    <w:lang w:val="en-US"/>
                  </w:rPr>
                  <w:t>10/</w:t>
                </w:r>
                <w:r w:rsidR="00082BEB">
                  <w:rPr>
                    <w:lang w:val="en-US"/>
                  </w:rPr>
                  <w:t>10</w:t>
                </w:r>
              </w:sdtContent>
            </w:sdt>
          </w:p>
          <w:p w14:paraId="0DF1F033" w14:textId="74235866" w:rsidR="00C9161D" w:rsidRPr="00C9161D" w:rsidRDefault="00082BEB" w:rsidP="00176CEE">
            <w:pPr>
              <w:ind w:left="1215"/>
              <w:rPr>
                <w:szCs w:val="22"/>
              </w:rPr>
            </w:pPr>
            <w:r>
              <w:rPr>
                <w:szCs w:val="22"/>
                <w:lang w:val="en-US"/>
              </w:rPr>
              <w:t>1</w:t>
            </w:r>
            <w:r w:rsidR="007275C8">
              <w:rPr>
                <w:szCs w:val="22"/>
                <w:lang w:val="en-US"/>
              </w:rPr>
              <w:t>9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51CFE6F1" w:rsidR="003B7BB2" w:rsidRPr="00910961" w:rsidRDefault="003B7BB2" w:rsidP="00183069">
      <w:pPr>
        <w:pStyle w:val="Cornernotation"/>
        <w:kinsoku w:val="0"/>
        <w:overflowPunct w:val="0"/>
        <w:autoSpaceDE w:val="0"/>
        <w:autoSpaceDN w:val="0"/>
        <w:spacing w:before="60"/>
        <w:ind w:left="230" w:right="4234" w:hanging="230"/>
        <w:rPr>
          <w:snapToGrid w:val="0"/>
          <w:kern w:val="22"/>
        </w:rPr>
      </w:pPr>
      <w:r w:rsidRPr="00910961">
        <w:rPr>
          <w:snapToGrid w:val="0"/>
          <w:kern w:val="22"/>
        </w:rPr>
        <w:t xml:space="preserve">CONFERENCE OF THE PARTIES TO THE CONVENTION ON BIOLOGICAL DIVERSITY </w:t>
      </w:r>
      <w:r w:rsidR="005E0ED3">
        <w:rPr>
          <w:snapToGrid w:val="0"/>
          <w:kern w:val="22"/>
        </w:rPr>
        <w:t>SERVING AS THE MEETING OF THE PARTIES TO THE CARTAGENA PROTOCOL ON BIOSAFETY</w:t>
      </w:r>
    </w:p>
    <w:p w14:paraId="141C6194" w14:textId="15DB9022" w:rsidR="003B7BB2" w:rsidRPr="00910961" w:rsidRDefault="00201591" w:rsidP="003B7BB2">
      <w:pPr>
        <w:pStyle w:val="Cornernotation"/>
        <w:kinsoku w:val="0"/>
        <w:overflowPunct w:val="0"/>
        <w:autoSpaceDE w:val="0"/>
        <w:autoSpaceDN w:val="0"/>
        <w:ind w:left="0" w:right="4512" w:firstLine="0"/>
        <w:rPr>
          <w:snapToGrid w:val="0"/>
          <w:kern w:val="22"/>
        </w:rPr>
      </w:pPr>
      <w:r>
        <w:rPr>
          <w:snapToGrid w:val="0"/>
          <w:kern w:val="22"/>
        </w:rPr>
        <w:t>Tenth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502D5B7D" w:rsidR="00C9161D" w:rsidRPr="00C9161D" w:rsidRDefault="00B26ACD" w:rsidP="00C9161D">
      <w:r>
        <w:rPr>
          <w:snapToGrid w:val="0"/>
          <w:kern w:val="22"/>
          <w:szCs w:val="22"/>
        </w:rPr>
        <w:t>Agenda i</w:t>
      </w:r>
      <w:r w:rsidR="00134846" w:rsidRPr="004B44DE">
        <w:rPr>
          <w:snapToGrid w:val="0"/>
          <w:kern w:val="22"/>
          <w:szCs w:val="22"/>
        </w:rPr>
        <w:t xml:space="preserve">tem </w:t>
      </w:r>
      <w:r w:rsidR="00DE6D01">
        <w:rPr>
          <w:snapToGrid w:val="0"/>
          <w:kern w:val="22"/>
          <w:szCs w:val="22"/>
        </w:rPr>
        <w:t>14</w:t>
      </w:r>
      <w:r w:rsidR="00134846" w:rsidRPr="004B44DE">
        <w:rPr>
          <w:snapToGrid w:val="0"/>
          <w:kern w:val="22"/>
          <w:szCs w:val="22"/>
        </w:rPr>
        <w:t xml:space="preserve"> </w:t>
      </w:r>
    </w:p>
    <w:p w14:paraId="09CA32EC" w14:textId="77777777" w:rsidR="00AD2CA0" w:rsidRPr="00162C1D" w:rsidRDefault="00AD2CA0" w:rsidP="00183069">
      <w:pPr>
        <w:spacing w:before="240" w:after="240"/>
        <w:ind w:right="-288"/>
        <w:jc w:val="center"/>
        <w:rPr>
          <w:rFonts w:ascii="Times New Roman Bold" w:hAnsi="Times New Roman Bold"/>
          <w:b/>
          <w:caps/>
        </w:rPr>
      </w:pPr>
      <w:r w:rsidRPr="00162C1D">
        <w:rPr>
          <w:rFonts w:ascii="Times New Roman Bold" w:hAnsi="Times New Roman Bold"/>
          <w:b/>
          <w:caps/>
        </w:rPr>
        <w:t>Decision adopted by the Parties to the Cartagena Protocol on Biosafety</w:t>
      </w:r>
    </w:p>
    <w:sdt>
      <w:sdtPr>
        <w:rPr>
          <w:b/>
        </w:rPr>
        <w:alias w:val="Title"/>
        <w:tag w:val=""/>
        <w:id w:val="626674870"/>
        <w:placeholder>
          <w:docPart w:val="498D4F9426224FECB1C66D5C030A616B"/>
        </w:placeholder>
        <w:dataBinding w:prefixMappings="xmlns:ns0='http://purl.org/dc/elements/1.1/' xmlns:ns1='http://schemas.openxmlformats.org/package/2006/metadata/core-properties' " w:xpath="/ns1:coreProperties[1]/ns0:title[1]" w:storeItemID="{6C3C8BC8-F283-45AE-878A-BAB7291924A1}"/>
        <w:text/>
      </w:sdtPr>
      <w:sdtEndPr/>
      <w:sdtContent>
        <w:p w14:paraId="57F6B7A1" w14:textId="0DF694D6" w:rsidR="00C9161D" w:rsidRDefault="00082BEB" w:rsidP="00183069">
          <w:pPr>
            <w:keepNext/>
            <w:spacing w:before="120" w:after="240"/>
            <w:jc w:val="center"/>
            <w:outlineLvl w:val="1"/>
            <w:rPr>
              <w:b/>
              <w:caps/>
            </w:rPr>
          </w:pPr>
          <w:r w:rsidRPr="00082BEB">
            <w:rPr>
              <w:b/>
            </w:rPr>
            <w:t>CP-10/</w:t>
          </w:r>
          <w:r>
            <w:rPr>
              <w:b/>
            </w:rPr>
            <w:t>10</w:t>
          </w:r>
          <w:r w:rsidRPr="00082BEB">
            <w:rPr>
              <w:b/>
            </w:rPr>
            <w:t>.</w:t>
          </w:r>
          <w:r w:rsidRPr="00082BEB">
            <w:rPr>
              <w:b/>
            </w:rPr>
            <w:tab/>
            <w:t>Risk assessment and risk management (Articles 15 and 16)</w:t>
          </w:r>
        </w:p>
      </w:sdtContent>
    </w:sdt>
    <w:p w14:paraId="475CCB87" w14:textId="77777777" w:rsidR="00DE6D01" w:rsidRPr="00F44200" w:rsidRDefault="00DE6D01" w:rsidP="00DE6D01">
      <w:pPr>
        <w:suppressLineNumbers/>
        <w:suppressAutoHyphens/>
        <w:spacing w:before="240" w:after="120"/>
        <w:ind w:firstLine="720"/>
        <w:rPr>
          <w:i/>
          <w:iCs/>
          <w:snapToGrid w:val="0"/>
          <w:kern w:val="22"/>
          <w:szCs w:val="22"/>
        </w:rPr>
      </w:pPr>
      <w:r w:rsidRPr="00F44200">
        <w:rPr>
          <w:i/>
          <w:iCs/>
          <w:snapToGrid w:val="0"/>
          <w:kern w:val="22"/>
          <w:szCs w:val="22"/>
        </w:rPr>
        <w:t>The Conference of the Parties serving as the meeting to the Parties to the Cartagena Protocol on Biosafety,</w:t>
      </w:r>
    </w:p>
    <w:p w14:paraId="4DF8E75D" w14:textId="77777777" w:rsidR="00DE6D01" w:rsidRPr="00F44200" w:rsidRDefault="00DE6D01" w:rsidP="00DE6D01">
      <w:pPr>
        <w:suppressLineNumbers/>
        <w:suppressAutoHyphens/>
        <w:spacing w:before="120" w:after="120"/>
        <w:ind w:firstLine="720"/>
        <w:rPr>
          <w:snapToGrid w:val="0"/>
          <w:kern w:val="22"/>
          <w:szCs w:val="22"/>
        </w:rPr>
      </w:pPr>
      <w:r w:rsidRPr="00F44200">
        <w:rPr>
          <w:i/>
          <w:iCs/>
          <w:snapToGrid w:val="0"/>
          <w:kern w:val="22"/>
          <w:szCs w:val="22"/>
        </w:rPr>
        <w:t>Recalling</w:t>
      </w:r>
      <w:r w:rsidRPr="00F44200">
        <w:rPr>
          <w:snapToGrid w:val="0"/>
          <w:kern w:val="22"/>
          <w:szCs w:val="22"/>
        </w:rPr>
        <w:t xml:space="preserve"> decision CP-9/13, paragraph 7, in which it decided to consider, at its tenth meeting, whether additional guidance materials on risk assessment are needed for (a) living modified organisms containing engineered gene drives, and (b) living modified fish,</w:t>
      </w:r>
    </w:p>
    <w:p w14:paraId="60D0B526" w14:textId="0E17A117" w:rsidR="00DE6D01" w:rsidRPr="00827F14" w:rsidRDefault="006928BB" w:rsidP="00DE6D01">
      <w:pPr>
        <w:spacing w:before="120" w:after="120"/>
        <w:ind w:firstLine="720"/>
        <w:rPr>
          <w:snapToGrid w:val="0"/>
          <w:kern w:val="22"/>
          <w:szCs w:val="22"/>
        </w:rPr>
      </w:pPr>
      <w:proofErr w:type="gramStart"/>
      <w:r>
        <w:rPr>
          <w:i/>
          <w:iCs/>
          <w:snapToGrid w:val="0"/>
          <w:kern w:val="22"/>
          <w:szCs w:val="22"/>
        </w:rPr>
        <w:t>R</w:t>
      </w:r>
      <w:r w:rsidR="00DE6D01" w:rsidRPr="00F44200">
        <w:rPr>
          <w:i/>
          <w:iCs/>
          <w:snapToGrid w:val="0"/>
          <w:kern w:val="22"/>
          <w:szCs w:val="22"/>
        </w:rPr>
        <w:t xml:space="preserve">ecalling </w:t>
      </w:r>
      <w:r>
        <w:rPr>
          <w:i/>
          <w:iCs/>
          <w:snapToGrid w:val="0"/>
          <w:kern w:val="22"/>
          <w:szCs w:val="22"/>
        </w:rPr>
        <w:t>also</w:t>
      </w:r>
      <w:proofErr w:type="gramEnd"/>
      <w:r>
        <w:rPr>
          <w:i/>
          <w:iCs/>
          <w:snapToGrid w:val="0"/>
          <w:kern w:val="22"/>
          <w:szCs w:val="22"/>
        </w:rPr>
        <w:t xml:space="preserve"> </w:t>
      </w:r>
      <w:r w:rsidR="00DE6D01" w:rsidRPr="00F44200">
        <w:rPr>
          <w:snapToGrid w:val="0"/>
          <w:kern w:val="22"/>
          <w:szCs w:val="22"/>
        </w:rPr>
        <w:t xml:space="preserve">decision BS-VII/12, paragraph 17, in which it recommended to the Conference of the Parties to the Convention of Biological Diversity a coordinated approach with the Conference of the </w:t>
      </w:r>
      <w:r w:rsidR="00DE6D01" w:rsidRPr="00827F14">
        <w:rPr>
          <w:snapToGrid w:val="0"/>
          <w:kern w:val="22"/>
          <w:szCs w:val="22"/>
        </w:rPr>
        <w:t>Parties serving as the meeting of the Parties to the Cartagena Protocol on Biosafety on the issue of synthetic biology, taking into account the possibility that the provisions of the Protocol might also apply to living organisms resulting from synthetic biology,</w:t>
      </w:r>
    </w:p>
    <w:p w14:paraId="41C24EE4" w14:textId="3B8BABF9" w:rsidR="00DE6D01" w:rsidRPr="00F0075A" w:rsidRDefault="006928BB" w:rsidP="00DE6D01">
      <w:pPr>
        <w:spacing w:before="120" w:after="120"/>
        <w:ind w:firstLine="720"/>
        <w:rPr>
          <w:snapToGrid w:val="0"/>
          <w:kern w:val="22"/>
          <w:szCs w:val="22"/>
        </w:rPr>
      </w:pPr>
      <w:r>
        <w:rPr>
          <w:i/>
          <w:iCs/>
          <w:snapToGrid w:val="0"/>
          <w:kern w:val="22"/>
          <w:szCs w:val="22"/>
        </w:rPr>
        <w:t>R</w:t>
      </w:r>
      <w:r w:rsidR="00DE6D01" w:rsidRPr="00827F14">
        <w:rPr>
          <w:i/>
          <w:iCs/>
          <w:snapToGrid w:val="0"/>
          <w:kern w:val="22"/>
          <w:szCs w:val="22"/>
        </w:rPr>
        <w:t>ecalling</w:t>
      </w:r>
      <w:r w:rsidR="00DE6D01" w:rsidRPr="00827F14">
        <w:rPr>
          <w:snapToGrid w:val="0"/>
          <w:kern w:val="22"/>
          <w:szCs w:val="22"/>
        </w:rPr>
        <w:t xml:space="preserve"> </w:t>
      </w:r>
      <w:r w:rsidRPr="00183069">
        <w:rPr>
          <w:i/>
          <w:iCs/>
          <w:snapToGrid w:val="0"/>
          <w:kern w:val="22"/>
          <w:szCs w:val="22"/>
        </w:rPr>
        <w:t>further</w:t>
      </w:r>
      <w:r>
        <w:rPr>
          <w:snapToGrid w:val="0"/>
          <w:kern w:val="22"/>
          <w:szCs w:val="22"/>
        </w:rPr>
        <w:t xml:space="preserve"> </w:t>
      </w:r>
      <w:r w:rsidR="00DE6D01" w:rsidRPr="00827F14">
        <w:rPr>
          <w:snapToGrid w:val="0"/>
          <w:kern w:val="22"/>
          <w:szCs w:val="22"/>
        </w:rPr>
        <w:t xml:space="preserve">the importance of the precautionary approach, in </w:t>
      </w:r>
      <w:r w:rsidR="00DE6D01" w:rsidRPr="00F0075A">
        <w:rPr>
          <w:snapToGrid w:val="0"/>
          <w:kern w:val="22"/>
          <w:szCs w:val="22"/>
        </w:rPr>
        <w:t>accordance with the Cartagena Protocol on Biosafety,</w:t>
      </w:r>
    </w:p>
    <w:p w14:paraId="565963BC" w14:textId="78514745" w:rsidR="00DE6D01" w:rsidRPr="00F0075A" w:rsidRDefault="00DE6D01" w:rsidP="00DE6D01">
      <w:pPr>
        <w:spacing w:before="120" w:after="120"/>
        <w:ind w:firstLine="720"/>
        <w:rPr>
          <w:snapToGrid w:val="0"/>
          <w:kern w:val="22"/>
          <w:szCs w:val="22"/>
        </w:rPr>
      </w:pPr>
      <w:r w:rsidRPr="00F0075A">
        <w:rPr>
          <w:i/>
          <w:iCs/>
          <w:snapToGrid w:val="0"/>
          <w:kern w:val="22"/>
          <w:szCs w:val="22"/>
        </w:rPr>
        <w:t>Noting</w:t>
      </w:r>
      <w:r w:rsidRPr="00F0075A">
        <w:rPr>
          <w:snapToGrid w:val="0"/>
          <w:kern w:val="22"/>
          <w:szCs w:val="22"/>
        </w:rPr>
        <w:t xml:space="preserve"> the existing voluntary guidance on the assessment of socioeconomic considerations in the context of Article 26 of the Cartagena Protocol on Biosafety,</w:t>
      </w:r>
    </w:p>
    <w:p w14:paraId="3E53F425" w14:textId="77777777" w:rsidR="00DE6D01" w:rsidRPr="00F0075A" w:rsidRDefault="00DE6D01" w:rsidP="00DE6D01">
      <w:pPr>
        <w:suppressLineNumbers/>
        <w:suppressAutoHyphens/>
        <w:spacing w:before="120" w:after="120"/>
        <w:ind w:firstLine="720"/>
        <w:rPr>
          <w:snapToGrid w:val="0"/>
          <w:kern w:val="22"/>
          <w:szCs w:val="22"/>
        </w:rPr>
      </w:pPr>
      <w:r w:rsidRPr="00F0075A">
        <w:rPr>
          <w:snapToGrid w:val="0"/>
          <w:kern w:val="22"/>
          <w:szCs w:val="22"/>
        </w:rPr>
        <w:t>1.</w:t>
      </w:r>
      <w:r w:rsidRPr="00F0075A">
        <w:rPr>
          <w:snapToGrid w:val="0"/>
          <w:kern w:val="22"/>
          <w:szCs w:val="22"/>
        </w:rPr>
        <w:tab/>
      </w:r>
      <w:r w:rsidRPr="00F0075A">
        <w:rPr>
          <w:i/>
          <w:iCs/>
          <w:snapToGrid w:val="0"/>
          <w:kern w:val="22"/>
          <w:szCs w:val="22"/>
        </w:rPr>
        <w:t>Welcomes</w:t>
      </w:r>
      <w:r w:rsidRPr="00F0075A">
        <w:rPr>
          <w:snapToGrid w:val="0"/>
          <w:kern w:val="22"/>
          <w:szCs w:val="22"/>
        </w:rPr>
        <w:t xml:space="preserve"> the outcomes of the discussions of the </w:t>
      </w:r>
      <w:bookmarkStart w:id="0" w:name="_Hlk42864449"/>
      <w:r w:rsidRPr="00F0075A">
        <w:rPr>
          <w:snapToGrid w:val="0"/>
          <w:kern w:val="22"/>
          <w:szCs w:val="22"/>
        </w:rPr>
        <w:t xml:space="preserve">Ad Hoc Technical Expert Group </w:t>
      </w:r>
      <w:bookmarkEnd w:id="0"/>
      <w:r w:rsidRPr="00F0075A">
        <w:rPr>
          <w:snapToGrid w:val="0"/>
          <w:kern w:val="22"/>
          <w:szCs w:val="22"/>
        </w:rPr>
        <w:t>on Risk Assessment;</w:t>
      </w:r>
      <w:r w:rsidRPr="00F0075A">
        <w:rPr>
          <w:snapToGrid w:val="0"/>
          <w:kern w:val="22"/>
          <w:szCs w:val="28"/>
          <w:vertAlign w:val="superscript"/>
        </w:rPr>
        <w:footnoteReference w:id="1"/>
      </w:r>
    </w:p>
    <w:p w14:paraId="35CA08E8" w14:textId="5B0B0A92" w:rsidR="00DE6D01" w:rsidRPr="00F0075A" w:rsidRDefault="00DE6D01" w:rsidP="00DE6D01">
      <w:pPr>
        <w:suppressLineNumbers/>
        <w:suppressAutoHyphens/>
        <w:spacing w:before="120" w:after="120"/>
        <w:ind w:firstLine="720"/>
        <w:rPr>
          <w:snapToGrid w:val="0"/>
          <w:kern w:val="22"/>
          <w:szCs w:val="22"/>
        </w:rPr>
      </w:pPr>
      <w:r w:rsidRPr="00F0075A">
        <w:rPr>
          <w:snapToGrid w:val="0"/>
          <w:kern w:val="22"/>
          <w:szCs w:val="22"/>
        </w:rPr>
        <w:t>2.</w:t>
      </w:r>
      <w:r w:rsidRPr="00F0075A">
        <w:rPr>
          <w:snapToGrid w:val="0"/>
          <w:kern w:val="22"/>
          <w:szCs w:val="22"/>
        </w:rPr>
        <w:tab/>
      </w:r>
      <w:r w:rsidRPr="00F0075A">
        <w:rPr>
          <w:i/>
          <w:iCs/>
          <w:snapToGrid w:val="0"/>
          <w:kern w:val="22"/>
          <w:szCs w:val="22"/>
        </w:rPr>
        <w:t>Takes note</w:t>
      </w:r>
      <w:r w:rsidRPr="00F0075A">
        <w:rPr>
          <w:snapToGrid w:val="0"/>
          <w:kern w:val="22"/>
          <w:szCs w:val="22"/>
        </w:rPr>
        <w:t xml:space="preserve"> of the clarifications made by the Ad Hoc Technical Expert Group on annex</w:t>
      </w:r>
      <w:r w:rsidR="00827F14" w:rsidRPr="00F0075A">
        <w:rPr>
          <w:snapToGrid w:val="0"/>
          <w:kern w:val="22"/>
          <w:szCs w:val="22"/>
        </w:rPr>
        <w:t> </w:t>
      </w:r>
      <w:r w:rsidRPr="00F0075A">
        <w:rPr>
          <w:snapToGrid w:val="0"/>
          <w:kern w:val="22"/>
          <w:szCs w:val="22"/>
        </w:rPr>
        <w:t xml:space="preserve">I </w:t>
      </w:r>
      <w:r w:rsidR="0091758B" w:rsidRPr="00F0075A">
        <w:rPr>
          <w:snapToGrid w:val="0"/>
          <w:kern w:val="22"/>
          <w:szCs w:val="22"/>
        </w:rPr>
        <w:t>to</w:t>
      </w:r>
      <w:r w:rsidRPr="00F0075A">
        <w:rPr>
          <w:snapToGrid w:val="0"/>
          <w:kern w:val="22"/>
          <w:szCs w:val="22"/>
        </w:rPr>
        <w:t xml:space="preserve"> decision CP-9/13 regarding the process for identification and prioritization of specific issues of risk assessment of living modified organisms that may warrant consideration;</w:t>
      </w:r>
      <w:r w:rsidRPr="00183069">
        <w:rPr>
          <w:snapToGrid w:val="0"/>
          <w:kern w:val="22"/>
          <w:szCs w:val="28"/>
          <w:vertAlign w:val="superscript"/>
        </w:rPr>
        <w:footnoteReference w:id="2"/>
      </w:r>
    </w:p>
    <w:p w14:paraId="22C4817A" w14:textId="51A1747B" w:rsidR="00DE6D01" w:rsidRPr="00F44200" w:rsidRDefault="00DE6D01" w:rsidP="00DE6D01">
      <w:pPr>
        <w:suppressLineNumbers/>
        <w:suppressAutoHyphens/>
        <w:spacing w:before="120" w:after="120"/>
        <w:ind w:firstLine="720"/>
        <w:rPr>
          <w:snapToGrid w:val="0"/>
          <w:kern w:val="22"/>
          <w:szCs w:val="22"/>
        </w:rPr>
      </w:pPr>
      <w:r w:rsidRPr="00F0075A">
        <w:rPr>
          <w:snapToGrid w:val="0"/>
          <w:kern w:val="22"/>
          <w:szCs w:val="22"/>
        </w:rPr>
        <w:t>3.</w:t>
      </w:r>
      <w:r w:rsidRPr="00F0075A">
        <w:rPr>
          <w:snapToGrid w:val="0"/>
          <w:kern w:val="22"/>
          <w:szCs w:val="22"/>
        </w:rPr>
        <w:tab/>
      </w:r>
      <w:r w:rsidRPr="00F0075A">
        <w:rPr>
          <w:i/>
          <w:iCs/>
          <w:snapToGrid w:val="0"/>
          <w:kern w:val="22"/>
          <w:szCs w:val="22"/>
        </w:rPr>
        <w:t xml:space="preserve">Welcomes </w:t>
      </w:r>
      <w:r w:rsidRPr="00F0075A">
        <w:rPr>
          <w:snapToGrid w:val="0"/>
          <w:kern w:val="22"/>
          <w:szCs w:val="22"/>
        </w:rPr>
        <w:t xml:space="preserve">the analysis done by the Ad Hoc Technical Expert Group on the topics of (a) living modified organisms containing engineered gene drives and (b) living modified fish </w:t>
      </w:r>
      <w:r w:rsidR="00F0075A" w:rsidRPr="00F0075A">
        <w:rPr>
          <w:snapToGrid w:val="0"/>
          <w:kern w:val="22"/>
          <w:szCs w:val="22"/>
        </w:rPr>
        <w:t xml:space="preserve">pursuant </w:t>
      </w:r>
      <w:r w:rsidRPr="00F0075A">
        <w:rPr>
          <w:snapToGrid w:val="0"/>
          <w:kern w:val="22"/>
          <w:szCs w:val="22"/>
        </w:rPr>
        <w:t>to decision CP-9/13, annex I;</w:t>
      </w:r>
    </w:p>
    <w:p w14:paraId="67A7ECF3" w14:textId="39FE6CAC" w:rsidR="00DE6D01" w:rsidRPr="00F44200" w:rsidRDefault="00DE6D01" w:rsidP="00DE6D01">
      <w:pPr>
        <w:suppressLineNumbers/>
        <w:suppressAutoHyphens/>
        <w:spacing w:before="120" w:after="120"/>
        <w:ind w:firstLine="720"/>
        <w:rPr>
          <w:snapToGrid w:val="0"/>
          <w:kern w:val="22"/>
          <w:szCs w:val="22"/>
        </w:rPr>
      </w:pPr>
      <w:r w:rsidRPr="00F44200">
        <w:rPr>
          <w:snapToGrid w:val="0"/>
          <w:kern w:val="22"/>
          <w:szCs w:val="22"/>
        </w:rPr>
        <w:t>4.</w:t>
      </w:r>
      <w:r w:rsidRPr="00F44200">
        <w:rPr>
          <w:snapToGrid w:val="0"/>
          <w:kern w:val="22"/>
          <w:szCs w:val="22"/>
        </w:rPr>
        <w:tab/>
      </w:r>
      <w:r w:rsidRPr="00F44200">
        <w:rPr>
          <w:i/>
          <w:iCs/>
          <w:snapToGrid w:val="0"/>
          <w:kern w:val="22"/>
          <w:szCs w:val="22"/>
        </w:rPr>
        <w:t>Notes</w:t>
      </w:r>
      <w:r w:rsidRPr="00F44200">
        <w:rPr>
          <w:snapToGrid w:val="0"/>
          <w:kern w:val="22"/>
          <w:szCs w:val="22"/>
        </w:rPr>
        <w:t xml:space="preserve"> </w:t>
      </w:r>
      <w:r w:rsidRPr="000D4DE4">
        <w:rPr>
          <w:snapToGrid w:val="0"/>
          <w:kern w:val="22"/>
          <w:szCs w:val="22"/>
        </w:rPr>
        <w:t>the range of perspectives on the need for the development of guidance on risk assessment of living modified fish, decides not to proceed, at this stage, with the development of additional voluntary guidance materials on risk assessment regarding living modified fish,</w:t>
      </w:r>
      <w:r w:rsidRPr="000D4DE4">
        <w:rPr>
          <w:snapToGrid w:val="0"/>
          <w:szCs w:val="18"/>
        </w:rPr>
        <w:t xml:space="preserve"> </w:t>
      </w:r>
      <w:r w:rsidRPr="006957C0">
        <w:rPr>
          <w:snapToGrid w:val="0"/>
          <w:kern w:val="22"/>
          <w:szCs w:val="22"/>
        </w:rPr>
        <w:t xml:space="preserve">and </w:t>
      </w:r>
      <w:r w:rsidRPr="00183069">
        <w:rPr>
          <w:snapToGrid w:val="0"/>
          <w:kern w:val="22"/>
          <w:szCs w:val="22"/>
        </w:rPr>
        <w:t>encourages</w:t>
      </w:r>
      <w:r w:rsidRPr="00772D89">
        <w:rPr>
          <w:snapToGrid w:val="0"/>
          <w:kern w:val="22"/>
          <w:szCs w:val="22"/>
        </w:rPr>
        <w:t xml:space="preserve"> </w:t>
      </w:r>
      <w:r w:rsidRPr="000D4DE4">
        <w:rPr>
          <w:snapToGrid w:val="0"/>
          <w:kern w:val="22"/>
          <w:szCs w:val="22"/>
        </w:rPr>
        <w:t xml:space="preserve">Parties and </w:t>
      </w:r>
      <w:r w:rsidRPr="00183069">
        <w:rPr>
          <w:snapToGrid w:val="0"/>
          <w:kern w:val="22"/>
          <w:szCs w:val="22"/>
        </w:rPr>
        <w:lastRenderedPageBreak/>
        <w:t>invites</w:t>
      </w:r>
      <w:r w:rsidRPr="006957C0">
        <w:rPr>
          <w:snapToGrid w:val="0"/>
          <w:kern w:val="22"/>
          <w:szCs w:val="22"/>
        </w:rPr>
        <w:t xml:space="preserve"> </w:t>
      </w:r>
      <w:r w:rsidRPr="000D4DE4">
        <w:rPr>
          <w:snapToGrid w:val="0"/>
          <w:kern w:val="22"/>
          <w:szCs w:val="22"/>
        </w:rPr>
        <w:t xml:space="preserve">other Governments and relevant organizations to promote international cooperation, information sharing and capacity-building on risk assessment of living modified fish, and to make use of existing guidance materials, with a view to considering further guidance on living modified fish at its eleventh meeting, subject to the provisions of annex I </w:t>
      </w:r>
      <w:r w:rsidR="006957C0">
        <w:rPr>
          <w:snapToGrid w:val="0"/>
          <w:kern w:val="22"/>
          <w:szCs w:val="22"/>
        </w:rPr>
        <w:t>to</w:t>
      </w:r>
      <w:r w:rsidRPr="000D4DE4">
        <w:rPr>
          <w:snapToGrid w:val="0"/>
          <w:kern w:val="22"/>
          <w:szCs w:val="22"/>
        </w:rPr>
        <w:t xml:space="preserve"> decision CP-9/13;</w:t>
      </w:r>
    </w:p>
    <w:p w14:paraId="303A18FE" w14:textId="709BE217" w:rsidR="00DE6D01" w:rsidRPr="00635138" w:rsidRDefault="00DE6D01" w:rsidP="00DE6D01">
      <w:pPr>
        <w:suppressLineNumbers/>
        <w:suppressAutoHyphens/>
        <w:spacing w:before="120" w:after="120"/>
        <w:ind w:firstLine="720"/>
        <w:rPr>
          <w:snapToGrid w:val="0"/>
          <w:kern w:val="22"/>
          <w:szCs w:val="22"/>
        </w:rPr>
      </w:pPr>
      <w:r w:rsidRPr="00F44200">
        <w:rPr>
          <w:snapToGrid w:val="0"/>
          <w:kern w:val="22"/>
          <w:szCs w:val="22"/>
        </w:rPr>
        <w:t>5.</w:t>
      </w:r>
      <w:r w:rsidRPr="00F44200">
        <w:rPr>
          <w:snapToGrid w:val="0"/>
          <w:kern w:val="22"/>
          <w:szCs w:val="22"/>
        </w:rPr>
        <w:tab/>
      </w:r>
      <w:r w:rsidRPr="00F44200">
        <w:rPr>
          <w:i/>
          <w:iCs/>
          <w:snapToGrid w:val="0"/>
          <w:kern w:val="22"/>
          <w:szCs w:val="22"/>
        </w:rPr>
        <w:t>Endorses</w:t>
      </w:r>
      <w:r w:rsidRPr="00F44200">
        <w:rPr>
          <w:snapToGrid w:val="0"/>
          <w:kern w:val="22"/>
          <w:szCs w:val="22"/>
        </w:rPr>
        <w:t xml:space="preserve"> the recommendation of the Ad Hoc Technical Expert Group that additional voluntary guidance materials to support case-by-case risk assessment of living modified organisms containing engineered gene drives should be developed,</w:t>
      </w:r>
      <w:r w:rsidRPr="00F44200">
        <w:rPr>
          <w:snapToGrid w:val="0"/>
          <w:szCs w:val="18"/>
        </w:rPr>
        <w:t xml:space="preserve"> </w:t>
      </w:r>
      <w:r w:rsidRPr="00F44200">
        <w:rPr>
          <w:snapToGrid w:val="0"/>
          <w:kern w:val="22"/>
          <w:szCs w:val="22"/>
        </w:rPr>
        <w:t xml:space="preserve">and </w:t>
      </w:r>
      <w:r w:rsidRPr="00183069">
        <w:rPr>
          <w:snapToGrid w:val="0"/>
          <w:kern w:val="22"/>
          <w:szCs w:val="22"/>
        </w:rPr>
        <w:t>agrees</w:t>
      </w:r>
      <w:r w:rsidRPr="006957C0">
        <w:rPr>
          <w:snapToGrid w:val="0"/>
          <w:kern w:val="22"/>
          <w:szCs w:val="22"/>
        </w:rPr>
        <w:t xml:space="preserve"> to</w:t>
      </w:r>
      <w:r w:rsidRPr="00F44200">
        <w:rPr>
          <w:snapToGrid w:val="0"/>
          <w:kern w:val="22"/>
          <w:szCs w:val="22"/>
        </w:rPr>
        <w:t xml:space="preserve"> develop </w:t>
      </w:r>
      <w:r w:rsidRPr="00E25C75">
        <w:rPr>
          <w:snapToGrid w:val="0"/>
          <w:kern w:val="22"/>
          <w:szCs w:val="22"/>
        </w:rPr>
        <w:t xml:space="preserve">such additional voluntary guidance materials as per </w:t>
      </w:r>
      <w:r w:rsidR="00E25C75" w:rsidRPr="00183069">
        <w:rPr>
          <w:snapToGrid w:val="0"/>
          <w:kern w:val="22"/>
          <w:szCs w:val="22"/>
        </w:rPr>
        <w:t xml:space="preserve">the </w:t>
      </w:r>
      <w:r w:rsidRPr="00E25C75">
        <w:rPr>
          <w:snapToGrid w:val="0"/>
          <w:kern w:val="22"/>
          <w:szCs w:val="22"/>
        </w:rPr>
        <w:t xml:space="preserve">annex </w:t>
      </w:r>
      <w:r w:rsidR="00E25C75" w:rsidRPr="00183069">
        <w:rPr>
          <w:snapToGrid w:val="0"/>
          <w:kern w:val="22"/>
          <w:szCs w:val="22"/>
        </w:rPr>
        <w:t>below</w:t>
      </w:r>
      <w:r w:rsidRPr="00635138">
        <w:rPr>
          <w:snapToGrid w:val="0"/>
          <w:kern w:val="22"/>
          <w:szCs w:val="22"/>
        </w:rPr>
        <w:t>;</w:t>
      </w:r>
    </w:p>
    <w:p w14:paraId="3FDDA5A2" w14:textId="06ECC39C" w:rsidR="00DE6D01" w:rsidRPr="00635138" w:rsidRDefault="00DE6D01" w:rsidP="00DE6D01">
      <w:pPr>
        <w:spacing w:before="120" w:after="120"/>
        <w:ind w:firstLine="720"/>
        <w:rPr>
          <w:snapToGrid w:val="0"/>
          <w:kern w:val="22"/>
          <w:szCs w:val="22"/>
        </w:rPr>
      </w:pPr>
      <w:r w:rsidRPr="00635138">
        <w:rPr>
          <w:snapToGrid w:val="0"/>
          <w:kern w:val="22"/>
          <w:szCs w:val="22"/>
        </w:rPr>
        <w:t>6.</w:t>
      </w:r>
      <w:r w:rsidRPr="00635138">
        <w:rPr>
          <w:snapToGrid w:val="0"/>
          <w:kern w:val="22"/>
          <w:szCs w:val="22"/>
        </w:rPr>
        <w:tab/>
      </w:r>
      <w:r w:rsidRPr="00635138">
        <w:rPr>
          <w:i/>
          <w:iCs/>
          <w:snapToGrid w:val="0"/>
          <w:kern w:val="22"/>
          <w:szCs w:val="22"/>
        </w:rPr>
        <w:t xml:space="preserve">Decides </w:t>
      </w:r>
      <w:r w:rsidRPr="00635138">
        <w:rPr>
          <w:snapToGrid w:val="0"/>
          <w:kern w:val="22"/>
          <w:szCs w:val="22"/>
        </w:rPr>
        <w:t xml:space="preserve">to establish an </w:t>
      </w:r>
      <w:r w:rsidR="00550B0D" w:rsidRPr="00635138">
        <w:rPr>
          <w:snapToGrid w:val="0"/>
          <w:kern w:val="22"/>
          <w:szCs w:val="22"/>
        </w:rPr>
        <w:t>a</w:t>
      </w:r>
      <w:r w:rsidRPr="00635138">
        <w:rPr>
          <w:snapToGrid w:val="0"/>
          <w:kern w:val="22"/>
          <w:szCs w:val="22"/>
        </w:rPr>
        <w:t xml:space="preserve">d </w:t>
      </w:r>
      <w:r w:rsidR="00550B0D" w:rsidRPr="00635138">
        <w:rPr>
          <w:snapToGrid w:val="0"/>
          <w:kern w:val="22"/>
          <w:szCs w:val="22"/>
        </w:rPr>
        <w:t>h</w:t>
      </w:r>
      <w:r w:rsidRPr="00635138">
        <w:rPr>
          <w:snapToGrid w:val="0"/>
          <w:kern w:val="22"/>
          <w:szCs w:val="22"/>
        </w:rPr>
        <w:t xml:space="preserve">oc </w:t>
      </w:r>
      <w:r w:rsidR="00550B0D" w:rsidRPr="00635138">
        <w:rPr>
          <w:snapToGrid w:val="0"/>
          <w:kern w:val="22"/>
          <w:szCs w:val="22"/>
        </w:rPr>
        <w:t>t</w:t>
      </w:r>
      <w:r w:rsidRPr="00635138">
        <w:rPr>
          <w:snapToGrid w:val="0"/>
          <w:kern w:val="22"/>
          <w:szCs w:val="22"/>
        </w:rPr>
        <w:t xml:space="preserve">echnical </w:t>
      </w:r>
      <w:r w:rsidR="00550B0D" w:rsidRPr="00635138">
        <w:rPr>
          <w:snapToGrid w:val="0"/>
          <w:kern w:val="22"/>
          <w:szCs w:val="22"/>
        </w:rPr>
        <w:t>e</w:t>
      </w:r>
      <w:r w:rsidRPr="00635138">
        <w:rPr>
          <w:snapToGrid w:val="0"/>
          <w:kern w:val="22"/>
          <w:szCs w:val="22"/>
        </w:rPr>
        <w:t xml:space="preserve">xpert </w:t>
      </w:r>
      <w:r w:rsidR="00550B0D" w:rsidRPr="00635138">
        <w:rPr>
          <w:snapToGrid w:val="0"/>
          <w:kern w:val="22"/>
          <w:szCs w:val="22"/>
        </w:rPr>
        <w:t>g</w:t>
      </w:r>
      <w:r w:rsidRPr="00635138">
        <w:rPr>
          <w:snapToGrid w:val="0"/>
          <w:kern w:val="22"/>
          <w:szCs w:val="22"/>
        </w:rPr>
        <w:t xml:space="preserve">roup on </w:t>
      </w:r>
      <w:r w:rsidR="00550B0D" w:rsidRPr="00635138">
        <w:rPr>
          <w:snapToGrid w:val="0"/>
          <w:kern w:val="22"/>
          <w:szCs w:val="22"/>
        </w:rPr>
        <w:t>r</w:t>
      </w:r>
      <w:r w:rsidRPr="00635138">
        <w:rPr>
          <w:snapToGrid w:val="0"/>
          <w:kern w:val="22"/>
          <w:szCs w:val="22"/>
        </w:rPr>
        <w:t xml:space="preserve">isk </w:t>
      </w:r>
      <w:r w:rsidR="00550B0D" w:rsidRPr="00635138">
        <w:rPr>
          <w:snapToGrid w:val="0"/>
          <w:kern w:val="22"/>
          <w:szCs w:val="22"/>
        </w:rPr>
        <w:t>a</w:t>
      </w:r>
      <w:r w:rsidRPr="00635138">
        <w:rPr>
          <w:snapToGrid w:val="0"/>
          <w:kern w:val="22"/>
          <w:szCs w:val="22"/>
        </w:rPr>
        <w:t>ssessment that will work according to the terms of reference annexed hereto;</w:t>
      </w:r>
    </w:p>
    <w:p w14:paraId="35281E21" w14:textId="291D94DF" w:rsidR="00DE6D01" w:rsidRPr="0066265F" w:rsidRDefault="00DE6D01" w:rsidP="00DE6D01">
      <w:pPr>
        <w:suppressLineNumbers/>
        <w:suppressAutoHyphens/>
        <w:spacing w:before="120" w:after="120"/>
        <w:ind w:firstLine="720"/>
        <w:rPr>
          <w:snapToGrid w:val="0"/>
          <w:kern w:val="22"/>
          <w:szCs w:val="22"/>
        </w:rPr>
      </w:pPr>
      <w:r w:rsidRPr="00635138">
        <w:rPr>
          <w:snapToGrid w:val="0"/>
          <w:kern w:val="22"/>
          <w:szCs w:val="22"/>
        </w:rPr>
        <w:t>7.</w:t>
      </w:r>
      <w:r w:rsidRPr="00635138">
        <w:rPr>
          <w:snapToGrid w:val="0"/>
          <w:kern w:val="22"/>
          <w:szCs w:val="22"/>
        </w:rPr>
        <w:tab/>
      </w:r>
      <w:r w:rsidRPr="00635138">
        <w:rPr>
          <w:i/>
          <w:iCs/>
          <w:snapToGrid w:val="0"/>
          <w:kern w:val="22"/>
          <w:szCs w:val="22"/>
        </w:rPr>
        <w:t xml:space="preserve">Invites </w:t>
      </w:r>
      <w:r w:rsidRPr="00635138">
        <w:rPr>
          <w:snapToGrid w:val="0"/>
          <w:kern w:val="22"/>
          <w:szCs w:val="22"/>
        </w:rPr>
        <w:t>Parties, other Governments, indigenous peoples and local communities and relevant organizations to submit to the Executive Secretary information relevant to the work of the Ad Hoc Technical Expert Group</w:t>
      </w:r>
      <w:r w:rsidR="008D7F1E" w:rsidRPr="00635138">
        <w:rPr>
          <w:snapToGrid w:val="0"/>
          <w:kern w:val="22"/>
          <w:szCs w:val="22"/>
        </w:rPr>
        <w:t xml:space="preserve"> on Risk Assessment</w:t>
      </w:r>
      <w:r w:rsidR="002C650F" w:rsidRPr="00635138">
        <w:rPr>
          <w:snapToGrid w:val="0"/>
          <w:kern w:val="22"/>
          <w:szCs w:val="22"/>
        </w:rPr>
        <w:t xml:space="preserve"> established </w:t>
      </w:r>
      <w:r w:rsidR="006A0F3C" w:rsidRPr="00635138">
        <w:rPr>
          <w:snapToGrid w:val="0"/>
          <w:kern w:val="22"/>
          <w:szCs w:val="22"/>
        </w:rPr>
        <w:t>in</w:t>
      </w:r>
      <w:r w:rsidR="002C650F" w:rsidRPr="00635138">
        <w:rPr>
          <w:snapToGrid w:val="0"/>
          <w:kern w:val="22"/>
          <w:szCs w:val="22"/>
        </w:rPr>
        <w:t xml:space="preserve"> paragraph</w:t>
      </w:r>
      <w:r w:rsidR="00802A6B" w:rsidRPr="00635138">
        <w:rPr>
          <w:snapToGrid w:val="0"/>
          <w:kern w:val="22"/>
          <w:szCs w:val="22"/>
        </w:rPr>
        <w:t xml:space="preserve"> 6 </w:t>
      </w:r>
      <w:r w:rsidR="006A0F3C" w:rsidRPr="00635138">
        <w:rPr>
          <w:snapToGrid w:val="0"/>
          <w:kern w:val="22"/>
          <w:szCs w:val="22"/>
        </w:rPr>
        <w:t>above</w:t>
      </w:r>
      <w:r w:rsidRPr="00635138">
        <w:rPr>
          <w:snapToGrid w:val="0"/>
          <w:kern w:val="22"/>
          <w:szCs w:val="22"/>
        </w:rPr>
        <w:t>;</w:t>
      </w:r>
    </w:p>
    <w:p w14:paraId="5F18AF81" w14:textId="757EF154" w:rsidR="00DE6D01" w:rsidRPr="0066265F" w:rsidRDefault="00DE6D01" w:rsidP="00DE6D01">
      <w:pPr>
        <w:suppressLineNumbers/>
        <w:suppressAutoHyphens/>
        <w:spacing w:before="120" w:after="120"/>
        <w:ind w:firstLine="720"/>
        <w:rPr>
          <w:snapToGrid w:val="0"/>
          <w:kern w:val="22"/>
          <w:szCs w:val="22"/>
        </w:rPr>
      </w:pPr>
      <w:r w:rsidRPr="0066265F">
        <w:rPr>
          <w:snapToGrid w:val="0"/>
          <w:kern w:val="22"/>
          <w:szCs w:val="22"/>
        </w:rPr>
        <w:t>8.</w:t>
      </w:r>
      <w:r w:rsidRPr="0066265F">
        <w:rPr>
          <w:snapToGrid w:val="0"/>
          <w:kern w:val="22"/>
          <w:szCs w:val="22"/>
        </w:rPr>
        <w:tab/>
      </w:r>
      <w:r w:rsidRPr="0066265F">
        <w:rPr>
          <w:i/>
          <w:iCs/>
          <w:snapToGrid w:val="0"/>
          <w:kern w:val="22"/>
          <w:szCs w:val="22"/>
        </w:rPr>
        <w:t>Invites</w:t>
      </w:r>
      <w:r w:rsidRPr="0066265F">
        <w:rPr>
          <w:snapToGrid w:val="0"/>
          <w:kern w:val="22"/>
          <w:szCs w:val="22"/>
        </w:rPr>
        <w:t xml:space="preserve"> Parties to also submit information on their needs and priorities for further guidance materials on specific topics of risk assessment of living modified organisms, including a rationale following the criteria set out in decision CP-9/13, annex I;</w:t>
      </w:r>
    </w:p>
    <w:p w14:paraId="5111C7B2" w14:textId="77777777" w:rsidR="00DE6D01" w:rsidRPr="00F44200" w:rsidRDefault="00DE6D01" w:rsidP="00DE6D01">
      <w:pPr>
        <w:suppressLineNumbers/>
        <w:suppressAutoHyphens/>
        <w:spacing w:before="120" w:after="120"/>
        <w:ind w:firstLine="720"/>
        <w:rPr>
          <w:snapToGrid w:val="0"/>
          <w:kern w:val="22"/>
          <w:szCs w:val="22"/>
        </w:rPr>
      </w:pPr>
      <w:r w:rsidRPr="0066265F">
        <w:rPr>
          <w:snapToGrid w:val="0"/>
          <w:kern w:val="22"/>
          <w:szCs w:val="22"/>
        </w:rPr>
        <w:t>9.</w:t>
      </w:r>
      <w:r w:rsidRPr="0066265F">
        <w:rPr>
          <w:snapToGrid w:val="0"/>
          <w:kern w:val="22"/>
          <w:szCs w:val="22"/>
        </w:rPr>
        <w:tab/>
      </w:r>
      <w:r w:rsidRPr="00BE601E">
        <w:rPr>
          <w:i/>
          <w:iCs/>
          <w:snapToGrid w:val="0"/>
          <w:kern w:val="22"/>
          <w:szCs w:val="22"/>
        </w:rPr>
        <w:t>Calls</w:t>
      </w:r>
      <w:r w:rsidRPr="00183069">
        <w:rPr>
          <w:i/>
          <w:iCs/>
          <w:snapToGrid w:val="0"/>
          <w:kern w:val="22"/>
          <w:szCs w:val="22"/>
        </w:rPr>
        <w:t xml:space="preserve"> upon</w:t>
      </w:r>
      <w:r w:rsidRPr="0066265F">
        <w:rPr>
          <w:snapToGrid w:val="0"/>
          <w:kern w:val="22"/>
          <w:szCs w:val="22"/>
        </w:rPr>
        <w:t xml:space="preserve"> Parties, other Governments and relevant organizations to continue to disseminate information and share experiences, especially through the Biosafety </w:t>
      </w:r>
      <w:proofErr w:type="gramStart"/>
      <w:r w:rsidRPr="0066265F">
        <w:rPr>
          <w:snapToGrid w:val="0"/>
          <w:kern w:val="22"/>
          <w:szCs w:val="22"/>
        </w:rPr>
        <w:t>Clearing-House</w:t>
      </w:r>
      <w:proofErr w:type="gramEnd"/>
      <w:r w:rsidRPr="0066265F">
        <w:rPr>
          <w:snapToGrid w:val="0"/>
          <w:kern w:val="22"/>
          <w:szCs w:val="22"/>
        </w:rPr>
        <w:t>, that are useful for risk assessments of living modified organisms</w:t>
      </w:r>
      <w:r w:rsidRPr="00341293">
        <w:rPr>
          <w:snapToGrid w:val="0"/>
          <w:kern w:val="22"/>
          <w:szCs w:val="22"/>
        </w:rPr>
        <w:t>, including living modified fish and organisms containing engineered gene drives;</w:t>
      </w:r>
    </w:p>
    <w:p w14:paraId="3226DDB8" w14:textId="77777777" w:rsidR="00DE6D01" w:rsidRPr="00F44200" w:rsidRDefault="00DE6D01" w:rsidP="00DE6D01">
      <w:pPr>
        <w:suppressLineNumbers/>
        <w:suppressAutoHyphens/>
        <w:spacing w:before="120" w:after="120"/>
        <w:ind w:firstLine="720"/>
        <w:rPr>
          <w:snapToGrid w:val="0"/>
          <w:kern w:val="22"/>
          <w:szCs w:val="22"/>
        </w:rPr>
      </w:pPr>
      <w:r w:rsidRPr="00F44200">
        <w:rPr>
          <w:snapToGrid w:val="0"/>
          <w:kern w:val="22"/>
          <w:szCs w:val="22"/>
        </w:rPr>
        <w:t>1</w:t>
      </w:r>
      <w:r>
        <w:rPr>
          <w:snapToGrid w:val="0"/>
          <w:kern w:val="22"/>
          <w:szCs w:val="22"/>
        </w:rPr>
        <w:t>0</w:t>
      </w:r>
      <w:r w:rsidRPr="00F44200">
        <w:rPr>
          <w:snapToGrid w:val="0"/>
          <w:kern w:val="22"/>
          <w:szCs w:val="22"/>
        </w:rPr>
        <w:t>.</w:t>
      </w:r>
      <w:r w:rsidRPr="00F44200">
        <w:rPr>
          <w:snapToGrid w:val="0"/>
          <w:kern w:val="22"/>
          <w:szCs w:val="22"/>
        </w:rPr>
        <w:tab/>
      </w:r>
      <w:r w:rsidRPr="00F44200">
        <w:rPr>
          <w:i/>
          <w:iCs/>
          <w:snapToGrid w:val="0"/>
          <w:kern w:val="22"/>
          <w:szCs w:val="22"/>
        </w:rPr>
        <w:t xml:space="preserve">Requests </w:t>
      </w:r>
      <w:r w:rsidRPr="00F44200">
        <w:rPr>
          <w:snapToGrid w:val="0"/>
          <w:kern w:val="22"/>
          <w:szCs w:val="22"/>
        </w:rPr>
        <w:t>the Executive Secretary:</w:t>
      </w:r>
    </w:p>
    <w:p w14:paraId="18149E75" w14:textId="4418E9F3" w:rsidR="00DE6D01" w:rsidRPr="00F44200" w:rsidRDefault="00DE6D01" w:rsidP="00DE6D01">
      <w:pPr>
        <w:suppressLineNumbers/>
        <w:suppressAutoHyphens/>
        <w:spacing w:before="120" w:after="120"/>
        <w:ind w:firstLine="720"/>
        <w:rPr>
          <w:snapToGrid w:val="0"/>
          <w:kern w:val="22"/>
          <w:szCs w:val="22"/>
        </w:rPr>
      </w:pPr>
      <w:r>
        <w:rPr>
          <w:snapToGrid w:val="0"/>
          <w:kern w:val="22"/>
          <w:szCs w:val="22"/>
        </w:rPr>
        <w:t>(a)</w:t>
      </w:r>
      <w:r>
        <w:rPr>
          <w:snapToGrid w:val="0"/>
          <w:kern w:val="22"/>
          <w:szCs w:val="22"/>
        </w:rPr>
        <w:tab/>
      </w:r>
      <w:r w:rsidRPr="009A2481">
        <w:rPr>
          <w:snapToGrid w:val="0"/>
          <w:kern w:val="22"/>
          <w:szCs w:val="22"/>
        </w:rPr>
        <w:t>To co</w:t>
      </w:r>
      <w:r>
        <w:rPr>
          <w:snapToGrid w:val="0"/>
          <w:kern w:val="22"/>
          <w:szCs w:val="22"/>
        </w:rPr>
        <w:t>mmission</w:t>
      </w:r>
      <w:r w:rsidRPr="009A2481">
        <w:rPr>
          <w:snapToGrid w:val="0"/>
          <w:kern w:val="22"/>
          <w:szCs w:val="22"/>
        </w:rPr>
        <w:t xml:space="preserve">, subject to the availability of resources and </w:t>
      </w:r>
      <w:r w:rsidRPr="00F0075A">
        <w:rPr>
          <w:snapToGrid w:val="0"/>
          <w:kern w:val="22"/>
          <w:szCs w:val="22"/>
        </w:rPr>
        <w:t xml:space="preserve">applying decision 14/33 on the procedure for avoiding or managing conflicts of interest in expert groups, the preparation of detailed outline of additional guidance materials on risk assessment of living modified organisms containing engineered gene drives to be reviewed by the online forum as a base for the work of the Ad Hoc Technical Expert </w:t>
      </w:r>
      <w:proofErr w:type="gramStart"/>
      <w:r w:rsidRPr="00F0075A">
        <w:rPr>
          <w:snapToGrid w:val="0"/>
          <w:kern w:val="22"/>
          <w:szCs w:val="22"/>
        </w:rPr>
        <w:t>Group;</w:t>
      </w:r>
      <w:proofErr w:type="gramEnd"/>
    </w:p>
    <w:p w14:paraId="6A0FB456" w14:textId="77777777" w:rsidR="00DE6D01" w:rsidRPr="00F44200" w:rsidRDefault="00DE6D01" w:rsidP="00DE6D01">
      <w:pPr>
        <w:suppressLineNumbers/>
        <w:tabs>
          <w:tab w:val="left" w:pos="1440"/>
        </w:tabs>
        <w:suppressAutoHyphens/>
        <w:spacing w:before="120" w:after="120"/>
        <w:ind w:firstLine="720"/>
        <w:rPr>
          <w:snapToGrid w:val="0"/>
          <w:kern w:val="22"/>
          <w:szCs w:val="22"/>
        </w:rPr>
      </w:pPr>
      <w:r w:rsidRPr="00F44200">
        <w:rPr>
          <w:snapToGrid w:val="0"/>
          <w:kern w:val="22"/>
          <w:szCs w:val="22"/>
        </w:rPr>
        <w:t>(b)</w:t>
      </w:r>
      <w:r w:rsidRPr="00F44200">
        <w:rPr>
          <w:snapToGrid w:val="0"/>
          <w:kern w:val="22"/>
          <w:szCs w:val="22"/>
        </w:rPr>
        <w:tab/>
        <w:t xml:space="preserve">To convene online discussions of the Online Forum on Risk Assessment and Risk Management to review an outline of the additional voluntary guidance materials and to support the work of the Ad Hoc Technical Expert </w:t>
      </w:r>
      <w:proofErr w:type="gramStart"/>
      <w:r w:rsidRPr="00F44200">
        <w:rPr>
          <w:snapToGrid w:val="0"/>
          <w:kern w:val="22"/>
          <w:szCs w:val="22"/>
        </w:rPr>
        <w:t>Group;</w:t>
      </w:r>
      <w:bookmarkStart w:id="1" w:name="_Hlk69990939"/>
      <w:proofErr w:type="gramEnd"/>
    </w:p>
    <w:p w14:paraId="77862C2B" w14:textId="77777777" w:rsidR="00DE6D01" w:rsidRPr="00F44200" w:rsidRDefault="00DE6D01" w:rsidP="00DE6D01">
      <w:pPr>
        <w:suppressLineNumbers/>
        <w:tabs>
          <w:tab w:val="left" w:pos="1440"/>
        </w:tabs>
        <w:suppressAutoHyphens/>
        <w:spacing w:before="120" w:after="120"/>
        <w:ind w:firstLine="720"/>
        <w:rPr>
          <w:snapToGrid w:val="0"/>
          <w:kern w:val="22"/>
          <w:szCs w:val="22"/>
        </w:rPr>
      </w:pPr>
      <w:r w:rsidRPr="00F44200">
        <w:rPr>
          <w:snapToGrid w:val="0"/>
          <w:kern w:val="22"/>
          <w:szCs w:val="22"/>
        </w:rPr>
        <w:t>(c)</w:t>
      </w:r>
      <w:r w:rsidRPr="00F44200">
        <w:rPr>
          <w:snapToGrid w:val="0"/>
          <w:kern w:val="22"/>
          <w:szCs w:val="22"/>
        </w:rPr>
        <w:tab/>
        <w:t xml:space="preserve">To collect and synthesize relevant information to facilitate the work of the Online Forum and the Ad Hoc Technical Expert </w:t>
      </w:r>
      <w:proofErr w:type="gramStart"/>
      <w:r w:rsidRPr="00F44200">
        <w:rPr>
          <w:snapToGrid w:val="0"/>
          <w:kern w:val="22"/>
          <w:szCs w:val="22"/>
        </w:rPr>
        <w:t>Group;</w:t>
      </w:r>
      <w:proofErr w:type="gramEnd"/>
    </w:p>
    <w:bookmarkEnd w:id="1"/>
    <w:p w14:paraId="71596128" w14:textId="7DF39D75" w:rsidR="00DE6D01" w:rsidRPr="00F44200" w:rsidRDefault="00DE6D01" w:rsidP="00DE6D01">
      <w:pPr>
        <w:suppressLineNumbers/>
        <w:tabs>
          <w:tab w:val="left" w:pos="1440"/>
        </w:tabs>
        <w:suppressAutoHyphens/>
        <w:spacing w:before="120" w:after="120"/>
        <w:ind w:firstLine="720"/>
        <w:rPr>
          <w:snapToGrid w:val="0"/>
          <w:kern w:val="22"/>
          <w:szCs w:val="22"/>
        </w:rPr>
      </w:pPr>
      <w:r w:rsidRPr="00F44200">
        <w:rPr>
          <w:snapToGrid w:val="0"/>
          <w:kern w:val="22"/>
          <w:szCs w:val="22"/>
        </w:rPr>
        <w:t>(d)</w:t>
      </w:r>
      <w:r w:rsidRPr="00F44200">
        <w:rPr>
          <w:snapToGrid w:val="0"/>
          <w:kern w:val="22"/>
          <w:szCs w:val="22"/>
        </w:rPr>
        <w:tab/>
        <w:t xml:space="preserve">To </w:t>
      </w:r>
      <w:r w:rsidRPr="00EA0FF5">
        <w:rPr>
          <w:snapToGrid w:val="0"/>
          <w:kern w:val="22"/>
          <w:szCs w:val="22"/>
        </w:rPr>
        <w:t>synthesize the views referred</w:t>
      </w:r>
      <w:r w:rsidRPr="00F44200">
        <w:rPr>
          <w:snapToGrid w:val="0"/>
          <w:kern w:val="22"/>
          <w:szCs w:val="22"/>
        </w:rPr>
        <w:t xml:space="preserve"> </w:t>
      </w:r>
      <w:r w:rsidRPr="003B2047">
        <w:rPr>
          <w:snapToGrid w:val="0"/>
          <w:kern w:val="22"/>
          <w:szCs w:val="22"/>
        </w:rPr>
        <w:t xml:space="preserve">to in paragraphs </w:t>
      </w:r>
      <w:r w:rsidR="003B2047" w:rsidRPr="003B2047">
        <w:rPr>
          <w:snapToGrid w:val="0"/>
          <w:kern w:val="22"/>
          <w:szCs w:val="22"/>
        </w:rPr>
        <w:t>7</w:t>
      </w:r>
      <w:r w:rsidRPr="003B2047">
        <w:rPr>
          <w:snapToGrid w:val="0"/>
          <w:kern w:val="22"/>
          <w:szCs w:val="22"/>
        </w:rPr>
        <w:t xml:space="preserve"> and </w:t>
      </w:r>
      <w:r w:rsidR="003B2047" w:rsidRPr="003B2047">
        <w:rPr>
          <w:snapToGrid w:val="0"/>
          <w:kern w:val="22"/>
          <w:szCs w:val="22"/>
        </w:rPr>
        <w:t>8</w:t>
      </w:r>
      <w:r w:rsidRPr="003B2047">
        <w:rPr>
          <w:snapToGrid w:val="0"/>
          <w:kern w:val="22"/>
          <w:szCs w:val="22"/>
        </w:rPr>
        <w:t xml:space="preserve"> above and</w:t>
      </w:r>
      <w:r w:rsidRPr="00F44200">
        <w:rPr>
          <w:snapToGrid w:val="0"/>
          <w:kern w:val="22"/>
          <w:szCs w:val="22"/>
        </w:rPr>
        <w:t xml:space="preserve"> the discussions of the Online Forum and make them available to the Ad Hoc Technical Expert </w:t>
      </w:r>
      <w:proofErr w:type="gramStart"/>
      <w:r w:rsidRPr="00F44200">
        <w:rPr>
          <w:snapToGrid w:val="0"/>
          <w:kern w:val="22"/>
          <w:szCs w:val="22"/>
        </w:rPr>
        <w:t>Group;</w:t>
      </w:r>
      <w:proofErr w:type="gramEnd"/>
    </w:p>
    <w:p w14:paraId="0CF13F55" w14:textId="2C50788F" w:rsidR="00DE6D01" w:rsidRPr="00F44200" w:rsidRDefault="00DE6D01" w:rsidP="00DE6D01">
      <w:pPr>
        <w:suppressLineNumbers/>
        <w:tabs>
          <w:tab w:val="left" w:pos="1440"/>
        </w:tabs>
        <w:suppressAutoHyphens/>
        <w:spacing w:before="120" w:after="120"/>
        <w:ind w:firstLine="720"/>
        <w:rPr>
          <w:snapToGrid w:val="0"/>
          <w:kern w:val="22"/>
          <w:szCs w:val="22"/>
        </w:rPr>
      </w:pPr>
      <w:r w:rsidRPr="00F44200">
        <w:rPr>
          <w:snapToGrid w:val="0"/>
          <w:kern w:val="22"/>
          <w:szCs w:val="22"/>
        </w:rPr>
        <w:t>(e)</w:t>
      </w:r>
      <w:r w:rsidRPr="00F44200">
        <w:rPr>
          <w:snapToGrid w:val="0"/>
          <w:kern w:val="22"/>
          <w:szCs w:val="22"/>
        </w:rPr>
        <w:tab/>
        <w:t>To convene, subject to the availability of resources, two meetings of the Ad Hoc Technical Expert Group on Risk Assessment, with at least one of the meetings as a face-to-face</w:t>
      </w:r>
      <w:r w:rsidR="00076D0B">
        <w:rPr>
          <w:snapToGrid w:val="0"/>
          <w:kern w:val="22"/>
          <w:szCs w:val="22"/>
        </w:rPr>
        <w:t xml:space="preserve"> meeting</w:t>
      </w:r>
      <w:r w:rsidRPr="00F44200">
        <w:rPr>
          <w:snapToGrid w:val="0"/>
          <w:kern w:val="22"/>
          <w:szCs w:val="22"/>
        </w:rPr>
        <w:t>;</w:t>
      </w:r>
      <w:r w:rsidRPr="00183069">
        <w:rPr>
          <w:snapToGrid w:val="0"/>
          <w:kern w:val="22"/>
          <w:szCs w:val="28"/>
          <w:vertAlign w:val="superscript"/>
        </w:rPr>
        <w:footnoteReference w:id="3"/>
      </w:r>
    </w:p>
    <w:p w14:paraId="1E1766D7" w14:textId="5CFB1CD1" w:rsidR="00DE6D01" w:rsidRPr="00F44200" w:rsidRDefault="00DE6D01" w:rsidP="00DE6D01">
      <w:pPr>
        <w:suppressLineNumbers/>
        <w:suppressAutoHyphens/>
        <w:spacing w:before="120" w:after="120"/>
        <w:ind w:firstLine="720"/>
        <w:rPr>
          <w:snapToGrid w:val="0"/>
          <w:kern w:val="22"/>
          <w:szCs w:val="22"/>
        </w:rPr>
      </w:pPr>
      <w:r w:rsidRPr="00F44200">
        <w:rPr>
          <w:snapToGrid w:val="0"/>
          <w:kern w:val="22"/>
          <w:szCs w:val="22"/>
        </w:rPr>
        <w:t>(f)</w:t>
      </w:r>
      <w:r w:rsidRPr="00F44200">
        <w:rPr>
          <w:snapToGrid w:val="0"/>
          <w:kern w:val="22"/>
          <w:szCs w:val="22"/>
        </w:rPr>
        <w:tab/>
        <w:t>To facilitate the process of identification and prioritization of specific issues of risk assessment of living modified organisms that may warrant consideration, as established in paragraph</w:t>
      </w:r>
      <w:r w:rsidR="001F186F">
        <w:rPr>
          <w:snapToGrid w:val="0"/>
          <w:kern w:val="22"/>
          <w:szCs w:val="22"/>
        </w:rPr>
        <w:t> </w:t>
      </w:r>
      <w:r w:rsidRPr="00F44200">
        <w:rPr>
          <w:snapToGrid w:val="0"/>
          <w:kern w:val="22"/>
          <w:szCs w:val="22"/>
        </w:rPr>
        <w:t xml:space="preserve">6 of decision CP-9/13, by making information submitted by Parties on issues identified in accordance with annex I </w:t>
      </w:r>
      <w:r w:rsidR="00B353A3">
        <w:rPr>
          <w:snapToGrid w:val="0"/>
          <w:kern w:val="22"/>
          <w:szCs w:val="22"/>
        </w:rPr>
        <w:t>to</w:t>
      </w:r>
      <w:r w:rsidRPr="00F44200">
        <w:rPr>
          <w:snapToGrid w:val="0"/>
          <w:kern w:val="22"/>
          <w:szCs w:val="22"/>
        </w:rPr>
        <w:t xml:space="preserve"> the same decision, as well as information useful for the risk assessment of those topics, available through a dedicated web page within the Biosafety Clearing-</w:t>
      </w:r>
      <w:proofErr w:type="gramStart"/>
      <w:r w:rsidRPr="00F44200">
        <w:rPr>
          <w:snapToGrid w:val="0"/>
          <w:kern w:val="22"/>
          <w:szCs w:val="22"/>
        </w:rPr>
        <w:t>House;</w:t>
      </w:r>
      <w:proofErr w:type="gramEnd"/>
    </w:p>
    <w:p w14:paraId="02D0FA1C" w14:textId="77777777" w:rsidR="00DE6D01" w:rsidRPr="00F44200" w:rsidRDefault="00DE6D01" w:rsidP="00DE6D01">
      <w:pPr>
        <w:spacing w:before="120" w:after="120"/>
        <w:ind w:firstLine="720"/>
        <w:rPr>
          <w:snapToGrid w:val="0"/>
        </w:rPr>
      </w:pPr>
      <w:r w:rsidRPr="00F44200">
        <w:rPr>
          <w:snapToGrid w:val="0"/>
          <w:kern w:val="22"/>
          <w:szCs w:val="22"/>
        </w:rPr>
        <w:t>(g)</w:t>
      </w:r>
      <w:r w:rsidRPr="00F44200">
        <w:rPr>
          <w:snapToGrid w:val="0"/>
          <w:kern w:val="22"/>
          <w:szCs w:val="22"/>
        </w:rPr>
        <w:tab/>
        <w:t xml:space="preserve">To ensure the full and effective participation of indigenous peoples and local communities in the discussions and in the work on risk assessment under the Cartagena </w:t>
      </w:r>
      <w:proofErr w:type="gramStart"/>
      <w:r w:rsidRPr="00F44200">
        <w:rPr>
          <w:snapToGrid w:val="0"/>
          <w:kern w:val="22"/>
          <w:szCs w:val="22"/>
        </w:rPr>
        <w:t>Protocol;</w:t>
      </w:r>
      <w:proofErr w:type="gramEnd"/>
    </w:p>
    <w:p w14:paraId="2617B9E6" w14:textId="77777777" w:rsidR="00DE6D01" w:rsidRPr="00F44200" w:rsidRDefault="00DE6D01" w:rsidP="00DE6D01">
      <w:pPr>
        <w:suppressLineNumbers/>
        <w:suppressAutoHyphens/>
        <w:spacing w:before="120" w:after="120"/>
        <w:ind w:firstLine="720"/>
        <w:rPr>
          <w:snapToGrid w:val="0"/>
          <w:kern w:val="22"/>
          <w:szCs w:val="22"/>
        </w:rPr>
      </w:pPr>
      <w:r w:rsidRPr="00F44200">
        <w:rPr>
          <w:snapToGrid w:val="0"/>
          <w:kern w:val="22"/>
          <w:szCs w:val="22"/>
        </w:rPr>
        <w:lastRenderedPageBreak/>
        <w:t>(h)</w:t>
      </w:r>
      <w:r w:rsidRPr="00F44200">
        <w:rPr>
          <w:snapToGrid w:val="0"/>
          <w:kern w:val="22"/>
          <w:szCs w:val="22"/>
        </w:rPr>
        <w:tab/>
        <w:t xml:space="preserve">To explore ways to facilitate and support capacity-building and knowledge-sharing and technology transfer regarding risk assessment and risk management of living modified </w:t>
      </w:r>
      <w:proofErr w:type="gramStart"/>
      <w:r w:rsidRPr="00F44200">
        <w:rPr>
          <w:snapToGrid w:val="0"/>
          <w:kern w:val="22"/>
          <w:szCs w:val="22"/>
        </w:rPr>
        <w:t>organisms;</w:t>
      </w:r>
      <w:proofErr w:type="gramEnd"/>
    </w:p>
    <w:p w14:paraId="77436919" w14:textId="77777777" w:rsidR="00DE6D01" w:rsidRPr="00F44200" w:rsidRDefault="00DE6D01" w:rsidP="00DE6D01">
      <w:pPr>
        <w:suppressLineNumbers/>
        <w:suppressAutoHyphens/>
        <w:spacing w:before="120" w:after="120"/>
        <w:ind w:firstLine="720"/>
        <w:rPr>
          <w:snapToGrid w:val="0"/>
          <w:kern w:val="22"/>
          <w:szCs w:val="22"/>
        </w:rPr>
      </w:pPr>
      <w:r w:rsidRPr="00F44200">
        <w:rPr>
          <w:snapToGrid w:val="0"/>
          <w:kern w:val="22"/>
          <w:szCs w:val="22"/>
        </w:rPr>
        <w:t>(</w:t>
      </w:r>
      <w:proofErr w:type="spellStart"/>
      <w:r w:rsidRPr="00F44200">
        <w:rPr>
          <w:snapToGrid w:val="0"/>
          <w:kern w:val="22"/>
          <w:szCs w:val="22"/>
        </w:rPr>
        <w:t>i</w:t>
      </w:r>
      <w:proofErr w:type="spellEnd"/>
      <w:r w:rsidRPr="00F44200">
        <w:rPr>
          <w:snapToGrid w:val="0"/>
          <w:kern w:val="22"/>
          <w:szCs w:val="22"/>
        </w:rPr>
        <w:t>)</w:t>
      </w:r>
      <w:r w:rsidRPr="00F44200">
        <w:rPr>
          <w:snapToGrid w:val="0"/>
          <w:kern w:val="22"/>
          <w:szCs w:val="22"/>
        </w:rPr>
        <w:tab/>
        <w:t xml:space="preserve">To provide dedicated web pages in the Biosafety </w:t>
      </w:r>
      <w:proofErr w:type="gramStart"/>
      <w:r w:rsidRPr="00F44200">
        <w:rPr>
          <w:snapToGrid w:val="0"/>
          <w:kern w:val="22"/>
          <w:szCs w:val="22"/>
        </w:rPr>
        <w:t>Clearing-House</w:t>
      </w:r>
      <w:proofErr w:type="gramEnd"/>
      <w:r w:rsidRPr="00F44200" w:rsidDel="006C5DC7">
        <w:rPr>
          <w:snapToGrid w:val="0"/>
          <w:kern w:val="22"/>
          <w:szCs w:val="22"/>
        </w:rPr>
        <w:t xml:space="preserve"> </w:t>
      </w:r>
      <w:r w:rsidRPr="00F44200">
        <w:rPr>
          <w:snapToGrid w:val="0"/>
          <w:kern w:val="22"/>
          <w:szCs w:val="22"/>
        </w:rPr>
        <w:t>to facilitate easy access and raise awareness of available information that is relevant for risk assessment of living modified organisms, including living modified fish and organisms containing engineered gene drives;</w:t>
      </w:r>
    </w:p>
    <w:p w14:paraId="7023CBEE" w14:textId="189162C2" w:rsidR="00DE6D01" w:rsidRPr="00F44200" w:rsidRDefault="00DE6D01" w:rsidP="00DE6D01">
      <w:pPr>
        <w:suppressLineNumbers/>
        <w:suppressAutoHyphens/>
        <w:spacing w:before="120" w:after="120"/>
        <w:ind w:firstLine="720"/>
        <w:rPr>
          <w:snapToGrid w:val="0"/>
          <w:kern w:val="22"/>
          <w:szCs w:val="22"/>
        </w:rPr>
      </w:pPr>
      <w:r w:rsidRPr="00A03BA0">
        <w:rPr>
          <w:snapToGrid w:val="0"/>
          <w:kern w:val="22"/>
          <w:szCs w:val="22"/>
        </w:rPr>
        <w:t>11.</w:t>
      </w:r>
      <w:r w:rsidRPr="00A03BA0">
        <w:rPr>
          <w:snapToGrid w:val="0"/>
          <w:kern w:val="22"/>
          <w:szCs w:val="22"/>
        </w:rPr>
        <w:tab/>
      </w:r>
      <w:r w:rsidRPr="00A03BA0">
        <w:rPr>
          <w:i/>
          <w:iCs/>
          <w:snapToGrid w:val="0"/>
          <w:kern w:val="22"/>
          <w:szCs w:val="22"/>
        </w:rPr>
        <w:t>Requests</w:t>
      </w:r>
      <w:r w:rsidRPr="00A03BA0">
        <w:rPr>
          <w:snapToGrid w:val="0"/>
          <w:kern w:val="22"/>
          <w:szCs w:val="22"/>
        </w:rPr>
        <w:t xml:space="preserve"> the Subsidiary Body on Scientific, Technical and Technological Advice to consider the outcomes of the Ad Hoc Technical Expert Group on Risk Assessment </w:t>
      </w:r>
      <w:r w:rsidR="00557B3E" w:rsidRPr="00A03BA0">
        <w:rPr>
          <w:snapToGrid w:val="0"/>
          <w:kern w:val="22"/>
          <w:szCs w:val="22"/>
        </w:rPr>
        <w:t xml:space="preserve">at its twenty-sixth meeting </w:t>
      </w:r>
      <w:r w:rsidRPr="00A03BA0">
        <w:rPr>
          <w:snapToGrid w:val="0"/>
          <w:kern w:val="22"/>
          <w:szCs w:val="22"/>
        </w:rPr>
        <w:t xml:space="preserve">and </w:t>
      </w:r>
      <w:r w:rsidR="00557B3E" w:rsidRPr="00A03BA0">
        <w:rPr>
          <w:snapToGrid w:val="0"/>
          <w:kern w:val="22"/>
          <w:szCs w:val="22"/>
        </w:rPr>
        <w:t xml:space="preserve">to </w:t>
      </w:r>
      <w:r w:rsidRPr="00A03BA0">
        <w:rPr>
          <w:snapToGrid w:val="0"/>
          <w:kern w:val="22"/>
          <w:szCs w:val="22"/>
        </w:rPr>
        <w:t xml:space="preserve">make a recommendation for consideration by the Conference of the Parties serving as the meeting of the Parties to the Cartagena Protocol at its eleventh </w:t>
      </w:r>
      <w:proofErr w:type="gramStart"/>
      <w:r w:rsidRPr="00A03BA0">
        <w:rPr>
          <w:snapToGrid w:val="0"/>
          <w:kern w:val="22"/>
          <w:szCs w:val="22"/>
        </w:rPr>
        <w:t>meeting;</w:t>
      </w:r>
      <w:proofErr w:type="gramEnd"/>
    </w:p>
    <w:p w14:paraId="28536060" w14:textId="2CE30B36" w:rsidR="00DE6D01" w:rsidRPr="00F44200" w:rsidRDefault="00DE6D01" w:rsidP="00DE6D01">
      <w:pPr>
        <w:keepNext/>
        <w:suppressLineNumbers/>
        <w:suppressAutoHyphens/>
        <w:spacing w:before="120" w:after="120"/>
        <w:ind w:firstLine="720"/>
        <w:rPr>
          <w:snapToGrid w:val="0"/>
          <w:kern w:val="22"/>
          <w:szCs w:val="22"/>
        </w:rPr>
      </w:pPr>
      <w:r w:rsidRPr="00F44200">
        <w:rPr>
          <w:snapToGrid w:val="0"/>
          <w:kern w:val="22"/>
          <w:szCs w:val="22"/>
        </w:rPr>
        <w:t>1</w:t>
      </w:r>
      <w:r>
        <w:rPr>
          <w:snapToGrid w:val="0"/>
          <w:kern w:val="22"/>
          <w:szCs w:val="22"/>
        </w:rPr>
        <w:t>2</w:t>
      </w:r>
      <w:r w:rsidRPr="00F44200">
        <w:rPr>
          <w:snapToGrid w:val="0"/>
          <w:kern w:val="22"/>
          <w:szCs w:val="22"/>
        </w:rPr>
        <w:t>.</w:t>
      </w:r>
      <w:r w:rsidRPr="00F44200">
        <w:rPr>
          <w:snapToGrid w:val="0"/>
          <w:kern w:val="22"/>
          <w:szCs w:val="22"/>
        </w:rPr>
        <w:tab/>
      </w:r>
      <w:r w:rsidRPr="00F44200">
        <w:rPr>
          <w:i/>
          <w:iCs/>
          <w:snapToGrid w:val="0"/>
          <w:kern w:val="22"/>
          <w:szCs w:val="22"/>
        </w:rPr>
        <w:t>Decide</w:t>
      </w:r>
      <w:r w:rsidRPr="00F44200">
        <w:rPr>
          <w:snapToGrid w:val="0"/>
          <w:kern w:val="22"/>
          <w:szCs w:val="22"/>
        </w:rPr>
        <w:t xml:space="preserve">s to consider, at its eleventh meeting, additional issues on which guidance materials on risk assessment may be needed, further to the process for the identification and prioritization of specific issues of risk assessment of living modified organisms established in decision CP-9/13, taking into account priorities identified by Parties pursuant to paragraph </w:t>
      </w:r>
      <w:r>
        <w:rPr>
          <w:snapToGrid w:val="0"/>
          <w:kern w:val="22"/>
          <w:szCs w:val="22"/>
        </w:rPr>
        <w:t>8</w:t>
      </w:r>
      <w:r w:rsidRPr="00F44200">
        <w:rPr>
          <w:snapToGrid w:val="0"/>
          <w:kern w:val="22"/>
          <w:szCs w:val="22"/>
        </w:rPr>
        <w:t xml:space="preserve"> above and the report of the Ad Hoc Technical Expert Group as per paragraph </w:t>
      </w:r>
      <w:r w:rsidRPr="007E712A">
        <w:rPr>
          <w:snapToGrid w:val="0"/>
          <w:kern w:val="22"/>
          <w:szCs w:val="22"/>
        </w:rPr>
        <w:t>1</w:t>
      </w:r>
      <w:r w:rsidR="007E712A" w:rsidRPr="007E712A">
        <w:rPr>
          <w:snapToGrid w:val="0"/>
          <w:kern w:val="22"/>
          <w:szCs w:val="22"/>
        </w:rPr>
        <w:t> </w:t>
      </w:r>
      <w:r w:rsidRPr="007E712A">
        <w:rPr>
          <w:snapToGrid w:val="0"/>
          <w:kern w:val="22"/>
          <w:szCs w:val="22"/>
        </w:rPr>
        <w:t>(</w:t>
      </w:r>
      <w:r w:rsidR="00EB03C6" w:rsidRPr="007E712A">
        <w:rPr>
          <w:snapToGrid w:val="0"/>
          <w:kern w:val="22"/>
          <w:szCs w:val="22"/>
        </w:rPr>
        <w:t>e</w:t>
      </w:r>
      <w:r w:rsidRPr="007E712A">
        <w:rPr>
          <w:snapToGrid w:val="0"/>
          <w:kern w:val="22"/>
          <w:szCs w:val="22"/>
        </w:rPr>
        <w:t>) of</w:t>
      </w:r>
      <w:r w:rsidRPr="00F44200">
        <w:rPr>
          <w:snapToGrid w:val="0"/>
          <w:kern w:val="22"/>
          <w:szCs w:val="22"/>
        </w:rPr>
        <w:t xml:space="preserve"> its terms of reference.</w:t>
      </w:r>
    </w:p>
    <w:p w14:paraId="4E2BEA69" w14:textId="77777777" w:rsidR="00BB7FEE" w:rsidRDefault="00BB7FEE">
      <w:pPr>
        <w:jc w:val="left"/>
        <w:rPr>
          <w:i/>
          <w:iCs/>
          <w:snapToGrid w:val="0"/>
          <w:kern w:val="22"/>
          <w:szCs w:val="22"/>
        </w:rPr>
      </w:pPr>
      <w:bookmarkStart w:id="2" w:name="_Toc118383073"/>
      <w:r>
        <w:rPr>
          <w:i/>
          <w:iCs/>
          <w:snapToGrid w:val="0"/>
          <w:kern w:val="22"/>
          <w:szCs w:val="22"/>
        </w:rPr>
        <w:br w:type="page"/>
      </w:r>
    </w:p>
    <w:p w14:paraId="21A5008B" w14:textId="242C2FA1" w:rsidR="00DE6D01" w:rsidRPr="00D26A9A" w:rsidRDefault="00DE6D01" w:rsidP="005E273A">
      <w:pPr>
        <w:keepNext/>
        <w:suppressLineNumbers/>
        <w:suppressAutoHyphens/>
        <w:spacing w:before="240" w:after="120"/>
        <w:jc w:val="center"/>
        <w:outlineLvl w:val="2"/>
        <w:rPr>
          <w:i/>
          <w:iCs/>
          <w:snapToGrid w:val="0"/>
          <w:kern w:val="22"/>
          <w:szCs w:val="22"/>
        </w:rPr>
      </w:pPr>
      <w:r w:rsidRPr="00D26A9A">
        <w:rPr>
          <w:i/>
          <w:iCs/>
          <w:snapToGrid w:val="0"/>
          <w:kern w:val="22"/>
          <w:szCs w:val="22"/>
        </w:rPr>
        <w:lastRenderedPageBreak/>
        <w:t>Annex</w:t>
      </w:r>
      <w:bookmarkEnd w:id="2"/>
    </w:p>
    <w:p w14:paraId="52129AC7" w14:textId="77777777" w:rsidR="00DE6D01" w:rsidRPr="00D26A9A" w:rsidRDefault="00DE6D01" w:rsidP="00183069">
      <w:pPr>
        <w:keepNext/>
        <w:tabs>
          <w:tab w:val="left" w:pos="720"/>
        </w:tabs>
        <w:spacing w:before="240" w:after="120"/>
        <w:jc w:val="center"/>
        <w:rPr>
          <w:b/>
          <w:caps/>
          <w:szCs w:val="22"/>
        </w:rPr>
      </w:pPr>
      <w:bookmarkStart w:id="3" w:name="_Toc118383074"/>
      <w:r w:rsidRPr="00D26A9A">
        <w:rPr>
          <w:b/>
          <w:caps/>
          <w:szCs w:val="22"/>
        </w:rPr>
        <w:t>Terms of reference for the Ad Hoc Technical Expert Group on Risk Assessment</w:t>
      </w:r>
      <w:bookmarkEnd w:id="3"/>
    </w:p>
    <w:p w14:paraId="2EC8ACAB" w14:textId="77777777" w:rsidR="00DE6D01" w:rsidRPr="00D26A9A" w:rsidRDefault="00DE6D01" w:rsidP="00DE6D01">
      <w:pPr>
        <w:keepNext/>
        <w:suppressLineNumbers/>
        <w:suppressAutoHyphens/>
        <w:spacing w:before="120" w:after="120"/>
        <w:rPr>
          <w:snapToGrid w:val="0"/>
          <w:kern w:val="22"/>
          <w:szCs w:val="22"/>
        </w:rPr>
      </w:pPr>
      <w:r w:rsidRPr="00D26A9A">
        <w:rPr>
          <w:snapToGrid w:val="0"/>
          <w:kern w:val="22"/>
          <w:szCs w:val="22"/>
        </w:rPr>
        <w:t>1.</w:t>
      </w:r>
      <w:r w:rsidRPr="00D26A9A">
        <w:rPr>
          <w:snapToGrid w:val="0"/>
          <w:kern w:val="22"/>
          <w:szCs w:val="22"/>
        </w:rPr>
        <w:tab/>
        <w:t>The Ad Hoc Technical Expert Group (Group) on Risk Assessment shall:</w:t>
      </w:r>
    </w:p>
    <w:p w14:paraId="6394F6EF" w14:textId="1C865A8F" w:rsidR="00DE6D01" w:rsidRPr="00D26A9A" w:rsidRDefault="00DE6D01" w:rsidP="00DE6D01">
      <w:pPr>
        <w:keepNext/>
        <w:suppressLineNumbers/>
        <w:suppressAutoHyphens/>
        <w:spacing w:before="120" w:after="120"/>
        <w:ind w:firstLine="720"/>
        <w:rPr>
          <w:kern w:val="22"/>
          <w:szCs w:val="22"/>
        </w:rPr>
      </w:pPr>
      <w:r w:rsidRPr="00D26A9A">
        <w:rPr>
          <w:kern w:val="22"/>
          <w:szCs w:val="22"/>
        </w:rPr>
        <w:t>(a)</w:t>
      </w:r>
      <w:r w:rsidRPr="00D26A9A">
        <w:rPr>
          <w:kern w:val="22"/>
          <w:szCs w:val="22"/>
        </w:rPr>
        <w:tab/>
        <w:t>Be composed of experts</w:t>
      </w:r>
      <w:r w:rsidRPr="00D26A9A">
        <w:rPr>
          <w:b/>
          <w:bCs/>
          <w:kern w:val="22"/>
          <w:szCs w:val="22"/>
        </w:rPr>
        <w:t xml:space="preserve"> </w:t>
      </w:r>
      <w:r w:rsidRPr="00D26A9A">
        <w:rPr>
          <w:kern w:val="22"/>
          <w:szCs w:val="22"/>
        </w:rPr>
        <w:t>selected in accordance with section H of the consolidated modus operandi of the Subsidiary Body on Scientific, Technical and Technological Advice, ensuring specific scientific and technical expertise on organisms containing engineered gene drives and their potential effects on biodiversity as well as on issues relevant to the mandate of the Group, and including experts from relevant international organizations,</w:t>
      </w:r>
      <w:r w:rsidRPr="00D26A9A">
        <w:rPr>
          <w:kern w:val="22"/>
          <w:szCs w:val="22"/>
          <w:vertAlign w:val="superscript"/>
        </w:rPr>
        <w:footnoteReference w:id="4"/>
      </w:r>
      <w:r w:rsidRPr="00D26A9A">
        <w:rPr>
          <w:kern w:val="22"/>
          <w:szCs w:val="22"/>
        </w:rPr>
        <w:t xml:space="preserve"> as well as from indigenous peoples and local communities, and applying</w:t>
      </w:r>
      <w:r w:rsidRPr="00D26A9A">
        <w:rPr>
          <w:szCs w:val="22"/>
        </w:rPr>
        <w:t xml:space="preserve"> </w:t>
      </w:r>
      <w:r w:rsidRPr="00D26A9A">
        <w:rPr>
          <w:kern w:val="22"/>
          <w:szCs w:val="22"/>
        </w:rPr>
        <w:t>decision 14/33 on the procedure for avoiding or managing conflicts of interest in expert groups;</w:t>
      </w:r>
    </w:p>
    <w:p w14:paraId="64D20E5B" w14:textId="21FD278B" w:rsidR="00DE6D01" w:rsidRPr="00D26A9A" w:rsidRDefault="00DE6D01" w:rsidP="00DE6D01">
      <w:pPr>
        <w:spacing w:before="120" w:after="120"/>
        <w:ind w:firstLine="720"/>
        <w:rPr>
          <w:kern w:val="22"/>
          <w:szCs w:val="22"/>
        </w:rPr>
      </w:pPr>
      <w:r w:rsidRPr="00D26A9A">
        <w:rPr>
          <w:kern w:val="22"/>
          <w:szCs w:val="22"/>
        </w:rPr>
        <w:t>(</w:t>
      </w:r>
      <w:r>
        <w:rPr>
          <w:kern w:val="22"/>
          <w:szCs w:val="22"/>
        </w:rPr>
        <w:t>b</w:t>
      </w:r>
      <w:r w:rsidRPr="00D26A9A">
        <w:rPr>
          <w:kern w:val="22"/>
          <w:szCs w:val="22"/>
        </w:rPr>
        <w:t>)</w:t>
      </w:r>
      <w:r w:rsidRPr="00D26A9A">
        <w:rPr>
          <w:kern w:val="22"/>
          <w:szCs w:val="22"/>
        </w:rPr>
        <w:tab/>
        <w:t xml:space="preserve">Meet twice, subject to the availability of funds and prior to the eleventh meeting of the Conference of the Parties serving as the meeting of the Parties to the Cartagena Protocol on Biosafety, with at least one of the meetings being face-to-face, and perform necessary tasks between its two meetings supported by online means of communication and </w:t>
      </w:r>
      <w:proofErr w:type="gramStart"/>
      <w:r w:rsidRPr="00D26A9A">
        <w:rPr>
          <w:kern w:val="22"/>
          <w:szCs w:val="22"/>
        </w:rPr>
        <w:t>engagement;</w:t>
      </w:r>
      <w:proofErr w:type="gramEnd"/>
    </w:p>
    <w:p w14:paraId="697DA999" w14:textId="78692CC3" w:rsidR="00DE6D01" w:rsidRDefault="00DE6D01" w:rsidP="00DE6D01">
      <w:pPr>
        <w:suppressLineNumbers/>
        <w:suppressAutoHyphens/>
        <w:spacing w:before="120" w:after="120"/>
        <w:ind w:firstLine="720"/>
        <w:rPr>
          <w:kern w:val="22"/>
          <w:szCs w:val="22"/>
        </w:rPr>
      </w:pPr>
      <w:bookmarkStart w:id="4" w:name="_Hlk69979570"/>
      <w:bookmarkStart w:id="5" w:name="_Hlk67401664"/>
      <w:r w:rsidRPr="00D26A9A">
        <w:rPr>
          <w:kern w:val="22"/>
          <w:szCs w:val="22"/>
        </w:rPr>
        <w:t>(</w:t>
      </w:r>
      <w:r>
        <w:rPr>
          <w:kern w:val="22"/>
          <w:szCs w:val="22"/>
        </w:rPr>
        <w:t>c</w:t>
      </w:r>
      <w:r w:rsidRPr="00D26A9A">
        <w:rPr>
          <w:kern w:val="22"/>
          <w:szCs w:val="22"/>
        </w:rPr>
        <w:t>)</w:t>
      </w:r>
      <w:r w:rsidRPr="00D26A9A">
        <w:rPr>
          <w:kern w:val="22"/>
          <w:szCs w:val="22"/>
        </w:rPr>
        <w:tab/>
        <w:t xml:space="preserve">Develop additional voluntary guidance materials for conducting case-by-case risk assessments of living modified organisms containing engineered gene drives in accordance </w:t>
      </w:r>
      <w:r w:rsidRPr="00EA38AB">
        <w:rPr>
          <w:kern w:val="22"/>
          <w:szCs w:val="22"/>
        </w:rPr>
        <w:t xml:space="preserve">with </w:t>
      </w:r>
      <w:r w:rsidR="00D81B26" w:rsidRPr="00EA38AB">
        <w:rPr>
          <w:kern w:val="22"/>
          <w:szCs w:val="22"/>
        </w:rPr>
        <w:t>A</w:t>
      </w:r>
      <w:r w:rsidRPr="00EA38AB">
        <w:rPr>
          <w:kern w:val="22"/>
          <w:szCs w:val="22"/>
        </w:rPr>
        <w:t>nnex</w:t>
      </w:r>
      <w:r w:rsidR="00D81B26">
        <w:rPr>
          <w:kern w:val="22"/>
          <w:szCs w:val="22"/>
        </w:rPr>
        <w:t> </w:t>
      </w:r>
      <w:r w:rsidRPr="00D26A9A">
        <w:rPr>
          <w:kern w:val="22"/>
          <w:szCs w:val="22"/>
        </w:rPr>
        <w:t xml:space="preserve">III </w:t>
      </w:r>
      <w:r w:rsidR="00D81B26">
        <w:rPr>
          <w:kern w:val="22"/>
          <w:szCs w:val="22"/>
        </w:rPr>
        <w:t>to</w:t>
      </w:r>
      <w:r w:rsidRPr="00D26A9A">
        <w:rPr>
          <w:kern w:val="22"/>
          <w:szCs w:val="22"/>
        </w:rPr>
        <w:t xml:space="preserve"> the Protocol. A specific focus of this material should be engineered gene drive mosquitos taking into account the current experience with the organism, the type of gene drive and specific issues of risk assessment, identified in annex I </w:t>
      </w:r>
      <w:r>
        <w:rPr>
          <w:kern w:val="22"/>
          <w:szCs w:val="22"/>
        </w:rPr>
        <w:t>to</w:t>
      </w:r>
      <w:r w:rsidRPr="00D26A9A">
        <w:rPr>
          <w:kern w:val="22"/>
          <w:szCs w:val="22"/>
        </w:rPr>
        <w:t xml:space="preserve"> decision CP-9/13, including existing reports</w:t>
      </w:r>
      <w:r>
        <w:rPr>
          <w:kern w:val="22"/>
          <w:szCs w:val="22"/>
        </w:rPr>
        <w:t>,</w:t>
      </w:r>
      <w:r w:rsidRPr="00D26A9A">
        <w:rPr>
          <w:rStyle w:val="FootnoteReference"/>
          <w:kern w:val="22"/>
          <w:szCs w:val="22"/>
        </w:rPr>
        <w:footnoteReference w:id="5"/>
      </w:r>
      <w:r w:rsidRPr="00D26A9A">
        <w:rPr>
          <w:kern w:val="22"/>
          <w:szCs w:val="22"/>
        </w:rPr>
        <w:t xml:space="preserve"> general considerations of living modified organisms containing engineered gene drives, and existing national and regional risk assessment </w:t>
      </w:r>
      <w:proofErr w:type="gramStart"/>
      <w:r w:rsidRPr="00D26A9A">
        <w:rPr>
          <w:kern w:val="22"/>
          <w:szCs w:val="22"/>
        </w:rPr>
        <w:t>experiences</w:t>
      </w:r>
      <w:r w:rsidR="00F74D8D">
        <w:rPr>
          <w:kern w:val="22"/>
          <w:szCs w:val="22"/>
        </w:rPr>
        <w:t>;</w:t>
      </w:r>
      <w:proofErr w:type="gramEnd"/>
    </w:p>
    <w:bookmarkEnd w:id="4"/>
    <w:bookmarkEnd w:id="5"/>
    <w:p w14:paraId="14E04C0B" w14:textId="5CCB25E2" w:rsidR="00DE6D01" w:rsidRPr="00D26A9A" w:rsidRDefault="00DE6D01" w:rsidP="00DE6D01">
      <w:pPr>
        <w:suppressLineNumbers/>
        <w:suppressAutoHyphens/>
        <w:spacing w:before="120" w:after="120"/>
        <w:ind w:firstLine="720"/>
        <w:rPr>
          <w:kern w:val="22"/>
          <w:szCs w:val="22"/>
        </w:rPr>
      </w:pPr>
      <w:r w:rsidRPr="00D26A9A">
        <w:rPr>
          <w:kern w:val="22"/>
          <w:szCs w:val="22"/>
        </w:rPr>
        <w:t>(</w:t>
      </w:r>
      <w:r>
        <w:rPr>
          <w:kern w:val="22"/>
          <w:szCs w:val="22"/>
        </w:rPr>
        <w:t>d</w:t>
      </w:r>
      <w:r w:rsidRPr="00D26A9A">
        <w:rPr>
          <w:kern w:val="22"/>
          <w:szCs w:val="22"/>
        </w:rPr>
        <w:t>)</w:t>
      </w:r>
      <w:r w:rsidRPr="00D26A9A">
        <w:rPr>
          <w:kern w:val="22"/>
          <w:szCs w:val="22"/>
        </w:rPr>
        <w:tab/>
        <w:t xml:space="preserve">Analyse the information submitted by Parties </w:t>
      </w:r>
      <w:r w:rsidRPr="00E45D11">
        <w:rPr>
          <w:kern w:val="22"/>
          <w:szCs w:val="22"/>
        </w:rPr>
        <w:t xml:space="preserve">as per </w:t>
      </w:r>
      <w:r w:rsidRPr="00F0075A">
        <w:rPr>
          <w:kern w:val="22"/>
          <w:szCs w:val="22"/>
        </w:rPr>
        <w:t xml:space="preserve">paragraph 8 </w:t>
      </w:r>
      <w:r w:rsidR="00A64456" w:rsidRPr="00F0075A">
        <w:rPr>
          <w:kern w:val="22"/>
          <w:szCs w:val="22"/>
        </w:rPr>
        <w:t>of decision CP-10/10</w:t>
      </w:r>
      <w:r w:rsidR="00056691" w:rsidRPr="00F0075A">
        <w:rPr>
          <w:kern w:val="22"/>
          <w:szCs w:val="22"/>
        </w:rPr>
        <w:t xml:space="preserve">, </w:t>
      </w:r>
      <w:r w:rsidRPr="00F0075A">
        <w:rPr>
          <w:kern w:val="22"/>
          <w:szCs w:val="22"/>
        </w:rPr>
        <w:t xml:space="preserve">and, on the basis of this, prepare a list of prioritized topics on which further guidance materials on risk assessment may be needed according to criteria in decision CP-9/13, annex </w:t>
      </w:r>
      <w:proofErr w:type="gramStart"/>
      <w:r w:rsidRPr="00F0075A">
        <w:rPr>
          <w:kern w:val="22"/>
          <w:szCs w:val="22"/>
        </w:rPr>
        <w:t>I;</w:t>
      </w:r>
      <w:proofErr w:type="gramEnd"/>
    </w:p>
    <w:p w14:paraId="7BD20654" w14:textId="75E73E55" w:rsidR="00DE6D01" w:rsidRPr="00D26A9A" w:rsidRDefault="00DE6D01" w:rsidP="00DE6D01">
      <w:pPr>
        <w:suppressLineNumbers/>
        <w:suppressAutoHyphens/>
        <w:spacing w:before="120" w:after="120"/>
        <w:ind w:firstLine="720"/>
        <w:rPr>
          <w:kern w:val="22"/>
          <w:szCs w:val="22"/>
        </w:rPr>
      </w:pPr>
      <w:r w:rsidRPr="00D26A9A">
        <w:rPr>
          <w:kern w:val="22"/>
          <w:szCs w:val="22"/>
        </w:rPr>
        <w:t>(</w:t>
      </w:r>
      <w:r>
        <w:rPr>
          <w:kern w:val="22"/>
          <w:szCs w:val="22"/>
        </w:rPr>
        <w:t>e</w:t>
      </w:r>
      <w:r w:rsidRPr="00D26A9A">
        <w:rPr>
          <w:kern w:val="22"/>
          <w:szCs w:val="22"/>
        </w:rPr>
        <w:t>)</w:t>
      </w:r>
      <w:r w:rsidRPr="00D26A9A">
        <w:rPr>
          <w:kern w:val="22"/>
          <w:szCs w:val="22"/>
        </w:rPr>
        <w:tab/>
        <w:t>Prepare a report, including draft additional voluntary guidance materials on living modified organisms containing engineered gene drives and a list of prioritized topics as per paragraph (</w:t>
      </w:r>
      <w:r w:rsidR="00042542">
        <w:rPr>
          <w:kern w:val="22"/>
          <w:szCs w:val="22"/>
        </w:rPr>
        <w:t>d</w:t>
      </w:r>
      <w:r w:rsidRPr="00D26A9A">
        <w:rPr>
          <w:kern w:val="22"/>
          <w:szCs w:val="22"/>
        </w:rPr>
        <w:t>) above, on which further guidance materials on risk assessment may be needed, for consideration by the Subsidiary Body on Scientific, Technical and Technological Advice</w:t>
      </w:r>
      <w:r w:rsidR="00F74D8D">
        <w:rPr>
          <w:kern w:val="22"/>
          <w:szCs w:val="22"/>
        </w:rPr>
        <w:t>.</w:t>
      </w:r>
    </w:p>
    <w:p w14:paraId="4349B788" w14:textId="434BB429" w:rsidR="00DE6D01" w:rsidRPr="00D26A9A" w:rsidRDefault="00DE6D01" w:rsidP="00DE6D01">
      <w:pPr>
        <w:suppressLineNumbers/>
        <w:suppressAutoHyphens/>
        <w:spacing w:before="120" w:after="120"/>
        <w:rPr>
          <w:kern w:val="22"/>
          <w:szCs w:val="22"/>
        </w:rPr>
      </w:pPr>
      <w:r w:rsidRPr="00D26A9A">
        <w:rPr>
          <w:kern w:val="22"/>
          <w:szCs w:val="22"/>
        </w:rPr>
        <w:t>2.</w:t>
      </w:r>
      <w:r w:rsidRPr="00D26A9A">
        <w:rPr>
          <w:kern w:val="22"/>
          <w:szCs w:val="22"/>
        </w:rPr>
        <w:tab/>
        <w:t xml:space="preserve">In undertaking its work, the Group shall consider the synthesis of views from the submissions and discussions in </w:t>
      </w:r>
      <w:r w:rsidRPr="00545F76">
        <w:rPr>
          <w:kern w:val="22"/>
          <w:szCs w:val="22"/>
        </w:rPr>
        <w:t xml:space="preserve">the online forum prepared by the Executive Secretary, existing resources, including those identified in the stocktaking exercise of the “study on risk assessment: application of annex I </w:t>
      </w:r>
      <w:r w:rsidR="00B353A3" w:rsidRPr="00545F76">
        <w:rPr>
          <w:kern w:val="22"/>
          <w:szCs w:val="22"/>
        </w:rPr>
        <w:t>to</w:t>
      </w:r>
      <w:r w:rsidRPr="00545F76">
        <w:rPr>
          <w:kern w:val="22"/>
          <w:szCs w:val="22"/>
        </w:rPr>
        <w:t xml:space="preserve"> decision CP-9/13 to living modified organisms containing engineered gene drives”,</w:t>
      </w:r>
      <w:r w:rsidRPr="00545F76">
        <w:rPr>
          <w:kern w:val="22"/>
          <w:szCs w:val="22"/>
          <w:vertAlign w:val="superscript"/>
        </w:rPr>
        <w:footnoteReference w:id="6"/>
      </w:r>
      <w:r w:rsidRPr="00545F76">
        <w:rPr>
          <w:kern w:val="22"/>
          <w:szCs w:val="22"/>
        </w:rPr>
        <w:t xml:space="preserve"> guidance materials already available, relevant decisions on risk assessment and </w:t>
      </w:r>
      <w:r w:rsidRPr="00F0075A">
        <w:rPr>
          <w:kern w:val="22"/>
          <w:szCs w:val="22"/>
        </w:rPr>
        <w:t>risk management taken under the Cartagena Protocol on Biosafety and any other relevant information collected by the Executive Secretary further to paragraph</w:t>
      </w:r>
      <w:r w:rsidR="00C520BB" w:rsidRPr="00F0075A">
        <w:rPr>
          <w:kern w:val="22"/>
          <w:szCs w:val="22"/>
        </w:rPr>
        <w:t> </w:t>
      </w:r>
      <w:r w:rsidRPr="00F0075A">
        <w:rPr>
          <w:kern w:val="22"/>
          <w:szCs w:val="22"/>
        </w:rPr>
        <w:t>1</w:t>
      </w:r>
      <w:r w:rsidR="009D665D" w:rsidRPr="00F0075A">
        <w:rPr>
          <w:kern w:val="22"/>
          <w:szCs w:val="22"/>
        </w:rPr>
        <w:t>0</w:t>
      </w:r>
      <w:r w:rsidRPr="00F0075A">
        <w:rPr>
          <w:kern w:val="22"/>
          <w:szCs w:val="22"/>
        </w:rPr>
        <w:t> (c) of decision CP-10/</w:t>
      </w:r>
      <w:r w:rsidR="002573E6" w:rsidRPr="00183069">
        <w:rPr>
          <w:kern w:val="22"/>
          <w:szCs w:val="22"/>
        </w:rPr>
        <w:t>10</w:t>
      </w:r>
      <w:r w:rsidRPr="00F0075A">
        <w:rPr>
          <w:kern w:val="22"/>
          <w:szCs w:val="22"/>
        </w:rPr>
        <w:t>.</w:t>
      </w:r>
    </w:p>
    <w:p w14:paraId="5DEFF897" w14:textId="2450C603" w:rsidR="00BF0486" w:rsidRPr="00C9161D" w:rsidRDefault="00C9161D" w:rsidP="00183069">
      <w:pPr>
        <w:spacing w:before="120" w:after="120"/>
        <w:jc w:val="center"/>
      </w:pPr>
      <w:r w:rsidRPr="00C9161D">
        <w:t>______</w:t>
      </w:r>
      <w:r w:rsidR="002F6C4C">
        <w:t>____</w:t>
      </w:r>
    </w:p>
    <w:sectPr w:rsidR="00BF0486" w:rsidRPr="00C9161D" w:rsidSect="00183069">
      <w:headerReference w:type="even" r:id="rId15"/>
      <w:headerReference w:type="default" r:id="rId16"/>
      <w:pgSz w:w="12240" w:h="15840" w:code="1"/>
      <w:pgMar w:top="562" w:right="1440" w:bottom="113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DE2A4" w14:textId="77777777" w:rsidR="00643C69" w:rsidRDefault="00643C69" w:rsidP="00CF1848">
      <w:r>
        <w:separator/>
      </w:r>
    </w:p>
  </w:endnote>
  <w:endnote w:type="continuationSeparator" w:id="0">
    <w:p w14:paraId="071EF934" w14:textId="77777777" w:rsidR="00643C69" w:rsidRDefault="00643C6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7C734" w14:textId="77777777" w:rsidR="00643C69" w:rsidRDefault="00643C69" w:rsidP="00CF1848">
      <w:r>
        <w:separator/>
      </w:r>
    </w:p>
  </w:footnote>
  <w:footnote w:type="continuationSeparator" w:id="0">
    <w:p w14:paraId="46095490" w14:textId="77777777" w:rsidR="00643C69" w:rsidRDefault="00643C69" w:rsidP="00CF1848">
      <w:r>
        <w:continuationSeparator/>
      </w:r>
    </w:p>
  </w:footnote>
  <w:footnote w:id="1">
    <w:p w14:paraId="7E12AF59" w14:textId="77777777" w:rsidR="00DE6D01" w:rsidRPr="004C18F2" w:rsidRDefault="00DE6D01" w:rsidP="00DE6D01">
      <w:pPr>
        <w:pStyle w:val="FootnoteText"/>
        <w:suppressLineNumbers/>
        <w:suppressAutoHyphens/>
        <w:ind w:firstLine="0"/>
        <w:jc w:val="left"/>
        <w:rPr>
          <w:kern w:val="18"/>
          <w:szCs w:val="18"/>
        </w:rPr>
      </w:pPr>
      <w:r w:rsidRPr="00306ECF">
        <w:rPr>
          <w:rStyle w:val="FootnoteReference"/>
          <w:kern w:val="18"/>
          <w:sz w:val="18"/>
          <w:szCs w:val="18"/>
        </w:rPr>
        <w:footnoteRef/>
      </w:r>
      <w:r w:rsidRPr="004C18F2">
        <w:rPr>
          <w:kern w:val="18"/>
          <w:szCs w:val="18"/>
        </w:rPr>
        <w:t xml:space="preserve"> CBD/CP/RA/AHTEG/2020/1/5.</w:t>
      </w:r>
    </w:p>
  </w:footnote>
  <w:footnote w:id="2">
    <w:p w14:paraId="2DDDEC75" w14:textId="77777777" w:rsidR="00DE6D01" w:rsidRPr="00A632DF" w:rsidRDefault="00DE6D01" w:rsidP="00DE6D01">
      <w:pPr>
        <w:pStyle w:val="FootnoteText"/>
        <w:suppressLineNumbers/>
        <w:suppressAutoHyphens/>
        <w:ind w:firstLine="0"/>
        <w:jc w:val="left"/>
        <w:rPr>
          <w:kern w:val="18"/>
          <w:szCs w:val="18"/>
        </w:rPr>
      </w:pPr>
      <w:r w:rsidRPr="00306ECF">
        <w:rPr>
          <w:rStyle w:val="FootnoteReference"/>
          <w:kern w:val="18"/>
          <w:sz w:val="18"/>
          <w:szCs w:val="18"/>
        </w:rPr>
        <w:footnoteRef/>
      </w:r>
      <w:r w:rsidRPr="004C18F2">
        <w:rPr>
          <w:kern w:val="18"/>
          <w:szCs w:val="18"/>
        </w:rPr>
        <w:t xml:space="preserve"> See CBD/CP/RA/AHTEG/2020/1/5, annex I, sect. III.</w:t>
      </w:r>
    </w:p>
  </w:footnote>
  <w:footnote w:id="3">
    <w:p w14:paraId="35C5198C" w14:textId="77777777" w:rsidR="00DE6D01" w:rsidRPr="004C18F2" w:rsidRDefault="00DE6D01" w:rsidP="00DE6D01">
      <w:pPr>
        <w:pStyle w:val="FootnoteText"/>
        <w:suppressLineNumbers/>
        <w:suppressAutoHyphens/>
        <w:ind w:firstLine="0"/>
        <w:jc w:val="left"/>
        <w:rPr>
          <w:kern w:val="18"/>
          <w:szCs w:val="18"/>
        </w:rPr>
      </w:pPr>
      <w:r w:rsidRPr="00012331">
        <w:rPr>
          <w:rStyle w:val="FootnoteReference"/>
          <w:kern w:val="18"/>
          <w:sz w:val="18"/>
          <w:szCs w:val="18"/>
        </w:rPr>
        <w:footnoteRef/>
      </w:r>
      <w:r w:rsidRPr="004C18F2">
        <w:rPr>
          <w:kern w:val="18"/>
          <w:szCs w:val="18"/>
        </w:rPr>
        <w:t xml:space="preserve"> Depending on restrictions due to the pandemic situation.</w:t>
      </w:r>
    </w:p>
  </w:footnote>
  <w:footnote w:id="4">
    <w:p w14:paraId="6571EFEA" w14:textId="77777777" w:rsidR="00DE6D01" w:rsidRPr="004C18F2" w:rsidRDefault="00DE6D01" w:rsidP="00DE6D01">
      <w:pPr>
        <w:pStyle w:val="FootnoteText"/>
        <w:suppressLineNumbers/>
        <w:suppressAutoHyphens/>
        <w:spacing w:before="60"/>
        <w:ind w:firstLine="0"/>
        <w:jc w:val="left"/>
        <w:rPr>
          <w:kern w:val="18"/>
          <w:szCs w:val="18"/>
        </w:rPr>
      </w:pPr>
      <w:r w:rsidRPr="00EA0FF5">
        <w:rPr>
          <w:rStyle w:val="FootnoteReference"/>
          <w:kern w:val="22"/>
          <w:sz w:val="18"/>
          <w:szCs w:val="18"/>
        </w:rPr>
        <w:footnoteRef/>
      </w:r>
      <w:r w:rsidRPr="004C18F2">
        <w:rPr>
          <w:kern w:val="18"/>
          <w:szCs w:val="18"/>
        </w:rPr>
        <w:t xml:space="preserve"> Such as the World Trade Organization, the Intergovernmental Science-Policy Platform on Biodiversity and Ecosystem Services and the Food and Agriculture Organization of the United Nations.</w:t>
      </w:r>
    </w:p>
  </w:footnote>
  <w:footnote w:id="5">
    <w:p w14:paraId="5F0DDEF7" w14:textId="4CB61028" w:rsidR="00DE6D01" w:rsidRPr="00A83283" w:rsidRDefault="00DE6D01" w:rsidP="00DE6D01">
      <w:pPr>
        <w:pStyle w:val="FootnoteText"/>
        <w:ind w:firstLine="0"/>
        <w:rPr>
          <w:lang w:val="en-US"/>
        </w:rPr>
      </w:pPr>
      <w:r w:rsidRPr="00EA0FF5">
        <w:rPr>
          <w:rStyle w:val="FootnoteReference"/>
          <w:sz w:val="18"/>
          <w:szCs w:val="18"/>
        </w:rPr>
        <w:footnoteRef/>
      </w:r>
      <w:r w:rsidRPr="00B353A3">
        <w:rPr>
          <w:szCs w:val="18"/>
        </w:rPr>
        <w:t xml:space="preserve"> </w:t>
      </w:r>
      <w:r w:rsidR="00B353A3" w:rsidRPr="00B353A3">
        <w:rPr>
          <w:szCs w:val="18"/>
        </w:rPr>
        <w:t>I</w:t>
      </w:r>
      <w:r w:rsidRPr="00B353A3">
        <w:rPr>
          <w:kern w:val="18"/>
          <w:szCs w:val="18"/>
        </w:rPr>
        <w:t>nter alia</w:t>
      </w:r>
      <w:r w:rsidRPr="004C18F2">
        <w:rPr>
          <w:kern w:val="18"/>
          <w:szCs w:val="18"/>
        </w:rPr>
        <w:t xml:space="preserve"> the Perseus report commissioned by the Secretariat of the Convention on Biological </w:t>
      </w:r>
      <w:r w:rsidRPr="00B353A3">
        <w:rPr>
          <w:kern w:val="18"/>
          <w:szCs w:val="18"/>
        </w:rPr>
        <w:t>Diversity</w:t>
      </w:r>
      <w:r w:rsidR="00B353A3" w:rsidRPr="00B353A3">
        <w:rPr>
          <w:kern w:val="18"/>
          <w:szCs w:val="18"/>
        </w:rPr>
        <w:t>.</w:t>
      </w:r>
    </w:p>
  </w:footnote>
  <w:footnote w:id="6">
    <w:p w14:paraId="322F8658" w14:textId="77777777" w:rsidR="00DE6D01" w:rsidRPr="003457F0" w:rsidRDefault="00DE6D01" w:rsidP="00DE6D01">
      <w:pPr>
        <w:pStyle w:val="FootnoteText"/>
        <w:suppressLineNumbers/>
        <w:suppressAutoHyphens/>
        <w:spacing w:before="60"/>
        <w:ind w:firstLine="0"/>
        <w:jc w:val="left"/>
        <w:rPr>
          <w:kern w:val="18"/>
          <w:szCs w:val="18"/>
          <w:lang w:val="es-ES"/>
        </w:rPr>
      </w:pPr>
      <w:r w:rsidRPr="00F476E4">
        <w:rPr>
          <w:rStyle w:val="FootnoteReference"/>
          <w:kern w:val="22"/>
          <w:sz w:val="18"/>
          <w:szCs w:val="18"/>
        </w:rPr>
        <w:footnoteRef/>
      </w:r>
      <w:r w:rsidRPr="003457F0">
        <w:rPr>
          <w:kern w:val="18"/>
          <w:szCs w:val="18"/>
          <w:lang w:val="es-ES"/>
        </w:rPr>
        <w:t xml:space="preserve"> CBD/CP/RA/AHTEG/2020/1/4.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4DCBB1AC" w:rsidR="00534681" w:rsidRPr="00134846" w:rsidRDefault="00A37FBF" w:rsidP="00534681">
        <w:pPr>
          <w:pStyle w:val="Header"/>
          <w:rPr>
            <w:lang w:val="fr-FR"/>
          </w:rPr>
        </w:pPr>
        <w:r>
          <w:rPr>
            <w:lang w:val="fr-FR"/>
          </w:rPr>
          <w:t>CBD/CP/MOP/DEC/10/10</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0E2F6EB0" w:rsidR="009505C9" w:rsidRPr="00134846" w:rsidRDefault="00A37FBF" w:rsidP="009505C9">
        <w:pPr>
          <w:pStyle w:val="Header"/>
          <w:jc w:val="right"/>
          <w:rPr>
            <w:lang w:val="fr-FR"/>
          </w:rPr>
        </w:pPr>
        <w:r>
          <w:rPr>
            <w:lang w:val="fr-FR"/>
          </w:rPr>
          <w:t>CBD/CP/MOP/DEC/10/10</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599209">
    <w:abstractNumId w:val="3"/>
  </w:num>
  <w:num w:numId="2" w16cid:durableId="1224174971">
    <w:abstractNumId w:val="6"/>
  </w:num>
  <w:num w:numId="3" w16cid:durableId="220873736">
    <w:abstractNumId w:val="4"/>
  </w:num>
  <w:num w:numId="4" w16cid:durableId="872963234">
    <w:abstractNumId w:val="6"/>
  </w:num>
  <w:num w:numId="5" w16cid:durableId="248316498">
    <w:abstractNumId w:val="5"/>
  </w:num>
  <w:num w:numId="6" w16cid:durableId="237516617">
    <w:abstractNumId w:val="0"/>
  </w:num>
  <w:num w:numId="7" w16cid:durableId="805271806">
    <w:abstractNumId w:val="2"/>
  </w:num>
  <w:num w:numId="8" w16cid:durableId="1252936789">
    <w:abstractNumId w:val="4"/>
    <w:lvlOverride w:ilvl="0">
      <w:startOverride w:val="1"/>
    </w:lvlOverride>
  </w:num>
  <w:num w:numId="9" w16cid:durableId="2132167618">
    <w:abstractNumId w:val="9"/>
  </w:num>
  <w:num w:numId="10" w16cid:durableId="429929534">
    <w:abstractNumId w:val="4"/>
    <w:lvlOverride w:ilvl="0">
      <w:startOverride w:val="1"/>
    </w:lvlOverride>
  </w:num>
  <w:num w:numId="11" w16cid:durableId="1860195131">
    <w:abstractNumId w:val="4"/>
    <w:lvlOverride w:ilvl="0">
      <w:startOverride w:val="1"/>
    </w:lvlOverride>
  </w:num>
  <w:num w:numId="12" w16cid:durableId="1184052410">
    <w:abstractNumId w:val="4"/>
    <w:lvlOverride w:ilvl="0">
      <w:startOverride w:val="1"/>
    </w:lvlOverride>
  </w:num>
  <w:num w:numId="13" w16cid:durableId="1144929623">
    <w:abstractNumId w:val="4"/>
    <w:lvlOverride w:ilvl="0">
      <w:startOverride w:val="1"/>
    </w:lvlOverride>
  </w:num>
  <w:num w:numId="14" w16cid:durableId="1738165546">
    <w:abstractNumId w:val="8"/>
  </w:num>
  <w:num w:numId="15" w16cid:durableId="1176311754">
    <w:abstractNumId w:val="7"/>
  </w:num>
  <w:num w:numId="16" w16cid:durableId="114295695">
    <w:abstractNumId w:val="1"/>
  </w:num>
  <w:num w:numId="17" w16cid:durableId="27224643">
    <w:abstractNumId w:val="10"/>
  </w:num>
  <w:num w:numId="18" w16cid:durableId="1919902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2331"/>
    <w:rsid w:val="00020A25"/>
    <w:rsid w:val="00042542"/>
    <w:rsid w:val="00056691"/>
    <w:rsid w:val="0007171B"/>
    <w:rsid w:val="00072076"/>
    <w:rsid w:val="00076D0B"/>
    <w:rsid w:val="00082BEB"/>
    <w:rsid w:val="000A3B2A"/>
    <w:rsid w:val="000C5A64"/>
    <w:rsid w:val="000C64C2"/>
    <w:rsid w:val="000D4DE4"/>
    <w:rsid w:val="000E5F7F"/>
    <w:rsid w:val="000E673A"/>
    <w:rsid w:val="000F4574"/>
    <w:rsid w:val="000F74F5"/>
    <w:rsid w:val="00105372"/>
    <w:rsid w:val="00113ABD"/>
    <w:rsid w:val="00116908"/>
    <w:rsid w:val="00124E9D"/>
    <w:rsid w:val="001312AD"/>
    <w:rsid w:val="00131E7A"/>
    <w:rsid w:val="00134846"/>
    <w:rsid w:val="00135EB7"/>
    <w:rsid w:val="001368AF"/>
    <w:rsid w:val="0014649F"/>
    <w:rsid w:val="0015062A"/>
    <w:rsid w:val="00172AF6"/>
    <w:rsid w:val="00176CEE"/>
    <w:rsid w:val="00183069"/>
    <w:rsid w:val="00186DD8"/>
    <w:rsid w:val="001A7912"/>
    <w:rsid w:val="001B13FE"/>
    <w:rsid w:val="001B1EB9"/>
    <w:rsid w:val="001C6266"/>
    <w:rsid w:val="001F186F"/>
    <w:rsid w:val="00201591"/>
    <w:rsid w:val="00203FBD"/>
    <w:rsid w:val="002317AF"/>
    <w:rsid w:val="002573E6"/>
    <w:rsid w:val="0026188D"/>
    <w:rsid w:val="00286102"/>
    <w:rsid w:val="002C650F"/>
    <w:rsid w:val="002E0572"/>
    <w:rsid w:val="002F6C4C"/>
    <w:rsid w:val="0030169D"/>
    <w:rsid w:val="003060EB"/>
    <w:rsid w:val="00306ECF"/>
    <w:rsid w:val="00313EAB"/>
    <w:rsid w:val="003153EB"/>
    <w:rsid w:val="00321985"/>
    <w:rsid w:val="00341293"/>
    <w:rsid w:val="003457F0"/>
    <w:rsid w:val="00346902"/>
    <w:rsid w:val="003502C5"/>
    <w:rsid w:val="00351205"/>
    <w:rsid w:val="0036752E"/>
    <w:rsid w:val="00372F74"/>
    <w:rsid w:val="0039298A"/>
    <w:rsid w:val="00393363"/>
    <w:rsid w:val="003B2047"/>
    <w:rsid w:val="003B7BB2"/>
    <w:rsid w:val="003D1851"/>
    <w:rsid w:val="003F7224"/>
    <w:rsid w:val="00401431"/>
    <w:rsid w:val="004233CD"/>
    <w:rsid w:val="00427D21"/>
    <w:rsid w:val="00451805"/>
    <w:rsid w:val="004539AD"/>
    <w:rsid w:val="004617C5"/>
    <w:rsid w:val="004644C2"/>
    <w:rsid w:val="00467F9C"/>
    <w:rsid w:val="004909A4"/>
    <w:rsid w:val="004C18F2"/>
    <w:rsid w:val="0050082B"/>
    <w:rsid w:val="00507265"/>
    <w:rsid w:val="00513A21"/>
    <w:rsid w:val="005179C4"/>
    <w:rsid w:val="005335F4"/>
    <w:rsid w:val="00534681"/>
    <w:rsid w:val="0053500C"/>
    <w:rsid w:val="005378F1"/>
    <w:rsid w:val="00545F76"/>
    <w:rsid w:val="00550B0D"/>
    <w:rsid w:val="005570C1"/>
    <w:rsid w:val="00557B3E"/>
    <w:rsid w:val="00563442"/>
    <w:rsid w:val="00565B42"/>
    <w:rsid w:val="005B2660"/>
    <w:rsid w:val="005B2ABF"/>
    <w:rsid w:val="005B4ADC"/>
    <w:rsid w:val="005C4CE6"/>
    <w:rsid w:val="005D665F"/>
    <w:rsid w:val="005E0ED3"/>
    <w:rsid w:val="005E273A"/>
    <w:rsid w:val="005F325D"/>
    <w:rsid w:val="006122BA"/>
    <w:rsid w:val="0061793F"/>
    <w:rsid w:val="00623711"/>
    <w:rsid w:val="00635138"/>
    <w:rsid w:val="0063588C"/>
    <w:rsid w:val="00643C69"/>
    <w:rsid w:val="0066265F"/>
    <w:rsid w:val="00666476"/>
    <w:rsid w:val="0067182B"/>
    <w:rsid w:val="00677773"/>
    <w:rsid w:val="00685270"/>
    <w:rsid w:val="006928BB"/>
    <w:rsid w:val="006957C0"/>
    <w:rsid w:val="006A0F3C"/>
    <w:rsid w:val="006A662D"/>
    <w:rsid w:val="006B2290"/>
    <w:rsid w:val="006B4272"/>
    <w:rsid w:val="006E6B02"/>
    <w:rsid w:val="00715757"/>
    <w:rsid w:val="00717D88"/>
    <w:rsid w:val="007275C8"/>
    <w:rsid w:val="00735E22"/>
    <w:rsid w:val="007458A1"/>
    <w:rsid w:val="00760E2B"/>
    <w:rsid w:val="00772D89"/>
    <w:rsid w:val="00786056"/>
    <w:rsid w:val="007926AA"/>
    <w:rsid w:val="007942D3"/>
    <w:rsid w:val="00796CEB"/>
    <w:rsid w:val="007B2099"/>
    <w:rsid w:val="007B6C09"/>
    <w:rsid w:val="007B7741"/>
    <w:rsid w:val="007C5BD5"/>
    <w:rsid w:val="007E09DA"/>
    <w:rsid w:val="007E31B7"/>
    <w:rsid w:val="007E620B"/>
    <w:rsid w:val="007E712A"/>
    <w:rsid w:val="00802A6B"/>
    <w:rsid w:val="008043B9"/>
    <w:rsid w:val="008178B6"/>
    <w:rsid w:val="00827F14"/>
    <w:rsid w:val="00855143"/>
    <w:rsid w:val="00857781"/>
    <w:rsid w:val="00865B74"/>
    <w:rsid w:val="008974F0"/>
    <w:rsid w:val="008B012A"/>
    <w:rsid w:val="008D7F1E"/>
    <w:rsid w:val="00906E17"/>
    <w:rsid w:val="00913EE2"/>
    <w:rsid w:val="0091758B"/>
    <w:rsid w:val="00930BA1"/>
    <w:rsid w:val="0093169E"/>
    <w:rsid w:val="0093235C"/>
    <w:rsid w:val="00937130"/>
    <w:rsid w:val="009505C9"/>
    <w:rsid w:val="00950752"/>
    <w:rsid w:val="00966424"/>
    <w:rsid w:val="009675A4"/>
    <w:rsid w:val="00981E8A"/>
    <w:rsid w:val="009845E4"/>
    <w:rsid w:val="009A2378"/>
    <w:rsid w:val="009A6589"/>
    <w:rsid w:val="009C2DE6"/>
    <w:rsid w:val="009C5C86"/>
    <w:rsid w:val="009D3CBF"/>
    <w:rsid w:val="009D665D"/>
    <w:rsid w:val="00A01DC3"/>
    <w:rsid w:val="00A03BA0"/>
    <w:rsid w:val="00A07733"/>
    <w:rsid w:val="00A11A26"/>
    <w:rsid w:val="00A1252A"/>
    <w:rsid w:val="00A37E3D"/>
    <w:rsid w:val="00A37FBF"/>
    <w:rsid w:val="00A47156"/>
    <w:rsid w:val="00A64456"/>
    <w:rsid w:val="00AA6F92"/>
    <w:rsid w:val="00AB6934"/>
    <w:rsid w:val="00AC4445"/>
    <w:rsid w:val="00AC6277"/>
    <w:rsid w:val="00AD2CA0"/>
    <w:rsid w:val="00AD7FFC"/>
    <w:rsid w:val="00AF42DE"/>
    <w:rsid w:val="00B03B4E"/>
    <w:rsid w:val="00B041D6"/>
    <w:rsid w:val="00B163F5"/>
    <w:rsid w:val="00B26ACD"/>
    <w:rsid w:val="00B31307"/>
    <w:rsid w:val="00B3369F"/>
    <w:rsid w:val="00B353A3"/>
    <w:rsid w:val="00B55749"/>
    <w:rsid w:val="00B57E85"/>
    <w:rsid w:val="00B6623B"/>
    <w:rsid w:val="00B94E6C"/>
    <w:rsid w:val="00BB4606"/>
    <w:rsid w:val="00BB7FEE"/>
    <w:rsid w:val="00BE37F8"/>
    <w:rsid w:val="00BE3A34"/>
    <w:rsid w:val="00BE601E"/>
    <w:rsid w:val="00BF0486"/>
    <w:rsid w:val="00BF11F9"/>
    <w:rsid w:val="00C23D2F"/>
    <w:rsid w:val="00C443BD"/>
    <w:rsid w:val="00C451C5"/>
    <w:rsid w:val="00C520BB"/>
    <w:rsid w:val="00C54473"/>
    <w:rsid w:val="00C9161D"/>
    <w:rsid w:val="00C97A41"/>
    <w:rsid w:val="00CA0C1D"/>
    <w:rsid w:val="00CA2CD9"/>
    <w:rsid w:val="00CE5C7A"/>
    <w:rsid w:val="00CF1848"/>
    <w:rsid w:val="00D12044"/>
    <w:rsid w:val="00D30264"/>
    <w:rsid w:val="00D33EFC"/>
    <w:rsid w:val="00D40835"/>
    <w:rsid w:val="00D40DBC"/>
    <w:rsid w:val="00D623D5"/>
    <w:rsid w:val="00D67904"/>
    <w:rsid w:val="00D76A18"/>
    <w:rsid w:val="00D80849"/>
    <w:rsid w:val="00D81B26"/>
    <w:rsid w:val="00D82E8F"/>
    <w:rsid w:val="00D90C54"/>
    <w:rsid w:val="00DB37E9"/>
    <w:rsid w:val="00DB5A9B"/>
    <w:rsid w:val="00DD118C"/>
    <w:rsid w:val="00DE0097"/>
    <w:rsid w:val="00DE6D01"/>
    <w:rsid w:val="00E058FD"/>
    <w:rsid w:val="00E120C2"/>
    <w:rsid w:val="00E14D8D"/>
    <w:rsid w:val="00E25C75"/>
    <w:rsid w:val="00E43F39"/>
    <w:rsid w:val="00E45D11"/>
    <w:rsid w:val="00E66235"/>
    <w:rsid w:val="00E739E2"/>
    <w:rsid w:val="00E81BAA"/>
    <w:rsid w:val="00E83C24"/>
    <w:rsid w:val="00E9318D"/>
    <w:rsid w:val="00EA0FF5"/>
    <w:rsid w:val="00EA2D7C"/>
    <w:rsid w:val="00EA38AB"/>
    <w:rsid w:val="00EB03C6"/>
    <w:rsid w:val="00EC1F46"/>
    <w:rsid w:val="00EE5F65"/>
    <w:rsid w:val="00EF35E4"/>
    <w:rsid w:val="00F0075A"/>
    <w:rsid w:val="00F07A42"/>
    <w:rsid w:val="00F20685"/>
    <w:rsid w:val="00F24ACC"/>
    <w:rsid w:val="00F42653"/>
    <w:rsid w:val="00F46F5B"/>
    <w:rsid w:val="00F476E4"/>
    <w:rsid w:val="00F50099"/>
    <w:rsid w:val="00F52E01"/>
    <w:rsid w:val="00F53193"/>
    <w:rsid w:val="00F5357E"/>
    <w:rsid w:val="00F6586C"/>
    <w:rsid w:val="00F74D8D"/>
    <w:rsid w:val="00F94774"/>
    <w:rsid w:val="00FA0E9A"/>
    <w:rsid w:val="00FA663B"/>
    <w:rsid w:val="00FC25F8"/>
    <w:rsid w:val="00FC53DB"/>
    <w:rsid w:val="00FE2131"/>
    <w:rsid w:val="00FE50F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DE6D01"/>
    <w:pPr>
      <w:spacing w:after="160" w:line="240" w:lineRule="exact"/>
      <w:jc w:val="left"/>
    </w:pPr>
    <w:rPr>
      <w:rFonts w:asciiTheme="minorHAnsi" w:eastAsiaTheme="minorEastAsia" w:hAnsiTheme="minorHAnsi" w:cstheme="minorBidi"/>
      <w:vertAlign w:val="superscript"/>
      <w:lang w:val="fr-CA"/>
    </w:rPr>
  </w:style>
  <w:style w:type="paragraph" w:styleId="Revision">
    <w:name w:val="Revision"/>
    <w:hidden/>
    <w:uiPriority w:val="99"/>
    <w:semiHidden/>
    <w:rsid w:val="00735E22"/>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203FB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03FBD"/>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498D4F9426224FECB1C66D5C030A616B"/>
        <w:category>
          <w:name w:val="General"/>
          <w:gallery w:val="placeholder"/>
        </w:category>
        <w:types>
          <w:type w:val="bbPlcHdr"/>
        </w:types>
        <w:behaviors>
          <w:behavior w:val="content"/>
        </w:behaviors>
        <w:guid w:val="{FCA301A2-2970-484F-A9C3-659FBD82ACB7}"/>
      </w:docPartPr>
      <w:docPartBody>
        <w:p w:rsidR="00F2685F" w:rsidRDefault="00B64E9F">
          <w:r w:rsidRPr="00FD0FB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4191B"/>
    <w:rsid w:val="00045FC5"/>
    <w:rsid w:val="0016789F"/>
    <w:rsid w:val="00170996"/>
    <w:rsid w:val="001C30B0"/>
    <w:rsid w:val="003625B3"/>
    <w:rsid w:val="0038320A"/>
    <w:rsid w:val="003A2D0F"/>
    <w:rsid w:val="003C4935"/>
    <w:rsid w:val="0046422C"/>
    <w:rsid w:val="004760CF"/>
    <w:rsid w:val="004E092F"/>
    <w:rsid w:val="004E5FDF"/>
    <w:rsid w:val="004E77A9"/>
    <w:rsid w:val="00500A2B"/>
    <w:rsid w:val="0058288D"/>
    <w:rsid w:val="005B11ED"/>
    <w:rsid w:val="00632420"/>
    <w:rsid w:val="00665C6B"/>
    <w:rsid w:val="006801B3"/>
    <w:rsid w:val="006C3E10"/>
    <w:rsid w:val="006C6436"/>
    <w:rsid w:val="007428B4"/>
    <w:rsid w:val="007E6353"/>
    <w:rsid w:val="00810A55"/>
    <w:rsid w:val="008C6619"/>
    <w:rsid w:val="008D420E"/>
    <w:rsid w:val="0090197F"/>
    <w:rsid w:val="0098642F"/>
    <w:rsid w:val="00B27D2C"/>
    <w:rsid w:val="00B64E9F"/>
    <w:rsid w:val="00B677E5"/>
    <w:rsid w:val="00C37C59"/>
    <w:rsid w:val="00C8104B"/>
    <w:rsid w:val="00D31D12"/>
    <w:rsid w:val="00D936D7"/>
    <w:rsid w:val="00EA178C"/>
    <w:rsid w:val="00F268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64E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0A2205-148E-462D-B705-353766F47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CP-10/10.	Risk assessment and risk management (Articles 15 and 16)</vt:lpstr>
    </vt:vector>
  </TitlesOfParts>
  <Company>SCBD</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CP-10/10.	Risk assessment and risk management (Articles 15 and 16)</dc:title>
  <dc:subject>CBD/CP/MOP/DEC/10/10</dc:subject>
  <dc:creator>SCBD</dc:creator>
  <cp:keywords>Decision adopted by the Parties to the Cartagena Protocol on Biosafety</cp:keywords>
  <cp:lastModifiedBy>Veronique Lefebvre</cp:lastModifiedBy>
  <cp:revision>3</cp:revision>
  <cp:lastPrinted>2023-02-21T16:00:00Z</cp:lastPrinted>
  <dcterms:created xsi:type="dcterms:W3CDTF">2023-02-22T19:10:00Z</dcterms:created>
  <dcterms:modified xsi:type="dcterms:W3CDTF">2023-02-22T19:10:00Z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