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83641" w:rsidRPr="0033641E" w14:paraId="568BDDFB" w14:textId="77777777" w:rsidTr="001469A1">
        <w:trPr>
          <w:trHeight w:val="851"/>
        </w:trPr>
        <w:tc>
          <w:tcPr>
            <w:tcW w:w="976" w:type="dxa"/>
            <w:tcBorders>
              <w:bottom w:val="single" w:sz="12" w:space="0" w:color="auto"/>
            </w:tcBorders>
          </w:tcPr>
          <w:p w14:paraId="37C8E10C" w14:textId="77777777" w:rsidR="00A83641" w:rsidRPr="0033641E" w:rsidRDefault="00A83641" w:rsidP="001469A1">
            <w:r w:rsidRPr="0033641E">
              <w:rPr>
                <w:noProof/>
                <w:lang w:val="en-US"/>
              </w:rPr>
              <w:drawing>
                <wp:inline distT="0" distB="0" distL="0" distR="0" wp14:anchorId="7179B62F" wp14:editId="654F278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06E49CD" w14:textId="77777777" w:rsidR="00A83641" w:rsidRPr="0033641E" w:rsidRDefault="00A83641" w:rsidP="001469A1">
            <w:r w:rsidRPr="0033641E">
              <w:rPr>
                <w:noProof/>
                <w:lang w:val="en-US"/>
              </w:rPr>
              <w:drawing>
                <wp:anchor distT="0" distB="0" distL="114300" distR="114300" simplePos="0" relativeHeight="251659264" behindDoc="0" locked="0" layoutInCell="1" allowOverlap="1" wp14:anchorId="28AD3D71" wp14:editId="191ADD23">
                  <wp:simplePos x="0" y="0"/>
                  <wp:positionH relativeFrom="column">
                    <wp:posOffset>-1270</wp:posOffset>
                  </wp:positionH>
                  <wp:positionV relativeFrom="paragraph">
                    <wp:posOffset>29845</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1211F90B" w14:textId="77777777" w:rsidR="00A83641" w:rsidRPr="0033641E" w:rsidRDefault="00A83641" w:rsidP="001469A1">
            <w:pPr>
              <w:jc w:val="right"/>
              <w:rPr>
                <w:rFonts w:ascii="Arial" w:hAnsi="Arial" w:cs="Arial"/>
                <w:b/>
                <w:sz w:val="32"/>
                <w:szCs w:val="32"/>
              </w:rPr>
            </w:pPr>
            <w:proofErr w:type="spellStart"/>
            <w:r w:rsidRPr="0033641E">
              <w:rPr>
                <w:rFonts w:ascii="Arial" w:hAnsi="Arial" w:cs="Arial"/>
                <w:b/>
                <w:sz w:val="32"/>
                <w:szCs w:val="32"/>
              </w:rPr>
              <w:t>CBD</w:t>
            </w:r>
            <w:proofErr w:type="spellEnd"/>
          </w:p>
        </w:tc>
      </w:tr>
      <w:tr w:rsidR="00A83641" w:rsidRPr="0033641E" w14:paraId="05B7A676" w14:textId="77777777" w:rsidTr="001469A1">
        <w:tc>
          <w:tcPr>
            <w:tcW w:w="6117" w:type="dxa"/>
            <w:gridSpan w:val="2"/>
            <w:tcBorders>
              <w:top w:val="single" w:sz="12" w:space="0" w:color="auto"/>
              <w:bottom w:val="single" w:sz="36" w:space="0" w:color="auto"/>
            </w:tcBorders>
            <w:vAlign w:val="center"/>
          </w:tcPr>
          <w:p w14:paraId="4ECFCEDC" w14:textId="77777777" w:rsidR="00A83641" w:rsidRPr="0033641E" w:rsidRDefault="00A83641" w:rsidP="001469A1">
            <w:r w:rsidRPr="0033641E">
              <w:rPr>
                <w:noProof/>
                <w:kern w:val="22"/>
                <w:lang w:val="en-US"/>
              </w:rPr>
              <w:drawing>
                <wp:inline distT="0" distB="0" distL="0" distR="0" wp14:anchorId="36A24D53" wp14:editId="0B7D392E">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53F9E3F" w14:textId="77777777" w:rsidR="00A83641" w:rsidRPr="00134507" w:rsidRDefault="00A83641" w:rsidP="001469A1">
            <w:pPr>
              <w:ind w:left="1215"/>
              <w:rPr>
                <w:szCs w:val="22"/>
                <w:lang w:val="en-US"/>
              </w:rPr>
            </w:pPr>
            <w:r w:rsidRPr="00134507">
              <w:rPr>
                <w:szCs w:val="22"/>
                <w:lang w:val="en-US"/>
              </w:rPr>
              <w:t>Distr.</w:t>
            </w:r>
          </w:p>
          <w:p w14:paraId="44A6A5F0" w14:textId="6B9B4447" w:rsidR="00A83641" w:rsidRPr="00134507" w:rsidRDefault="00D52724" w:rsidP="001469A1">
            <w:pPr>
              <w:ind w:left="1215"/>
              <w:rPr>
                <w:szCs w:val="22"/>
                <w:lang w:val="en-US"/>
              </w:rPr>
            </w:pPr>
            <w:r w:rsidRPr="00134507">
              <w:rPr>
                <w:caps/>
                <w:szCs w:val="22"/>
                <w:lang w:val="en-US"/>
              </w:rPr>
              <w:t>GENERAL</w:t>
            </w:r>
          </w:p>
          <w:p w14:paraId="4838B3DD" w14:textId="77777777" w:rsidR="00A83641" w:rsidRPr="00134507" w:rsidRDefault="00A83641" w:rsidP="001469A1">
            <w:pPr>
              <w:ind w:left="1215"/>
              <w:rPr>
                <w:szCs w:val="22"/>
                <w:lang w:val="en-US"/>
              </w:rPr>
            </w:pPr>
          </w:p>
          <w:p w14:paraId="425910A8" w14:textId="6ECC29CF" w:rsidR="00A83641" w:rsidRPr="00134507" w:rsidRDefault="00F954E3" w:rsidP="001469A1">
            <w:pPr>
              <w:ind w:left="1215"/>
              <w:rPr>
                <w:szCs w:val="22"/>
                <w:lang w:val="en-US"/>
              </w:rPr>
            </w:pPr>
            <w:sdt>
              <w:sdtPr>
                <w:rPr>
                  <w:lang w:val="en-US"/>
                </w:rPr>
                <w:alias w:val="Subject"/>
                <w:tag w:val=""/>
                <w:id w:val="2137136483"/>
                <w:placeholder>
                  <w:docPart w:val="86AEE673C3C44C3BAC69E03CF2AC321D"/>
                </w:placeholder>
                <w:dataBinding w:prefixMappings="xmlns:ns0='http://purl.org/dc/elements/1.1/' xmlns:ns1='http://schemas.openxmlformats.org/package/2006/metadata/core-properties' " w:xpath="/ns1:coreProperties[1]/ns0:subject[1]" w:storeItemID="{6C3C8BC8-F283-45AE-878A-BAB7291924A1}"/>
                <w:text/>
              </w:sdtPr>
              <w:sdtEndPr/>
              <w:sdtContent>
                <w:r w:rsidR="00A83641" w:rsidRPr="00134507">
                  <w:rPr>
                    <w:lang w:val="en-US"/>
                  </w:rPr>
                  <w:t>CBD/CP/MOP/</w:t>
                </w:r>
                <w:r w:rsidR="0033641E" w:rsidRPr="00134507">
                  <w:rPr>
                    <w:lang w:val="en-US"/>
                  </w:rPr>
                  <w:t>DEC/</w:t>
                </w:r>
                <w:r w:rsidR="00A83641" w:rsidRPr="00134507">
                  <w:rPr>
                    <w:lang w:val="en-US"/>
                  </w:rPr>
                  <w:t>10/</w:t>
                </w:r>
                <w:r w:rsidR="0033641E" w:rsidRPr="00134507">
                  <w:rPr>
                    <w:lang w:val="en-US"/>
                  </w:rPr>
                  <w:t>12</w:t>
                </w:r>
              </w:sdtContent>
            </w:sdt>
          </w:p>
          <w:p w14:paraId="6DE0E208" w14:textId="73F65517" w:rsidR="00A83641" w:rsidRPr="0033641E" w:rsidRDefault="00E5451F" w:rsidP="001469A1">
            <w:pPr>
              <w:ind w:left="1215"/>
              <w:rPr>
                <w:szCs w:val="22"/>
              </w:rPr>
            </w:pPr>
            <w:r>
              <w:rPr>
                <w:szCs w:val="22"/>
              </w:rPr>
              <w:t>1</w:t>
            </w:r>
            <w:r w:rsidR="00A83641" w:rsidRPr="0033641E">
              <w:rPr>
                <w:szCs w:val="22"/>
              </w:rPr>
              <w:t>9 de diciembre de 2022</w:t>
            </w:r>
          </w:p>
          <w:p w14:paraId="674C4769" w14:textId="77777777" w:rsidR="00A83641" w:rsidRPr="0033641E" w:rsidRDefault="00A83641" w:rsidP="001469A1">
            <w:pPr>
              <w:ind w:left="1215"/>
              <w:rPr>
                <w:szCs w:val="22"/>
              </w:rPr>
            </w:pPr>
          </w:p>
          <w:p w14:paraId="745C86BF" w14:textId="77777777" w:rsidR="00A83641" w:rsidRPr="0033641E" w:rsidRDefault="00A83641" w:rsidP="001469A1">
            <w:pPr>
              <w:ind w:left="1215"/>
              <w:rPr>
                <w:szCs w:val="22"/>
              </w:rPr>
            </w:pPr>
            <w:r w:rsidRPr="0033641E">
              <w:rPr>
                <w:szCs w:val="22"/>
              </w:rPr>
              <w:t>ESPAÑOL</w:t>
            </w:r>
          </w:p>
          <w:p w14:paraId="1CAA340A" w14:textId="77777777" w:rsidR="00A83641" w:rsidRPr="0033641E" w:rsidRDefault="00A83641" w:rsidP="001469A1">
            <w:pPr>
              <w:ind w:left="1215"/>
              <w:rPr>
                <w:szCs w:val="22"/>
              </w:rPr>
            </w:pPr>
            <w:r w:rsidRPr="0033641E">
              <w:rPr>
                <w:szCs w:val="22"/>
              </w:rPr>
              <w:t>ORIGINAL: INGLÉS</w:t>
            </w:r>
          </w:p>
          <w:p w14:paraId="489B37C7" w14:textId="77777777" w:rsidR="00A83641" w:rsidRPr="0033641E" w:rsidRDefault="00A83641" w:rsidP="001469A1"/>
        </w:tc>
      </w:tr>
    </w:tbl>
    <w:p w14:paraId="57B09309" w14:textId="1D8B7B69" w:rsidR="00102267" w:rsidRPr="0033641E" w:rsidRDefault="00102267" w:rsidP="00102267">
      <w:pPr>
        <w:pStyle w:val="Cornernotation"/>
        <w:kinsoku w:val="0"/>
        <w:overflowPunct w:val="0"/>
        <w:autoSpaceDE w:val="0"/>
        <w:autoSpaceDN w:val="0"/>
        <w:spacing w:before="60"/>
        <w:ind w:left="227" w:right="4115" w:hanging="227"/>
        <w:rPr>
          <w:snapToGrid w:val="0"/>
          <w:kern w:val="22"/>
        </w:rPr>
      </w:pPr>
      <w:r w:rsidRPr="0033641E">
        <w:rPr>
          <w:snapToGrid w:val="0"/>
        </w:rPr>
        <w:t>CONFERENCIA DE LAS PARTES EN EL CONVENIO SOBRE LA DIVERSIDAD BIOLÓGICA QUE ACTÚA COMO REUNIÓN DE LAS PARTES EN EL PROTOCOLO DE CARTAGENA SOBRE SEGURIDAD DE LA BIOTECNOLOGÍA</w:t>
      </w:r>
    </w:p>
    <w:p w14:paraId="2C05A7F9" w14:textId="21458144" w:rsidR="00102267" w:rsidRPr="0033641E" w:rsidRDefault="00102267" w:rsidP="00102267">
      <w:pPr>
        <w:pStyle w:val="Cornernotation"/>
        <w:ind w:right="4115"/>
      </w:pPr>
      <w:r w:rsidRPr="0033641E">
        <w:t>Décima reunión</w:t>
      </w:r>
      <w:r w:rsidR="00736084" w:rsidRPr="0033641E">
        <w:t xml:space="preserve"> – Parte II</w:t>
      </w:r>
    </w:p>
    <w:p w14:paraId="7009BDEA" w14:textId="77777777" w:rsidR="00102267" w:rsidRPr="0033641E" w:rsidRDefault="00102267" w:rsidP="00102267">
      <w:pPr>
        <w:pStyle w:val="Cornernotation"/>
        <w:kinsoku w:val="0"/>
        <w:overflowPunct w:val="0"/>
        <w:autoSpaceDE w:val="0"/>
        <w:autoSpaceDN w:val="0"/>
        <w:ind w:left="227" w:right="4075" w:hanging="227"/>
        <w:rPr>
          <w:snapToGrid w:val="0"/>
          <w:kern w:val="22"/>
          <w:szCs w:val="22"/>
        </w:rPr>
      </w:pPr>
      <w:r w:rsidRPr="0033641E">
        <w:rPr>
          <w:snapToGrid w:val="0"/>
          <w:szCs w:val="22"/>
        </w:rPr>
        <w:t>Montreal (Canadá), 7 a 19 de diciembre de 2022</w:t>
      </w:r>
    </w:p>
    <w:p w14:paraId="49E913CF" w14:textId="4C2B35F6" w:rsidR="00102267" w:rsidRDefault="00102267" w:rsidP="00102267">
      <w:pPr>
        <w:pStyle w:val="Cornernotation"/>
        <w:ind w:right="4784"/>
      </w:pPr>
      <w:r w:rsidRPr="0033641E">
        <w:t>Tema 16 del programa</w:t>
      </w:r>
    </w:p>
    <w:p w14:paraId="30C1F9B5" w14:textId="01F88A1F" w:rsidR="00E5451F" w:rsidRPr="0033641E" w:rsidRDefault="00E5451F" w:rsidP="002C4551">
      <w:pPr>
        <w:pStyle w:val="Cornernotation"/>
        <w:spacing w:before="240" w:after="240"/>
        <w:ind w:right="116"/>
        <w:jc w:val="center"/>
      </w:pPr>
      <w:r w:rsidRPr="00E5451F">
        <w:rPr>
          <w:b/>
        </w:rPr>
        <w:t>DECISIÓN ADOPTADA POR LAS PARTES EN EL PROTOCOLO DE CARTAGENA SOBRE SEGURIDAD DE LA BIOTECNOLOGÍA</w:t>
      </w:r>
    </w:p>
    <w:p w14:paraId="508FB44E" w14:textId="41BD96B6" w:rsidR="00102267" w:rsidRPr="0033641E" w:rsidRDefault="00F954E3" w:rsidP="00AA33C0">
      <w:pPr>
        <w:spacing w:before="240" w:after="240"/>
        <w:jc w:val="center"/>
        <w:rPr>
          <w:b/>
          <w:caps/>
        </w:rPr>
      </w:pPr>
      <w:sdt>
        <w:sdtPr>
          <w:rPr>
            <w:rFonts w:asciiTheme="majorBidi" w:hAnsiTheme="majorBidi" w:cstheme="majorBidi"/>
            <w:b/>
            <w:bCs/>
            <w:snapToGrid w:val="0"/>
            <w:kern w:val="22"/>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EndPr/>
        <w:sdtContent>
          <w:r w:rsidR="00033D1C">
            <w:rPr>
              <w:rFonts w:asciiTheme="majorBidi" w:hAnsiTheme="majorBidi" w:cstheme="majorBidi"/>
              <w:b/>
              <w:bCs/>
              <w:snapToGrid w:val="0"/>
              <w:kern w:val="22"/>
            </w:rPr>
            <w:t xml:space="preserve">CP-10/12.  </w:t>
          </w:r>
          <w:r w:rsidR="0044021B" w:rsidRPr="0033641E">
            <w:rPr>
              <w:rFonts w:asciiTheme="majorBidi" w:hAnsiTheme="majorBidi" w:cstheme="majorBidi"/>
              <w:b/>
              <w:bCs/>
              <w:snapToGrid w:val="0"/>
              <w:kern w:val="22"/>
            </w:rPr>
            <w:t>Consideraciones socioeconómica</w:t>
          </w:r>
          <w:r w:rsidR="00577B8F" w:rsidRPr="0033641E">
            <w:rPr>
              <w:rFonts w:asciiTheme="majorBidi" w:hAnsiTheme="majorBidi" w:cstheme="majorBidi"/>
              <w:b/>
              <w:bCs/>
              <w:snapToGrid w:val="0"/>
              <w:kern w:val="22"/>
            </w:rPr>
            <w:t>s (</w:t>
          </w:r>
          <w:r w:rsidR="0044021B" w:rsidRPr="0033641E">
            <w:rPr>
              <w:rFonts w:asciiTheme="majorBidi" w:hAnsiTheme="majorBidi" w:cstheme="majorBidi"/>
              <w:b/>
              <w:bCs/>
              <w:snapToGrid w:val="0"/>
              <w:kern w:val="22"/>
            </w:rPr>
            <w:t>artículo</w:t>
          </w:r>
          <w:r w:rsidR="00577B8F" w:rsidRPr="0033641E">
            <w:rPr>
              <w:rFonts w:asciiTheme="majorBidi" w:hAnsiTheme="majorBidi" w:cstheme="majorBidi"/>
              <w:b/>
              <w:bCs/>
              <w:snapToGrid w:val="0"/>
              <w:kern w:val="22"/>
            </w:rPr>
            <w:t xml:space="preserve"> 26)</w:t>
          </w:r>
        </w:sdtContent>
      </w:sdt>
      <w:r w:rsidR="00971B70" w:rsidRPr="0033641E">
        <w:rPr>
          <w:b/>
          <w:caps/>
        </w:rPr>
        <w:t xml:space="preserve"> </w:t>
      </w:r>
    </w:p>
    <w:p w14:paraId="04C92731" w14:textId="17053BC9" w:rsidR="00105AF5" w:rsidRPr="0033641E" w:rsidRDefault="00105AF5" w:rsidP="00B00BEF">
      <w:pPr>
        <w:shd w:val="clear" w:color="auto" w:fill="FFFFFF" w:themeFill="background1"/>
        <w:spacing w:before="240" w:after="120"/>
        <w:ind w:firstLine="720"/>
        <w:rPr>
          <w:kern w:val="22"/>
        </w:rPr>
      </w:pPr>
      <w:r w:rsidRPr="0033641E">
        <w:rPr>
          <w:i/>
          <w:iCs/>
          <w:szCs w:val="22"/>
        </w:rPr>
        <w:t>La Conferencia de las Partes que actúa como reunión de las Partes en el Protocolo de Cartagena sobre</w:t>
      </w:r>
      <w:r w:rsidR="004716E6" w:rsidRPr="0033641E">
        <w:rPr>
          <w:i/>
          <w:iCs/>
          <w:szCs w:val="22"/>
        </w:rPr>
        <w:t xml:space="preserve"> Seguridad de la Biotecnología,</w:t>
      </w:r>
    </w:p>
    <w:p w14:paraId="3CE97745" w14:textId="11BFBF43" w:rsidR="00EC032B" w:rsidRPr="0033641E" w:rsidRDefault="00EC032B" w:rsidP="00B00BEF">
      <w:pPr>
        <w:shd w:val="clear" w:color="auto" w:fill="FFFFFF" w:themeFill="background1"/>
        <w:spacing w:before="120" w:after="120"/>
        <w:ind w:firstLine="720"/>
        <w:rPr>
          <w:i/>
          <w:iCs/>
          <w:kern w:val="22"/>
        </w:rPr>
      </w:pPr>
      <w:r w:rsidRPr="0033641E">
        <w:rPr>
          <w:i/>
          <w:iCs/>
        </w:rPr>
        <w:t>R</w:t>
      </w:r>
      <w:r w:rsidR="00E7196C" w:rsidRPr="0033641E">
        <w:rPr>
          <w:i/>
          <w:iCs/>
        </w:rPr>
        <w:t>ec</w:t>
      </w:r>
      <w:r w:rsidRPr="0033641E">
        <w:rPr>
          <w:i/>
          <w:iCs/>
        </w:rPr>
        <w:t xml:space="preserve">ordando </w:t>
      </w:r>
      <w:r w:rsidRPr="0033641E">
        <w:t>el párrafo 2 del artículo 26 del Protocolo de Cartagena sobre Seguridad de la Biotecnología,</w:t>
      </w:r>
    </w:p>
    <w:p w14:paraId="556D6E5F" w14:textId="35FA26D2" w:rsidR="00EC032B" w:rsidRPr="0033641E" w:rsidRDefault="00213684" w:rsidP="00B00BEF">
      <w:pPr>
        <w:shd w:val="clear" w:color="auto" w:fill="FFFFFF" w:themeFill="background1"/>
        <w:spacing w:before="120" w:after="120"/>
        <w:ind w:firstLine="720"/>
        <w:rPr>
          <w:i/>
          <w:iCs/>
          <w:kern w:val="22"/>
        </w:rPr>
      </w:pPr>
      <w:r w:rsidRPr="0033641E">
        <w:rPr>
          <w:i/>
          <w:iCs/>
        </w:rPr>
        <w:t>Recordando también</w:t>
      </w:r>
      <w:r w:rsidRPr="0033641E">
        <w:t xml:space="preserve"> el preámbulo de la decisión CP-9/14,</w:t>
      </w:r>
    </w:p>
    <w:p w14:paraId="33F137ED" w14:textId="3952A793" w:rsidR="00105AF5" w:rsidRPr="0033641E" w:rsidRDefault="0036246F" w:rsidP="00B00BEF">
      <w:pPr>
        <w:shd w:val="clear" w:color="auto" w:fill="FFFFFF" w:themeFill="background1"/>
        <w:spacing w:before="120" w:after="120"/>
        <w:ind w:firstLine="720"/>
        <w:rPr>
          <w:kern w:val="22"/>
        </w:rPr>
      </w:pPr>
      <w:r w:rsidRPr="0033641E">
        <w:rPr>
          <w:i/>
          <w:iCs/>
        </w:rPr>
        <w:t xml:space="preserve">Recordando además </w:t>
      </w:r>
      <w:r w:rsidRPr="0033641E">
        <w:t xml:space="preserve">la “Orientación para la evaluación de las consideraciones socioeconómicas en el contexto del artículo 26 del Protocolo de Cartagena sobre Seguridad de la Biotecnología”, de carácter voluntario, de la que tomó nota en la decisión CP-9/14, </w:t>
      </w:r>
    </w:p>
    <w:p w14:paraId="47FB509F" w14:textId="772818F9" w:rsidR="00105AF5" w:rsidRPr="0033641E" w:rsidRDefault="005234AD" w:rsidP="00B00BEF">
      <w:pPr>
        <w:shd w:val="clear" w:color="auto" w:fill="FFFFFF" w:themeFill="background1"/>
        <w:spacing w:before="120" w:after="120"/>
        <w:ind w:firstLine="720"/>
        <w:rPr>
          <w:kern w:val="22"/>
          <w:szCs w:val="22"/>
        </w:rPr>
      </w:pPr>
      <w:r w:rsidRPr="0033641E">
        <w:rPr>
          <w:i/>
          <w:iCs/>
          <w:kern w:val="22"/>
        </w:rPr>
        <w:t xml:space="preserve">Reconociendo </w:t>
      </w:r>
      <w:r w:rsidRPr="0033641E">
        <w:rPr>
          <w:kern w:val="22"/>
        </w:rPr>
        <w:t>el tiempo limitado que han tenido las Partes, otros Gobiernos, organizaciones pertinentes y otros interesados para hacer uso de la Orientación de carácter voluntario</w:t>
      </w:r>
      <w:r w:rsidR="00105AF5" w:rsidRPr="0033641E">
        <w:t xml:space="preserve">, </w:t>
      </w:r>
    </w:p>
    <w:p w14:paraId="7DC2AAED" w14:textId="55ABDF47" w:rsidR="00A528C3" w:rsidRPr="0033641E" w:rsidRDefault="00105AF5" w:rsidP="001D195A">
      <w:pPr>
        <w:shd w:val="clear" w:color="auto" w:fill="FFFFFF" w:themeFill="background1"/>
        <w:spacing w:before="120" w:after="120"/>
        <w:rPr>
          <w:kern w:val="22"/>
          <w:szCs w:val="22"/>
        </w:rPr>
      </w:pPr>
      <w:r w:rsidRPr="0033641E">
        <w:rPr>
          <w:i/>
          <w:iCs/>
          <w:szCs w:val="22"/>
        </w:rPr>
        <w:tab/>
      </w:r>
      <w:r w:rsidR="005234AD" w:rsidRPr="0033641E">
        <w:rPr>
          <w:i/>
          <w:iCs/>
          <w:kern w:val="22"/>
        </w:rPr>
        <w:t xml:space="preserve">Reconociendo </w:t>
      </w:r>
      <w:r w:rsidR="005234AD" w:rsidRPr="0033641E">
        <w:rPr>
          <w:kern w:val="22"/>
        </w:rPr>
        <w:t>la necesidad de reunir y compartir más información sobre metodologías y enfoques</w:t>
      </w:r>
      <w:r w:rsidRPr="0033641E">
        <w:t>,</w:t>
      </w:r>
    </w:p>
    <w:p w14:paraId="255EA773" w14:textId="3379E1D9" w:rsidR="00105AF5" w:rsidRPr="0033641E" w:rsidRDefault="00134507" w:rsidP="00B00BEF">
      <w:pPr>
        <w:shd w:val="clear" w:color="auto" w:fill="FFFFFF" w:themeFill="background1"/>
        <w:spacing w:before="120" w:after="120"/>
        <w:ind w:firstLine="720"/>
        <w:rPr>
          <w:kern w:val="22"/>
          <w:szCs w:val="22"/>
        </w:rPr>
      </w:pPr>
      <w:r>
        <w:rPr>
          <w:i/>
          <w:iCs/>
          <w:kern w:val="22"/>
        </w:rPr>
        <w:t>Observando</w:t>
      </w:r>
      <w:r w:rsidR="00423CDE" w:rsidRPr="0033641E">
        <w:rPr>
          <w:i/>
          <w:iCs/>
          <w:kern w:val="22"/>
        </w:rPr>
        <w:t xml:space="preserve"> </w:t>
      </w:r>
      <w:r w:rsidR="00423CDE" w:rsidRPr="0033641E">
        <w:rPr>
          <w:kern w:val="22"/>
        </w:rPr>
        <w:t xml:space="preserve">la información proporcionada por las Partes en sus cuartos informes nacionales en relación con el artículo 26 del Protocolo de Cartagena sobre Seguridad de la Biotecnología, así como las conclusiones sobre consideraciones socioeconómicas de la cuarta evaluación y revisión de la eficacia del Protocolo y de la evaluación final del Plan Estratégico para el Protocolo de Cartagena </w:t>
      </w:r>
      <w:r w:rsidR="001C1C89">
        <w:rPr>
          <w:kern w:val="22"/>
        </w:rPr>
        <w:t xml:space="preserve">sobre Seguridad de la Biotecnología </w:t>
      </w:r>
      <w:r w:rsidR="00423CDE" w:rsidRPr="0033641E">
        <w:rPr>
          <w:kern w:val="22"/>
        </w:rPr>
        <w:t xml:space="preserve">para el período 2011-2020, que se exponen en la decisión </w:t>
      </w:r>
      <w:r w:rsidR="00423CDE" w:rsidRPr="0033641E">
        <w:rPr>
          <w:iCs/>
          <w:snapToGrid w:val="0"/>
          <w:kern w:val="22"/>
          <w:szCs w:val="22"/>
        </w:rPr>
        <w:t>CP-10/</w:t>
      </w:r>
      <w:r w:rsidR="00153CD3">
        <w:rPr>
          <w:iCs/>
          <w:snapToGrid w:val="0"/>
          <w:kern w:val="22"/>
          <w:szCs w:val="22"/>
        </w:rPr>
        <w:t>7</w:t>
      </w:r>
      <w:r w:rsidR="00CE0271" w:rsidRPr="0033641E">
        <w:rPr>
          <w:iCs/>
          <w:snapToGrid w:val="0"/>
          <w:szCs w:val="22"/>
        </w:rPr>
        <w:t>,</w:t>
      </w:r>
      <w:r w:rsidR="00105AF5" w:rsidRPr="0033641E">
        <w:rPr>
          <w:iCs/>
          <w:snapToGrid w:val="0"/>
          <w:szCs w:val="22"/>
        </w:rPr>
        <w:t xml:space="preserve">  </w:t>
      </w:r>
    </w:p>
    <w:p w14:paraId="3B4AB1C8" w14:textId="30DFDFC3" w:rsidR="00105AF5" w:rsidRPr="0033641E" w:rsidRDefault="00134507" w:rsidP="00B00BEF">
      <w:pPr>
        <w:shd w:val="clear" w:color="auto" w:fill="FFFFFF" w:themeFill="background1"/>
        <w:spacing w:before="120" w:after="120"/>
        <w:ind w:firstLine="720"/>
        <w:rPr>
          <w:kern w:val="22"/>
        </w:rPr>
      </w:pPr>
      <w:r>
        <w:rPr>
          <w:i/>
          <w:iCs/>
          <w:kern w:val="22"/>
        </w:rPr>
        <w:t>Observando</w:t>
      </w:r>
      <w:r w:rsidR="006C7757" w:rsidRPr="0033641E">
        <w:rPr>
          <w:i/>
          <w:iCs/>
          <w:kern w:val="22"/>
        </w:rPr>
        <w:t xml:space="preserve"> también </w:t>
      </w:r>
      <w:bookmarkStart w:id="0" w:name="_GoBack"/>
      <w:bookmarkEnd w:id="0"/>
      <w:r w:rsidR="00E27E0E" w:rsidRPr="0033641E">
        <w:rPr>
          <w:kern w:val="22"/>
        </w:rPr>
        <w:t>e</w:t>
      </w:r>
      <w:r w:rsidR="006C7757" w:rsidRPr="0033641E">
        <w:rPr>
          <w:kern w:val="22"/>
        </w:rPr>
        <w:t xml:space="preserve">l objetivo y las actividades de creación de capacidad relacionadas del </w:t>
      </w:r>
      <w:r w:rsidR="00ED6E7C">
        <w:rPr>
          <w:kern w:val="22"/>
        </w:rPr>
        <w:t>P</w:t>
      </w:r>
      <w:r w:rsidR="006C7757" w:rsidRPr="0033641E">
        <w:rPr>
          <w:kern w:val="22"/>
        </w:rPr>
        <w:t xml:space="preserve">lan de </w:t>
      </w:r>
      <w:r w:rsidR="00ED6E7C" w:rsidRPr="0033641E">
        <w:rPr>
          <w:kern w:val="22"/>
        </w:rPr>
        <w:t xml:space="preserve">Aplicación </w:t>
      </w:r>
      <w:r w:rsidR="00ED6E7C">
        <w:rPr>
          <w:kern w:val="22"/>
        </w:rPr>
        <w:t>para el Protocolo de Cartagena sobre Seguridad de la Biotecnología</w:t>
      </w:r>
      <w:r w:rsidR="00ED6E7C" w:rsidRPr="008D44F5">
        <w:rPr>
          <w:rStyle w:val="FootnoteReference"/>
          <w:kern w:val="22"/>
          <w:szCs w:val="22"/>
        </w:rPr>
        <w:footnoteReference w:id="1"/>
      </w:r>
      <w:r w:rsidR="00ED6E7C">
        <w:rPr>
          <w:kern w:val="22"/>
        </w:rPr>
        <w:t xml:space="preserve"> </w:t>
      </w:r>
      <w:r w:rsidR="006C7757" w:rsidRPr="0033641E">
        <w:rPr>
          <w:kern w:val="22"/>
        </w:rPr>
        <w:t xml:space="preserve">y </w:t>
      </w:r>
      <w:r w:rsidR="009E71A2" w:rsidRPr="0033641E">
        <w:rPr>
          <w:kern w:val="22"/>
        </w:rPr>
        <w:t>d</w:t>
      </w:r>
      <w:r w:rsidR="006C7757" w:rsidRPr="0033641E">
        <w:rPr>
          <w:kern w:val="22"/>
        </w:rPr>
        <w:t xml:space="preserve">el </w:t>
      </w:r>
      <w:r w:rsidR="00ED6E7C" w:rsidRPr="0033641E">
        <w:rPr>
          <w:kern w:val="22"/>
        </w:rPr>
        <w:t xml:space="preserve">Plan </w:t>
      </w:r>
      <w:r w:rsidR="006C7757" w:rsidRPr="0033641E">
        <w:rPr>
          <w:kern w:val="22"/>
        </w:rPr>
        <w:t xml:space="preserve">de </w:t>
      </w:r>
      <w:r w:rsidR="00ED6E7C" w:rsidRPr="0033641E">
        <w:rPr>
          <w:kern w:val="22"/>
        </w:rPr>
        <w:t xml:space="preserve">Acción </w:t>
      </w:r>
      <w:r w:rsidR="00ED6E7C">
        <w:rPr>
          <w:kern w:val="22"/>
        </w:rPr>
        <w:t>para la Creación de C</w:t>
      </w:r>
      <w:r w:rsidR="006C7757" w:rsidRPr="0033641E">
        <w:rPr>
          <w:kern w:val="22"/>
        </w:rPr>
        <w:t>apacidad para el Protocolo de Cartagena sobre Seguridad de la Biotecnología</w:t>
      </w:r>
      <w:r w:rsidR="00ED6E7C" w:rsidRPr="008D44F5">
        <w:rPr>
          <w:rStyle w:val="FootnoteReference"/>
          <w:kern w:val="22"/>
          <w:szCs w:val="22"/>
        </w:rPr>
        <w:footnoteReference w:id="2"/>
      </w:r>
      <w:r w:rsidR="006C7757" w:rsidRPr="0033641E">
        <w:rPr>
          <w:kern w:val="22"/>
        </w:rPr>
        <w:t xml:space="preserve"> que tienen que ver con el artículo 26 del Protocolo de Cartagena, y </w:t>
      </w:r>
      <w:r w:rsidR="006C7757" w:rsidRPr="0033641E">
        <w:rPr>
          <w:i/>
          <w:iCs/>
          <w:kern w:val="22"/>
        </w:rPr>
        <w:t xml:space="preserve">reconociendo </w:t>
      </w:r>
      <w:r w:rsidR="006C7757" w:rsidRPr="0033641E">
        <w:rPr>
          <w:kern w:val="22"/>
        </w:rPr>
        <w:t xml:space="preserve">la importancia de la creación de </w:t>
      </w:r>
      <w:r w:rsidR="006C7757" w:rsidRPr="0033641E">
        <w:rPr>
          <w:kern w:val="22"/>
        </w:rPr>
        <w:lastRenderedPageBreak/>
        <w:t xml:space="preserve">capacidad y la cooperación regional y subregional </w:t>
      </w:r>
      <w:r w:rsidR="00643573" w:rsidRPr="0033641E">
        <w:rPr>
          <w:kern w:val="22"/>
        </w:rPr>
        <w:t xml:space="preserve">para las Partes que deseen tener en cuenta </w:t>
      </w:r>
      <w:r w:rsidR="006C7757" w:rsidRPr="0033641E">
        <w:rPr>
          <w:kern w:val="22"/>
        </w:rPr>
        <w:t>consideraciones socioeconómicas</w:t>
      </w:r>
      <w:r w:rsidR="00105AF5" w:rsidRPr="0033641E">
        <w:t xml:space="preserve">,  </w:t>
      </w:r>
    </w:p>
    <w:p w14:paraId="3B9318AD" w14:textId="0040C605" w:rsidR="00105AF5" w:rsidRPr="0033641E" w:rsidRDefault="006253D8" w:rsidP="00B840DC">
      <w:pPr>
        <w:shd w:val="clear" w:color="auto" w:fill="FFFFFF" w:themeFill="background1"/>
        <w:spacing w:before="120" w:after="120"/>
        <w:ind w:firstLine="720"/>
        <w:rPr>
          <w:kern w:val="22"/>
          <w:szCs w:val="22"/>
        </w:rPr>
      </w:pPr>
      <w:r w:rsidRPr="0033641E">
        <w:t>1.</w:t>
      </w:r>
      <w:r w:rsidRPr="0033641E">
        <w:tab/>
      </w:r>
      <w:r w:rsidRPr="0033641E">
        <w:rPr>
          <w:i/>
          <w:iCs/>
          <w:szCs w:val="22"/>
        </w:rPr>
        <w:t>T</w:t>
      </w:r>
      <w:r w:rsidR="002F1E9D" w:rsidRPr="0033641E">
        <w:rPr>
          <w:i/>
          <w:iCs/>
          <w:szCs w:val="22"/>
        </w:rPr>
        <w:t>oma not</w:t>
      </w:r>
      <w:r w:rsidR="00C043D8" w:rsidRPr="0033641E">
        <w:rPr>
          <w:i/>
          <w:iCs/>
          <w:szCs w:val="22"/>
        </w:rPr>
        <w:t>a con reconocimiento</w:t>
      </w:r>
      <w:r w:rsidR="002F1E9D" w:rsidRPr="0033641E">
        <w:rPr>
          <w:i/>
          <w:iCs/>
          <w:szCs w:val="22"/>
        </w:rPr>
        <w:t xml:space="preserve"> </w:t>
      </w:r>
      <w:r w:rsidR="002F1E9D" w:rsidRPr="0033641E">
        <w:rPr>
          <w:kern w:val="22"/>
        </w:rPr>
        <w:t>de las conclusiones de la labor del Grupo Especial de Expertos Técnicos en Consideraciones Socioeconómicas</w:t>
      </w:r>
      <w:r w:rsidR="002F1E9D" w:rsidRPr="0033641E">
        <w:rPr>
          <w:kern w:val="22"/>
          <w:sz w:val="20"/>
          <w:szCs w:val="20"/>
          <w:vertAlign w:val="superscript"/>
        </w:rPr>
        <w:footnoteReference w:id="3"/>
      </w:r>
      <w:r w:rsidR="002F1E9D" w:rsidRPr="0033641E">
        <w:rPr>
          <w:kern w:val="22"/>
          <w:szCs w:val="22"/>
        </w:rPr>
        <w:t>;</w:t>
      </w:r>
      <w:r w:rsidRPr="0033641E">
        <w:t xml:space="preserve">  </w:t>
      </w:r>
    </w:p>
    <w:p w14:paraId="15268895" w14:textId="1DCEFEF4" w:rsidR="00105AF5" w:rsidRPr="0033641E" w:rsidRDefault="006253D8" w:rsidP="00B00BEF">
      <w:pPr>
        <w:shd w:val="clear" w:color="auto" w:fill="FFFFFF" w:themeFill="background1"/>
        <w:spacing w:before="120"/>
        <w:ind w:firstLine="720"/>
        <w:rPr>
          <w:kern w:val="22"/>
          <w:szCs w:val="22"/>
        </w:rPr>
      </w:pPr>
      <w:r w:rsidRPr="0033641E">
        <w:t>2.</w:t>
      </w:r>
      <w:r w:rsidRPr="0033641E">
        <w:tab/>
      </w:r>
      <w:r w:rsidRPr="0033641E">
        <w:rPr>
          <w:i/>
          <w:snapToGrid w:val="0"/>
          <w:szCs w:val="22"/>
        </w:rPr>
        <w:t>Invit</w:t>
      </w:r>
      <w:r w:rsidR="00BB5423" w:rsidRPr="0033641E">
        <w:rPr>
          <w:i/>
          <w:snapToGrid w:val="0"/>
          <w:szCs w:val="22"/>
        </w:rPr>
        <w:t>a</w:t>
      </w:r>
      <w:r w:rsidRPr="0033641E">
        <w:rPr>
          <w:i/>
          <w:snapToGrid w:val="0"/>
          <w:szCs w:val="22"/>
        </w:rPr>
        <w:t xml:space="preserve"> </w:t>
      </w:r>
      <w:r w:rsidR="00BB5423" w:rsidRPr="0033641E">
        <w:rPr>
          <w:kern w:val="22"/>
        </w:rPr>
        <w:t>a las Partes, otros Gobiernos, organizaciones pertinentes y otros interesados a que cooperen y compartan experiencias pertinentes en lo que respecta a tener en cuenta consideraciones socioeconómicas en la toma de decisiones sobre organismos vivos modificados de conformidad con el artículo 26 del Protocolo</w:t>
      </w:r>
      <w:r w:rsidRPr="0033641E">
        <w:t xml:space="preserve">; </w:t>
      </w:r>
    </w:p>
    <w:p w14:paraId="0252668B" w14:textId="0AE325A5" w:rsidR="00105AF5" w:rsidRPr="0033641E" w:rsidRDefault="006253D8" w:rsidP="00B00BEF">
      <w:pPr>
        <w:shd w:val="clear" w:color="auto" w:fill="FFFFFF" w:themeFill="background1"/>
        <w:spacing w:before="120"/>
        <w:ind w:firstLine="720"/>
        <w:rPr>
          <w:kern w:val="22"/>
          <w:szCs w:val="22"/>
        </w:rPr>
      </w:pPr>
      <w:r w:rsidRPr="0033641E">
        <w:t>3.</w:t>
      </w:r>
      <w:r w:rsidRPr="0033641E">
        <w:tab/>
      </w:r>
      <w:r w:rsidR="0077063C" w:rsidRPr="0033641E">
        <w:rPr>
          <w:i/>
          <w:snapToGrid w:val="0"/>
          <w:szCs w:val="22"/>
        </w:rPr>
        <w:t>Invita también</w:t>
      </w:r>
      <w:r w:rsidRPr="0033641E">
        <w:rPr>
          <w:i/>
          <w:snapToGrid w:val="0"/>
          <w:szCs w:val="22"/>
        </w:rPr>
        <w:t xml:space="preserve"> </w:t>
      </w:r>
      <w:r w:rsidR="0077063C" w:rsidRPr="0033641E">
        <w:rPr>
          <w:kern w:val="22"/>
        </w:rPr>
        <w:t xml:space="preserve">a las Partes, otros Gobiernos, organizaciones pertinentes y otros interesados, según proceda, a utilizar la Orientación de carácter voluntario y presentar experiencias </w:t>
      </w:r>
      <w:r w:rsidR="00E71BCD" w:rsidRPr="0033641E">
        <w:rPr>
          <w:kern w:val="22"/>
        </w:rPr>
        <w:t>a la Secretaria Ejecutiva e</w:t>
      </w:r>
      <w:r w:rsidR="0077063C" w:rsidRPr="0033641E">
        <w:rPr>
          <w:kern w:val="22"/>
        </w:rPr>
        <w:t xml:space="preserve">n </w:t>
      </w:r>
      <w:r w:rsidR="00E71BCD" w:rsidRPr="0033641E">
        <w:rPr>
          <w:kern w:val="22"/>
        </w:rPr>
        <w:t>el uso de</w:t>
      </w:r>
      <w:r w:rsidR="0077063C" w:rsidRPr="0033641E">
        <w:rPr>
          <w:kern w:val="22"/>
        </w:rPr>
        <w:t xml:space="preserve"> la Orientación, así como ejemplos de metodologías y aplicaciones de consideraciones socioeconómicas que tengan en cuenta los elementos de la Orientación de carácter voluntario</w:t>
      </w:r>
      <w:r w:rsidRPr="0033641E">
        <w:rPr>
          <w:iCs/>
          <w:snapToGrid w:val="0"/>
          <w:szCs w:val="22"/>
        </w:rPr>
        <w:t xml:space="preserve">;  </w:t>
      </w:r>
    </w:p>
    <w:p w14:paraId="2E348EA1" w14:textId="699038D4" w:rsidR="00105AF5" w:rsidRPr="0033641E" w:rsidRDefault="006253D8" w:rsidP="00F67B07">
      <w:pPr>
        <w:shd w:val="clear" w:color="auto" w:fill="FFFFFF" w:themeFill="background1"/>
        <w:spacing w:before="120"/>
        <w:ind w:firstLine="720"/>
        <w:rPr>
          <w:kern w:val="22"/>
          <w:szCs w:val="22"/>
        </w:rPr>
      </w:pPr>
      <w:r w:rsidRPr="0033641E">
        <w:t>4.</w:t>
      </w:r>
      <w:r w:rsidRPr="0033641E">
        <w:tab/>
      </w:r>
      <w:r w:rsidR="0096283D" w:rsidRPr="0033641E">
        <w:rPr>
          <w:i/>
          <w:iCs/>
          <w:kern w:val="22"/>
        </w:rPr>
        <w:t xml:space="preserve">Pide </w:t>
      </w:r>
      <w:r w:rsidR="0096283D" w:rsidRPr="0033641E">
        <w:rPr>
          <w:kern w:val="22"/>
        </w:rPr>
        <w:t xml:space="preserve">a la Secretaria Ejecutiva que contacte a aquellas Partes que, en su cuarto informe nacional, </w:t>
      </w:r>
      <w:r w:rsidR="00410573" w:rsidRPr="0033641E">
        <w:rPr>
          <w:kern w:val="22"/>
        </w:rPr>
        <w:t xml:space="preserve">a) </w:t>
      </w:r>
      <w:r w:rsidR="0096283D" w:rsidRPr="0033641E">
        <w:rPr>
          <w:kern w:val="22"/>
        </w:rPr>
        <w:t xml:space="preserve">hayan indicado que tienen enfoques o requisitos específicos que facilitan el tener en cuenta consideraciones socioeconómicas en la toma de decisiones sobre organismos vivos modificados, o </w:t>
      </w:r>
      <w:r w:rsidR="00410573" w:rsidRPr="0033641E">
        <w:rPr>
          <w:kern w:val="22"/>
        </w:rPr>
        <w:t xml:space="preserve">b) </w:t>
      </w:r>
      <w:r w:rsidR="0096283D" w:rsidRPr="0033641E">
        <w:rPr>
          <w:kern w:val="22"/>
        </w:rPr>
        <w:t>que h</w:t>
      </w:r>
      <w:r w:rsidR="00D75A70" w:rsidRPr="0033641E">
        <w:rPr>
          <w:kern w:val="22"/>
        </w:rPr>
        <w:t>ay</w:t>
      </w:r>
      <w:r w:rsidR="0096283D" w:rsidRPr="0033641E">
        <w:rPr>
          <w:kern w:val="22"/>
        </w:rPr>
        <w:t>an tenido en cuenta consideraciones socioeconómicas surgidas a raíz del impacto de organismos vivos modificados</w:t>
      </w:r>
      <w:r w:rsidR="00410573" w:rsidRPr="0033641E">
        <w:rPr>
          <w:kern w:val="22"/>
        </w:rPr>
        <w:t xml:space="preserve"> en la conservación y utilización sostenible de la diversidad biológica</w:t>
      </w:r>
      <w:r w:rsidR="0096283D" w:rsidRPr="0033641E">
        <w:rPr>
          <w:kern w:val="22"/>
        </w:rPr>
        <w:t xml:space="preserve">, y las invite a compartir </w:t>
      </w:r>
      <w:r w:rsidR="003B4D7E" w:rsidRPr="0033641E">
        <w:rPr>
          <w:kern w:val="22"/>
        </w:rPr>
        <w:t>información sobre sus experiencias, en lo que respecta al artículo 26</w:t>
      </w:r>
      <w:r w:rsidRPr="0033641E">
        <w:t>;</w:t>
      </w:r>
    </w:p>
    <w:p w14:paraId="31508FCE" w14:textId="10C06EF7" w:rsidR="00105AF5" w:rsidRPr="0033641E" w:rsidRDefault="006253D8" w:rsidP="00B00BEF">
      <w:pPr>
        <w:shd w:val="clear" w:color="auto" w:fill="FFFFFF" w:themeFill="background1"/>
        <w:spacing w:before="120"/>
        <w:ind w:firstLine="720"/>
        <w:rPr>
          <w:snapToGrid w:val="0"/>
          <w:kern w:val="22"/>
          <w:szCs w:val="18"/>
        </w:rPr>
      </w:pPr>
      <w:r w:rsidRPr="0033641E">
        <w:t>5.</w:t>
      </w:r>
      <w:r w:rsidRPr="0033641E">
        <w:tab/>
      </w:r>
      <w:r w:rsidR="00DA7CF8" w:rsidRPr="0033641E">
        <w:rPr>
          <w:i/>
          <w:iCs/>
          <w:kern w:val="22"/>
        </w:rPr>
        <w:t>Pide también</w:t>
      </w:r>
      <w:r w:rsidR="00DA7CF8" w:rsidRPr="0033641E">
        <w:rPr>
          <w:kern w:val="22"/>
        </w:rPr>
        <w:t xml:space="preserve"> a la Secretaria Ejecutiva que recopile la información recogida en respuesta a los párrafos 3 y 4 </w:t>
      </w:r>
      <w:r w:rsidR="002C4551">
        <w:rPr>
          <w:kern w:val="22"/>
        </w:rPr>
        <w:t xml:space="preserve">anteriores </w:t>
      </w:r>
      <w:r w:rsidR="00DA7CF8" w:rsidRPr="0033641E">
        <w:rPr>
          <w:kern w:val="22"/>
        </w:rPr>
        <w:t>y presente esa síntesis a la Conferencia de las Partes que actúa como reunión de las Partes en el Protocolo de Cartagena para que la considere en su 11ª reunión, con miras a determinar si es necesario seguir trabajando sobre esto</w:t>
      </w:r>
      <w:r w:rsidRPr="0033641E">
        <w:t>.</w:t>
      </w:r>
    </w:p>
    <w:p w14:paraId="55FDCE98" w14:textId="2948E9A2" w:rsidR="00B3369F" w:rsidRPr="0033641E" w:rsidRDefault="006253D8" w:rsidP="006253D8">
      <w:pPr>
        <w:jc w:val="center"/>
        <w:rPr>
          <w:rFonts w:asciiTheme="majorBidi" w:hAnsiTheme="majorBidi" w:cstheme="majorBidi"/>
          <w:b/>
          <w:bCs/>
          <w:snapToGrid w:val="0"/>
          <w:kern w:val="22"/>
        </w:rPr>
      </w:pPr>
      <w:r w:rsidRPr="0033641E">
        <w:rPr>
          <w:rFonts w:asciiTheme="majorBidi" w:hAnsiTheme="majorBidi"/>
          <w:b/>
          <w:bCs/>
          <w:snapToGrid w:val="0"/>
        </w:rPr>
        <w:t>__________</w:t>
      </w:r>
    </w:p>
    <w:sectPr w:rsidR="00B3369F" w:rsidRPr="0033641E" w:rsidSect="000A50F5">
      <w:headerReference w:type="even" r:id="rId15"/>
      <w:headerReference w:type="default" r:id="rId16"/>
      <w:footerReference w:type="even" r:id="rId17"/>
      <w:footerReference w:type="default" r:id="rId18"/>
      <w:headerReference w:type="first" r:id="rId19"/>
      <w:footerReference w:type="first" r:id="rId20"/>
      <w:pgSz w:w="12240" w:h="15840"/>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C0FA6" w14:textId="77777777" w:rsidR="00F954E3" w:rsidRDefault="00F954E3" w:rsidP="00CF1848">
      <w:r>
        <w:separator/>
      </w:r>
    </w:p>
  </w:endnote>
  <w:endnote w:type="continuationSeparator" w:id="0">
    <w:p w14:paraId="536CC1AE" w14:textId="77777777" w:rsidR="00F954E3" w:rsidRDefault="00F954E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15A9B" w14:textId="77777777" w:rsidR="00BC3C3C" w:rsidRDefault="00BC3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302F" w14:textId="77777777" w:rsidR="00BC3C3C" w:rsidRDefault="00BC3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2EB41" w14:textId="77777777" w:rsidR="00BC3C3C" w:rsidRDefault="00BC3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D25BA" w14:textId="77777777" w:rsidR="00F954E3" w:rsidRDefault="00F954E3" w:rsidP="00CF1848">
      <w:r>
        <w:separator/>
      </w:r>
    </w:p>
  </w:footnote>
  <w:footnote w:type="continuationSeparator" w:id="0">
    <w:p w14:paraId="0E0057B1" w14:textId="77777777" w:rsidR="00F954E3" w:rsidRDefault="00F954E3" w:rsidP="00CF1848">
      <w:r>
        <w:continuationSeparator/>
      </w:r>
    </w:p>
  </w:footnote>
  <w:footnote w:id="1">
    <w:p w14:paraId="57A56D3C" w14:textId="5ABF8763" w:rsidR="00ED6E7C" w:rsidRPr="00D85077" w:rsidRDefault="00ED6E7C" w:rsidP="00ED6E7C">
      <w:pPr>
        <w:pStyle w:val="FootnoteText"/>
        <w:ind w:firstLine="0"/>
        <w:rPr>
          <w:szCs w:val="18"/>
        </w:rPr>
      </w:pPr>
      <w:r w:rsidRPr="00D85077">
        <w:rPr>
          <w:rStyle w:val="FootnoteReference"/>
          <w:sz w:val="18"/>
          <w:szCs w:val="18"/>
        </w:rPr>
        <w:footnoteRef/>
      </w:r>
      <w:r w:rsidRPr="00D85077">
        <w:rPr>
          <w:szCs w:val="18"/>
        </w:rPr>
        <w:t xml:space="preserve"> </w:t>
      </w:r>
      <w:r w:rsidR="004F0ED8">
        <w:rPr>
          <w:szCs w:val="18"/>
        </w:rPr>
        <w:t>Anexo de la d</w:t>
      </w:r>
      <w:r w:rsidR="004F0ED8" w:rsidRPr="00D85077">
        <w:rPr>
          <w:szCs w:val="18"/>
        </w:rPr>
        <w:t>ecisión</w:t>
      </w:r>
      <w:r w:rsidR="004F0ED8">
        <w:rPr>
          <w:szCs w:val="18"/>
        </w:rPr>
        <w:t xml:space="preserve"> CP-10/3</w:t>
      </w:r>
      <w:r w:rsidRPr="00D85077">
        <w:rPr>
          <w:szCs w:val="18"/>
        </w:rPr>
        <w:t>.</w:t>
      </w:r>
    </w:p>
  </w:footnote>
  <w:footnote w:id="2">
    <w:p w14:paraId="4BDB6E38" w14:textId="7C5C0CD3" w:rsidR="00ED6E7C" w:rsidRPr="00D85077" w:rsidRDefault="00ED6E7C" w:rsidP="008D44F5">
      <w:pPr>
        <w:pStyle w:val="FootnoteText"/>
        <w:ind w:firstLine="0"/>
        <w:rPr>
          <w:szCs w:val="18"/>
        </w:rPr>
      </w:pPr>
      <w:r w:rsidRPr="00D85077">
        <w:rPr>
          <w:rStyle w:val="FootnoteReference"/>
          <w:sz w:val="18"/>
          <w:szCs w:val="18"/>
        </w:rPr>
        <w:footnoteRef/>
      </w:r>
      <w:r w:rsidRPr="00D85077">
        <w:rPr>
          <w:szCs w:val="18"/>
        </w:rPr>
        <w:t xml:space="preserve"> </w:t>
      </w:r>
      <w:r w:rsidR="004F0ED8">
        <w:rPr>
          <w:szCs w:val="18"/>
        </w:rPr>
        <w:t>Anexo de la d</w:t>
      </w:r>
      <w:r w:rsidR="004F0ED8" w:rsidRPr="00D85077">
        <w:rPr>
          <w:szCs w:val="18"/>
        </w:rPr>
        <w:t>ecisión</w:t>
      </w:r>
      <w:r w:rsidRPr="00D85077">
        <w:rPr>
          <w:szCs w:val="18"/>
        </w:rPr>
        <w:t xml:space="preserve"> CP-10/</w:t>
      </w:r>
      <w:r>
        <w:rPr>
          <w:szCs w:val="18"/>
        </w:rPr>
        <w:t>4</w:t>
      </w:r>
      <w:r w:rsidRPr="00D85077">
        <w:rPr>
          <w:szCs w:val="18"/>
        </w:rPr>
        <w:t>.</w:t>
      </w:r>
    </w:p>
  </w:footnote>
  <w:footnote w:id="3">
    <w:p w14:paraId="394891CD" w14:textId="77777777" w:rsidR="002F1E9D" w:rsidRPr="004672D9" w:rsidRDefault="002F1E9D" w:rsidP="002F1E9D">
      <w:pPr>
        <w:pStyle w:val="FootnoteText"/>
        <w:spacing w:after="0"/>
        <w:ind w:firstLine="0"/>
        <w:rPr>
          <w:lang w:val="es-ES"/>
        </w:rPr>
      </w:pPr>
      <w:r w:rsidRPr="001119AC">
        <w:rPr>
          <w:rStyle w:val="FootnoteReference"/>
          <w:kern w:val="22"/>
          <w:sz w:val="20"/>
          <w:szCs w:val="20"/>
        </w:rPr>
        <w:footnoteRef/>
      </w:r>
      <w:r w:rsidRPr="004672D9">
        <w:rPr>
          <w:lang w:val="es-ES"/>
        </w:rPr>
        <w:t xml:space="preserve"> </w:t>
      </w:r>
      <w:r w:rsidRPr="008515EE">
        <w:rPr>
          <w:lang w:val="es-ES"/>
        </w:rPr>
        <w:t xml:space="preserve">Expuestas en el documento </w:t>
      </w:r>
      <w:proofErr w:type="spellStart"/>
      <w:r w:rsidRPr="008515EE">
        <w:rPr>
          <w:lang w:val="es-ES"/>
        </w:rPr>
        <w:t>CBD</w:t>
      </w:r>
      <w:proofErr w:type="spellEnd"/>
      <w:r w:rsidRPr="008515EE">
        <w:rPr>
          <w:lang w:val="es-ES"/>
        </w:rPr>
        <w:t>/</w:t>
      </w:r>
      <w:proofErr w:type="spellStart"/>
      <w:r w:rsidRPr="008515EE">
        <w:rPr>
          <w:lang w:val="es-ES"/>
        </w:rPr>
        <w:t>CP</w:t>
      </w:r>
      <w:proofErr w:type="spellEnd"/>
      <w:r w:rsidRPr="008515EE">
        <w:rPr>
          <w:lang w:val="es-ES"/>
        </w:rPr>
        <w:t>/</w:t>
      </w:r>
      <w:proofErr w:type="spellStart"/>
      <w:r w:rsidRPr="008515EE">
        <w:rPr>
          <w:lang w:val="es-ES"/>
        </w:rPr>
        <w:t>MOP</w:t>
      </w:r>
      <w:proofErr w:type="spellEnd"/>
      <w:r w:rsidRPr="008515EE">
        <w:rPr>
          <w:lang w:val="es-ES"/>
        </w:rPr>
        <w:t>/10/11, anexos II y III</w:t>
      </w:r>
      <w:r w:rsidRPr="004672D9">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52524433" w:rsidR="00A373EB" w:rsidRPr="00B64323" w:rsidRDefault="0033641E" w:rsidP="00A373EB">
        <w:pPr>
          <w:pStyle w:val="Cornernotation"/>
          <w:ind w:right="-36"/>
          <w:rPr>
            <w:i/>
            <w:iCs/>
            <w:lang w:val="en-US"/>
          </w:rPr>
        </w:pPr>
        <w:r>
          <w:rPr>
            <w:lang w:val="en-US"/>
          </w:rPr>
          <w:t>CBD/CP/MOP/DEC/10/12</w:t>
        </w:r>
      </w:p>
    </w:sdtContent>
  </w:sdt>
  <w:p w14:paraId="5CB52F24" w14:textId="7AB1860D" w:rsidR="000E579F" w:rsidRPr="00DF1739" w:rsidRDefault="00A373EB" w:rsidP="00DF1739">
    <w:pPr>
      <w:pStyle w:val="Header"/>
      <w:spacing w:after="240"/>
    </w:pPr>
    <w:r>
      <w:t xml:space="preserve">Página </w:t>
    </w:r>
    <w:r>
      <w:fldChar w:fldCharType="begin"/>
    </w:r>
    <w:r w:rsidRPr="00C35549">
      <w:instrText xml:space="preserve"> PAGE   \* MERGEFORMAT </w:instrText>
    </w:r>
    <w:r>
      <w:fldChar w:fldCharType="separate"/>
    </w:r>
    <w:r w:rsidR="0013450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pt-B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17372FE2" w:rsidR="009505C9" w:rsidRPr="005427A6" w:rsidRDefault="0033641E" w:rsidP="009505C9">
        <w:pPr>
          <w:pStyle w:val="Header"/>
          <w:jc w:val="right"/>
          <w:rPr>
            <w:lang w:val="pt-BR"/>
          </w:rPr>
        </w:pPr>
        <w:r>
          <w:rPr>
            <w:lang w:val="pt-BR"/>
          </w:rPr>
          <w:t>CBD/CP/MOP/DEC/10/12</w:t>
        </w:r>
      </w:p>
    </w:sdtContent>
  </w:sdt>
  <w:p w14:paraId="38A69C04" w14:textId="77777777" w:rsidR="009505C9" w:rsidRPr="005427A6" w:rsidRDefault="009505C9" w:rsidP="009505C9">
    <w:pPr>
      <w:pStyle w:val="Header"/>
      <w:jc w:val="right"/>
      <w:rPr>
        <w:lang w:val="pt-BR"/>
      </w:rPr>
    </w:pPr>
    <w:r w:rsidRPr="005427A6">
      <w:rPr>
        <w:lang w:val="pt-BR"/>
      </w:rPr>
      <w:t xml:space="preserve">Página </w:t>
    </w:r>
    <w:r>
      <w:fldChar w:fldCharType="begin"/>
    </w:r>
    <w:r w:rsidRPr="005427A6">
      <w:rPr>
        <w:lang w:val="pt-BR"/>
      </w:rPr>
      <w:instrText xml:space="preserve"> PAGE   \* MERGEFORMAT </w:instrText>
    </w:r>
    <w:r>
      <w:fldChar w:fldCharType="separate"/>
    </w:r>
    <w:r w:rsidR="00F6586C" w:rsidRPr="005427A6">
      <w:rPr>
        <w:lang w:val="pt-BR"/>
      </w:rPr>
      <w:t>3</w:t>
    </w:r>
    <w:r>
      <w:fldChar w:fldCharType="end"/>
    </w:r>
  </w:p>
  <w:p w14:paraId="6ABC0C1C" w14:textId="77777777" w:rsidR="009505C9" w:rsidRPr="005427A6" w:rsidRDefault="009505C9">
    <w:pPr>
      <w:pStyle w:val="Header"/>
      <w:rPr>
        <w:lang w:val="pt-BR"/>
      </w:rPr>
    </w:pPr>
  </w:p>
  <w:p w14:paraId="0AF4EC2C" w14:textId="77777777" w:rsidR="000E579F" w:rsidRPr="005427A6" w:rsidRDefault="000E579F">
    <w:pP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CEC5E" w14:textId="77777777" w:rsidR="00BC3C3C" w:rsidRDefault="00BC3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3B3417"/>
    <w:multiLevelType w:val="hybridMultilevel"/>
    <w:tmpl w:val="7E6EB436"/>
    <w:lvl w:ilvl="0" w:tplc="1EA4FA7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E23244"/>
    <w:multiLevelType w:val="multilevel"/>
    <w:tmpl w:val="419A0FBC"/>
    <w:lvl w:ilvl="0">
      <w:start w:val="14"/>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080"/>
        </w:tabs>
        <w:ind w:left="0" w:firstLine="720"/>
      </w:pPr>
      <w:rPr>
        <w:rFonts w:hint="default"/>
        <w:b w:val="0"/>
        <w:i w:val="0"/>
        <w:strike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strike w:val="0"/>
      </w:rPr>
    </w:lvl>
    <w:lvl w:ilvl="7">
      <w:start w:val="1"/>
      <w:numFmt w:val="lowerLetter"/>
      <w:lvlText w:val="(%8)"/>
      <w:lvlJc w:val="left"/>
      <w:pPr>
        <w:tabs>
          <w:tab w:val="num" w:pos="2880"/>
        </w:tabs>
        <w:ind w:left="2880" w:hanging="360"/>
      </w:pPr>
      <w:rPr>
        <w:rFonts w:hint="default"/>
        <w:strike w:val="0"/>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D7337"/>
    <w:multiLevelType w:val="hybridMultilevel"/>
    <w:tmpl w:val="AC0CCA2A"/>
    <w:lvl w:ilvl="0" w:tplc="D02A799E">
      <w:start w:val="1"/>
      <w:numFmt w:val="decimal"/>
      <w:lvlText w:val="%1."/>
      <w:lvlJc w:val="left"/>
      <w:pPr>
        <w:ind w:left="720" w:hanging="360"/>
      </w:pPr>
      <w:rPr>
        <w:rFonts w:hint="default"/>
      </w:rPr>
    </w:lvl>
    <w:lvl w:ilvl="1" w:tplc="07C0B2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2"/>
  </w:num>
  <w:num w:numId="18">
    <w:abstractNumId w:val="14"/>
  </w:num>
  <w:num w:numId="19">
    <w:abstractNumId w:val="13"/>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2D"/>
    <w:rsid w:val="00026F59"/>
    <w:rsid w:val="00033D1C"/>
    <w:rsid w:val="0007171B"/>
    <w:rsid w:val="0007232D"/>
    <w:rsid w:val="00073706"/>
    <w:rsid w:val="000A50F5"/>
    <w:rsid w:val="000D0F0A"/>
    <w:rsid w:val="000E15DD"/>
    <w:rsid w:val="000E579F"/>
    <w:rsid w:val="000E673A"/>
    <w:rsid w:val="000F23A9"/>
    <w:rsid w:val="000F74F5"/>
    <w:rsid w:val="00102267"/>
    <w:rsid w:val="00105372"/>
    <w:rsid w:val="00105AF5"/>
    <w:rsid w:val="00111A13"/>
    <w:rsid w:val="001210E3"/>
    <w:rsid w:val="001312AD"/>
    <w:rsid w:val="00131E7A"/>
    <w:rsid w:val="00132E69"/>
    <w:rsid w:val="00134507"/>
    <w:rsid w:val="00134846"/>
    <w:rsid w:val="00153CD3"/>
    <w:rsid w:val="00170FE7"/>
    <w:rsid w:val="00172AF6"/>
    <w:rsid w:val="00176CEE"/>
    <w:rsid w:val="00186DD8"/>
    <w:rsid w:val="00191EAC"/>
    <w:rsid w:val="001A374F"/>
    <w:rsid w:val="001B13FE"/>
    <w:rsid w:val="001B423A"/>
    <w:rsid w:val="001C1C89"/>
    <w:rsid w:val="001C3A1E"/>
    <w:rsid w:val="001D195A"/>
    <w:rsid w:val="001E3E61"/>
    <w:rsid w:val="00213684"/>
    <w:rsid w:val="00215539"/>
    <w:rsid w:val="002A486F"/>
    <w:rsid w:val="002C0FEB"/>
    <w:rsid w:val="002C3868"/>
    <w:rsid w:val="002C4551"/>
    <w:rsid w:val="002F1E9D"/>
    <w:rsid w:val="002F4BD6"/>
    <w:rsid w:val="0030169D"/>
    <w:rsid w:val="00302AAD"/>
    <w:rsid w:val="003060EB"/>
    <w:rsid w:val="003153EB"/>
    <w:rsid w:val="003160EC"/>
    <w:rsid w:val="00321985"/>
    <w:rsid w:val="00331F8A"/>
    <w:rsid w:val="00332EC8"/>
    <w:rsid w:val="0033641E"/>
    <w:rsid w:val="00351205"/>
    <w:rsid w:val="0036246F"/>
    <w:rsid w:val="00366417"/>
    <w:rsid w:val="00372F74"/>
    <w:rsid w:val="00390FAB"/>
    <w:rsid w:val="003B4D7E"/>
    <w:rsid w:val="003C0F7F"/>
    <w:rsid w:val="003C6CC6"/>
    <w:rsid w:val="003E5B0D"/>
    <w:rsid w:val="003E7A1B"/>
    <w:rsid w:val="003F220B"/>
    <w:rsid w:val="003F7224"/>
    <w:rsid w:val="00410573"/>
    <w:rsid w:val="00423CDE"/>
    <w:rsid w:val="00427D21"/>
    <w:rsid w:val="00430E63"/>
    <w:rsid w:val="00436609"/>
    <w:rsid w:val="0044021B"/>
    <w:rsid w:val="00442EED"/>
    <w:rsid w:val="00443E56"/>
    <w:rsid w:val="0045542F"/>
    <w:rsid w:val="004644C2"/>
    <w:rsid w:val="00467F9C"/>
    <w:rsid w:val="004716E6"/>
    <w:rsid w:val="004858AF"/>
    <w:rsid w:val="00494DB2"/>
    <w:rsid w:val="004A24B2"/>
    <w:rsid w:val="004D3D98"/>
    <w:rsid w:val="004F0ED8"/>
    <w:rsid w:val="005056F9"/>
    <w:rsid w:val="00510EA7"/>
    <w:rsid w:val="005208AC"/>
    <w:rsid w:val="005234AD"/>
    <w:rsid w:val="00534681"/>
    <w:rsid w:val="005353D1"/>
    <w:rsid w:val="0054172D"/>
    <w:rsid w:val="005427A6"/>
    <w:rsid w:val="00563442"/>
    <w:rsid w:val="005659A7"/>
    <w:rsid w:val="00565B42"/>
    <w:rsid w:val="00577B8F"/>
    <w:rsid w:val="005A4491"/>
    <w:rsid w:val="005B2A36"/>
    <w:rsid w:val="005C4CE6"/>
    <w:rsid w:val="005C5B14"/>
    <w:rsid w:val="005D66CC"/>
    <w:rsid w:val="005E392D"/>
    <w:rsid w:val="00603F70"/>
    <w:rsid w:val="006122BA"/>
    <w:rsid w:val="00612AB1"/>
    <w:rsid w:val="006154FE"/>
    <w:rsid w:val="006201CE"/>
    <w:rsid w:val="00622F38"/>
    <w:rsid w:val="0062304C"/>
    <w:rsid w:val="006253D8"/>
    <w:rsid w:val="0062756A"/>
    <w:rsid w:val="006371A3"/>
    <w:rsid w:val="00643573"/>
    <w:rsid w:val="00651BDA"/>
    <w:rsid w:val="00664348"/>
    <w:rsid w:val="00670691"/>
    <w:rsid w:val="00673967"/>
    <w:rsid w:val="006868CC"/>
    <w:rsid w:val="00691E64"/>
    <w:rsid w:val="00697E73"/>
    <w:rsid w:val="006A66FF"/>
    <w:rsid w:val="006B2290"/>
    <w:rsid w:val="006B4B47"/>
    <w:rsid w:val="006C7757"/>
    <w:rsid w:val="006E2A4A"/>
    <w:rsid w:val="006E73C9"/>
    <w:rsid w:val="0071291C"/>
    <w:rsid w:val="00717D88"/>
    <w:rsid w:val="00726BC5"/>
    <w:rsid w:val="007319AF"/>
    <w:rsid w:val="00736084"/>
    <w:rsid w:val="00752A0D"/>
    <w:rsid w:val="00761924"/>
    <w:rsid w:val="0077063C"/>
    <w:rsid w:val="00786056"/>
    <w:rsid w:val="00786124"/>
    <w:rsid w:val="00791623"/>
    <w:rsid w:val="007942D3"/>
    <w:rsid w:val="007A4DA7"/>
    <w:rsid w:val="007A5D3A"/>
    <w:rsid w:val="007B06D8"/>
    <w:rsid w:val="007B2099"/>
    <w:rsid w:val="007B5BF7"/>
    <w:rsid w:val="007B6C09"/>
    <w:rsid w:val="007B7741"/>
    <w:rsid w:val="007E09DA"/>
    <w:rsid w:val="007E0AD5"/>
    <w:rsid w:val="007E43FC"/>
    <w:rsid w:val="00806996"/>
    <w:rsid w:val="008178B6"/>
    <w:rsid w:val="0082191A"/>
    <w:rsid w:val="0082687F"/>
    <w:rsid w:val="0083577D"/>
    <w:rsid w:val="00852ACD"/>
    <w:rsid w:val="008573B8"/>
    <w:rsid w:val="00865B74"/>
    <w:rsid w:val="008675BC"/>
    <w:rsid w:val="00891AB1"/>
    <w:rsid w:val="008974F0"/>
    <w:rsid w:val="008A05E1"/>
    <w:rsid w:val="008A07A4"/>
    <w:rsid w:val="008B012A"/>
    <w:rsid w:val="008B1ECA"/>
    <w:rsid w:val="008D44F5"/>
    <w:rsid w:val="00906E17"/>
    <w:rsid w:val="0091153D"/>
    <w:rsid w:val="00930BA1"/>
    <w:rsid w:val="0093169E"/>
    <w:rsid w:val="009376D1"/>
    <w:rsid w:val="009505C9"/>
    <w:rsid w:val="00950752"/>
    <w:rsid w:val="0096283D"/>
    <w:rsid w:val="00966424"/>
    <w:rsid w:val="00971B70"/>
    <w:rsid w:val="009A7A30"/>
    <w:rsid w:val="009C2805"/>
    <w:rsid w:val="009C2DE6"/>
    <w:rsid w:val="009C2ED7"/>
    <w:rsid w:val="009D661F"/>
    <w:rsid w:val="009E71A2"/>
    <w:rsid w:val="009F0FBA"/>
    <w:rsid w:val="00A027AC"/>
    <w:rsid w:val="00A1603B"/>
    <w:rsid w:val="00A21375"/>
    <w:rsid w:val="00A24F45"/>
    <w:rsid w:val="00A373EB"/>
    <w:rsid w:val="00A50196"/>
    <w:rsid w:val="00A528C3"/>
    <w:rsid w:val="00A56F7A"/>
    <w:rsid w:val="00A83641"/>
    <w:rsid w:val="00AA33C0"/>
    <w:rsid w:val="00AA5CA2"/>
    <w:rsid w:val="00AA6F92"/>
    <w:rsid w:val="00AB023C"/>
    <w:rsid w:val="00AB6934"/>
    <w:rsid w:val="00AE12D6"/>
    <w:rsid w:val="00AF42DE"/>
    <w:rsid w:val="00B00BEF"/>
    <w:rsid w:val="00B03F69"/>
    <w:rsid w:val="00B3369F"/>
    <w:rsid w:val="00B350E1"/>
    <w:rsid w:val="00B50A8B"/>
    <w:rsid w:val="00B64323"/>
    <w:rsid w:val="00B70BFC"/>
    <w:rsid w:val="00B81E24"/>
    <w:rsid w:val="00B83C37"/>
    <w:rsid w:val="00B83E32"/>
    <w:rsid w:val="00B840DC"/>
    <w:rsid w:val="00B94E6C"/>
    <w:rsid w:val="00BB4606"/>
    <w:rsid w:val="00BB5423"/>
    <w:rsid w:val="00BC3C3C"/>
    <w:rsid w:val="00BC771B"/>
    <w:rsid w:val="00BF1E48"/>
    <w:rsid w:val="00BF524C"/>
    <w:rsid w:val="00BF75FC"/>
    <w:rsid w:val="00BF79BD"/>
    <w:rsid w:val="00C043D8"/>
    <w:rsid w:val="00C056E4"/>
    <w:rsid w:val="00C23D2F"/>
    <w:rsid w:val="00C32D4D"/>
    <w:rsid w:val="00C443BD"/>
    <w:rsid w:val="00C451C5"/>
    <w:rsid w:val="00C61BBE"/>
    <w:rsid w:val="00C9161D"/>
    <w:rsid w:val="00C94CFE"/>
    <w:rsid w:val="00C9532F"/>
    <w:rsid w:val="00CA0C1D"/>
    <w:rsid w:val="00CE0271"/>
    <w:rsid w:val="00CF0518"/>
    <w:rsid w:val="00CF1848"/>
    <w:rsid w:val="00D12044"/>
    <w:rsid w:val="00D12CEF"/>
    <w:rsid w:val="00D33EFC"/>
    <w:rsid w:val="00D40DBC"/>
    <w:rsid w:val="00D42703"/>
    <w:rsid w:val="00D45A25"/>
    <w:rsid w:val="00D4618A"/>
    <w:rsid w:val="00D52724"/>
    <w:rsid w:val="00D75A70"/>
    <w:rsid w:val="00D76A18"/>
    <w:rsid w:val="00D80849"/>
    <w:rsid w:val="00D82E8F"/>
    <w:rsid w:val="00DA7CF8"/>
    <w:rsid w:val="00DB0A74"/>
    <w:rsid w:val="00DB6A38"/>
    <w:rsid w:val="00DD118C"/>
    <w:rsid w:val="00DE5A78"/>
    <w:rsid w:val="00DF1739"/>
    <w:rsid w:val="00E2299B"/>
    <w:rsid w:val="00E27E0E"/>
    <w:rsid w:val="00E5451F"/>
    <w:rsid w:val="00E60BB3"/>
    <w:rsid w:val="00E64A3D"/>
    <w:rsid w:val="00E66235"/>
    <w:rsid w:val="00E7196C"/>
    <w:rsid w:val="00E71BCD"/>
    <w:rsid w:val="00E730E1"/>
    <w:rsid w:val="00E83C24"/>
    <w:rsid w:val="00E917CD"/>
    <w:rsid w:val="00E927FD"/>
    <w:rsid w:val="00E9318D"/>
    <w:rsid w:val="00EA15E6"/>
    <w:rsid w:val="00EA1B01"/>
    <w:rsid w:val="00EA2296"/>
    <w:rsid w:val="00EB157F"/>
    <w:rsid w:val="00EB430F"/>
    <w:rsid w:val="00EC032B"/>
    <w:rsid w:val="00EC7B22"/>
    <w:rsid w:val="00ED208D"/>
    <w:rsid w:val="00ED3228"/>
    <w:rsid w:val="00ED6E7C"/>
    <w:rsid w:val="00EF2370"/>
    <w:rsid w:val="00EF4514"/>
    <w:rsid w:val="00EF5DAC"/>
    <w:rsid w:val="00F1761E"/>
    <w:rsid w:val="00F53193"/>
    <w:rsid w:val="00F5357E"/>
    <w:rsid w:val="00F574F1"/>
    <w:rsid w:val="00F6586C"/>
    <w:rsid w:val="00F67B07"/>
    <w:rsid w:val="00F708FD"/>
    <w:rsid w:val="00F726AE"/>
    <w:rsid w:val="00F94774"/>
    <w:rsid w:val="00F954E3"/>
    <w:rsid w:val="00F9795B"/>
    <w:rsid w:val="00FA663B"/>
    <w:rsid w:val="00FC53DB"/>
    <w:rsid w:val="00FD30D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UY"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UY"/>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UY"/>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UY"/>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UY"/>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UY"/>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UY"/>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UY"/>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UY"/>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UY"/>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UY"/>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s-UY"/>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UY"/>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UY"/>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UY"/>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UY"/>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UY"/>
    </w:rPr>
  </w:style>
  <w:style w:type="character" w:customStyle="1" w:styleId="Heading7Char">
    <w:name w:val="Heading 7 Char"/>
    <w:basedOn w:val="DefaultParagraphFont"/>
    <w:link w:val="Heading7"/>
    <w:rsid w:val="007E09DA"/>
    <w:rPr>
      <w:rFonts w:ascii="Univers" w:eastAsia="Times New Roman" w:hAnsi="Univers" w:cs="Times New Roman"/>
      <w:b/>
      <w:sz w:val="28"/>
      <w:lang w:val="es-UY"/>
    </w:rPr>
  </w:style>
  <w:style w:type="character" w:customStyle="1" w:styleId="Heading8Char">
    <w:name w:val="Heading 8 Char"/>
    <w:basedOn w:val="DefaultParagraphFont"/>
    <w:link w:val="Heading8"/>
    <w:rsid w:val="007E09DA"/>
    <w:rPr>
      <w:rFonts w:ascii="Univers" w:eastAsia="Times New Roman" w:hAnsi="Univers" w:cs="Times New Roman"/>
      <w:b/>
      <w:sz w:val="32"/>
      <w:lang w:val="es-UY"/>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UY"/>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UY"/>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6A66FF"/>
    <w:pPr>
      <w:spacing w:before="120" w:after="160" w:line="240" w:lineRule="exact"/>
    </w:pPr>
    <w:rPr>
      <w:rFonts w:asciiTheme="minorHAnsi" w:eastAsiaTheme="minorEastAsia" w:hAnsiTheme="minorHAnsi" w:cstheme="minorBidi"/>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6A66FF"/>
    <w:rPr>
      <w:rFonts w:ascii="Times New Roman" w:eastAsia="Times New Roman" w:hAnsi="Times New Roman" w:cs="Times New Roman"/>
      <w:sz w:val="22"/>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86AEE673C3C44C3BAC69E03CF2AC321D"/>
        <w:category>
          <w:name w:val="General"/>
          <w:gallery w:val="placeholder"/>
        </w:category>
        <w:types>
          <w:type w:val="bbPlcHdr"/>
        </w:types>
        <w:behaviors>
          <w:behavior w:val="content"/>
        </w:behaviors>
        <w:guid w:val="{2753B507-BFCA-47B9-971F-4FD097511809}"/>
      </w:docPartPr>
      <w:docPartBody>
        <w:p w:rsidR="00DA3E4D" w:rsidRDefault="00D436DD" w:rsidP="00D436DD">
          <w:pPr>
            <w:pStyle w:val="86AEE673C3C44C3BAC69E03CF2AC321D"/>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FA"/>
    <w:rsid w:val="00032833"/>
    <w:rsid w:val="00331D5B"/>
    <w:rsid w:val="003343C8"/>
    <w:rsid w:val="00495033"/>
    <w:rsid w:val="004C6765"/>
    <w:rsid w:val="005232CA"/>
    <w:rsid w:val="007016B3"/>
    <w:rsid w:val="00747165"/>
    <w:rsid w:val="007B6960"/>
    <w:rsid w:val="007C7D84"/>
    <w:rsid w:val="00800648"/>
    <w:rsid w:val="00854BF9"/>
    <w:rsid w:val="008962CD"/>
    <w:rsid w:val="008E2B12"/>
    <w:rsid w:val="00934129"/>
    <w:rsid w:val="00947113"/>
    <w:rsid w:val="00971BCD"/>
    <w:rsid w:val="009A09AB"/>
    <w:rsid w:val="00AB72FA"/>
    <w:rsid w:val="00C50EC6"/>
    <w:rsid w:val="00CA32AF"/>
    <w:rsid w:val="00D14465"/>
    <w:rsid w:val="00D36602"/>
    <w:rsid w:val="00D436DD"/>
    <w:rsid w:val="00DA3E4D"/>
    <w:rsid w:val="00EA1EFE"/>
    <w:rsid w:val="00EC2BC4"/>
    <w:rsid w:val="00FC7B2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36DD"/>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C8654DE4A6C04D11A199F1C8B96F8638">
    <w:name w:val="C8654DE4A6C04D11A199F1C8B96F8638"/>
    <w:rsid w:val="008E2B12"/>
    <w:rPr>
      <w:lang w:val="en-US" w:eastAsia="zh-CN"/>
    </w:rPr>
  </w:style>
  <w:style w:type="paragraph" w:customStyle="1" w:styleId="86AEE673C3C44C3BAC69E03CF2AC321D">
    <w:name w:val="86AEE673C3C44C3BAC69E03CF2AC321D"/>
    <w:rsid w:val="00D436D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B6F17C4B-227C-4A1A-885D-CEBCACA78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9CBCD4-3069-42A9-A68B-1CB3D497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Template>
  <TotalTime>21</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Consideraciones socioeconómicas (artículo 26)</vt:lpstr>
    </vt:vector>
  </TitlesOfParts>
  <Company>SCBD</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CP-10/12.  Consideraciones socioeconómicas (artículo 26)</dc:title>
  <dc:subject>CBD/CP/MOP/DEC/10/12</dc:subject>
  <dc:creator>Veronique Lefebvre</dc:creator>
  <cp:keywords>Conference of the Parties to the Convention on Biological Diversity serving as the meeting of the Parties to the Cartagena Protocol on Biosafety, tenth meeting</cp:keywords>
  <cp:lastModifiedBy>Rosario </cp:lastModifiedBy>
  <cp:revision>14</cp:revision>
  <cp:lastPrinted>2020-01-21T16:56:00Z</cp:lastPrinted>
  <dcterms:created xsi:type="dcterms:W3CDTF">2023-02-24T11:58:00Z</dcterms:created>
  <dcterms:modified xsi:type="dcterms:W3CDTF">2023-02-24T17:48:00Z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