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7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461"/>
      </w:tblGrid>
      <w:tr w:rsidR="00C9161D" w14:paraId="07F6750D" w14:textId="77777777" w:rsidTr="00470AA4">
        <w:trPr>
          <w:trHeight w:val="851"/>
        </w:trPr>
        <w:tc>
          <w:tcPr>
            <w:tcW w:w="976" w:type="dxa"/>
            <w:tcBorders>
              <w:bottom w:val="single" w:sz="12" w:space="0" w:color="auto"/>
            </w:tcBorders>
          </w:tcPr>
          <w:p w14:paraId="1DEFF495" w14:textId="77777777" w:rsidR="00C9161D" w:rsidRPr="00321985" w:rsidRDefault="00C9161D" w:rsidP="00321985">
            <w:r>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852885C" w:rsidR="00FA663B" w:rsidRPr="00321985" w:rsidRDefault="004505A8" w:rsidP="00321985">
            <w:r w:rsidRPr="004505A8">
              <w:rPr>
                <w:noProof/>
                <w:lang w:val="fr-FR" w:eastAsia="fr-FR"/>
              </w:rPr>
              <w:drawing>
                <wp:inline distT="0" distB="0" distL="0" distR="0" wp14:anchorId="3145FE39" wp14:editId="6536B183">
                  <wp:extent cx="593090" cy="340360"/>
                  <wp:effectExtent l="0" t="0" r="0" b="0"/>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090" cy="340360"/>
                          </a:xfrm>
                          <a:prstGeom prst="rect">
                            <a:avLst/>
                          </a:prstGeom>
                          <a:noFill/>
                          <a:ln>
                            <a:noFill/>
                          </a:ln>
                        </pic:spPr>
                      </pic:pic>
                    </a:graphicData>
                  </a:graphic>
                </wp:inline>
              </w:drawing>
            </w:r>
          </w:p>
        </w:tc>
        <w:tc>
          <w:tcPr>
            <w:tcW w:w="446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470AA4">
        <w:tc>
          <w:tcPr>
            <w:tcW w:w="6117" w:type="dxa"/>
            <w:gridSpan w:val="2"/>
            <w:tcBorders>
              <w:top w:val="single" w:sz="12" w:space="0" w:color="auto"/>
              <w:bottom w:val="single" w:sz="36" w:space="0" w:color="auto"/>
            </w:tcBorders>
            <w:vAlign w:val="center"/>
          </w:tcPr>
          <w:p w14:paraId="14F52A6C" w14:textId="6ED8D1AC" w:rsidR="00C9161D" w:rsidRDefault="004505A8" w:rsidP="00C9161D">
            <w:r w:rsidRPr="00834833">
              <w:rPr>
                <w:noProof/>
                <w:lang w:val="fr-FR" w:eastAsia="fr-FR"/>
              </w:rPr>
              <w:drawing>
                <wp:inline distT="0" distB="0" distL="0" distR="0" wp14:anchorId="0EF0B3B1" wp14:editId="432A38AF">
                  <wp:extent cx="2358390" cy="939800"/>
                  <wp:effectExtent l="0" t="0" r="0" b="0"/>
                  <wp:docPr id="5" name="Image 3"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BD_logo_fr-CMYK-black [Conver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8390" cy="939800"/>
                          </a:xfrm>
                          <a:prstGeom prst="rect">
                            <a:avLst/>
                          </a:prstGeom>
                          <a:noFill/>
                          <a:ln>
                            <a:noFill/>
                          </a:ln>
                        </pic:spPr>
                      </pic:pic>
                    </a:graphicData>
                  </a:graphic>
                </wp:inline>
              </w:drawing>
            </w:r>
          </w:p>
        </w:tc>
        <w:tc>
          <w:tcPr>
            <w:tcW w:w="4461"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42BB4F6B" w:rsidR="00C9161D" w:rsidRPr="00C9161D" w:rsidRDefault="004505A8" w:rsidP="00176CEE">
            <w:pPr>
              <w:ind w:left="1215"/>
              <w:rPr>
                <w:szCs w:val="22"/>
              </w:rPr>
            </w:pPr>
            <w:r>
              <w:rPr>
                <w:caps/>
                <w:szCs w:val="22"/>
              </w:rPr>
              <w:t>GÉnÉ</w:t>
            </w:r>
            <w:r w:rsidR="001F6651">
              <w:rPr>
                <w:caps/>
                <w:szCs w:val="22"/>
              </w:rPr>
              <w:t>ral</w:t>
            </w:r>
            <w:r>
              <w:rPr>
                <w:caps/>
                <w:szCs w:val="22"/>
              </w:rPr>
              <w:t>e</w:t>
            </w:r>
          </w:p>
          <w:p w14:paraId="06715052" w14:textId="77777777" w:rsidR="00C9161D" w:rsidRPr="00C9161D" w:rsidRDefault="00C9161D" w:rsidP="00176CEE">
            <w:pPr>
              <w:ind w:left="1215"/>
              <w:rPr>
                <w:szCs w:val="22"/>
              </w:rPr>
            </w:pPr>
          </w:p>
          <w:p w14:paraId="44230134" w14:textId="7AFDFEA4" w:rsidR="00C9161D" w:rsidRPr="00C9161D" w:rsidRDefault="00562245"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A383F">
                  <w:rPr>
                    <w:lang w:val="en-US"/>
                  </w:rPr>
                  <w:t>CBD/CP/MOP/DEC</w:t>
                </w:r>
                <w:r w:rsidR="00FA383F" w:rsidRPr="006754D1">
                  <w:rPr>
                    <w:lang w:val="en-US"/>
                  </w:rPr>
                  <w:t>/10</w:t>
                </w:r>
                <w:r w:rsidR="00FA383F">
                  <w:rPr>
                    <w:lang w:val="en-US"/>
                  </w:rPr>
                  <w:t>/12</w:t>
                </w:r>
              </w:sdtContent>
            </w:sdt>
          </w:p>
          <w:p w14:paraId="0DF1F033" w14:textId="6C8E5CEC" w:rsidR="00C9161D" w:rsidRPr="00C9161D" w:rsidRDefault="001F6651" w:rsidP="00176CEE">
            <w:pPr>
              <w:ind w:left="1215"/>
              <w:rPr>
                <w:szCs w:val="22"/>
              </w:rPr>
            </w:pPr>
            <w:r>
              <w:rPr>
                <w:szCs w:val="22"/>
                <w:lang w:val="en-US"/>
              </w:rPr>
              <w:t>1</w:t>
            </w:r>
            <w:r w:rsidR="004505A8">
              <w:rPr>
                <w:szCs w:val="22"/>
                <w:lang w:val="en-US"/>
              </w:rPr>
              <w:t>9 décemb</w:t>
            </w:r>
            <w:r w:rsidR="00C448E7">
              <w:rPr>
                <w:szCs w:val="22"/>
                <w:lang w:val="en-US"/>
              </w:rPr>
              <w:t>r</w:t>
            </w:r>
            <w:r w:rsidR="004505A8">
              <w:rPr>
                <w:szCs w:val="22"/>
                <w:lang w:val="en-US"/>
              </w:rPr>
              <w:t>e</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Default="00C9161D" w:rsidP="00176CEE">
            <w:pPr>
              <w:ind w:left="1215"/>
              <w:rPr>
                <w:szCs w:val="22"/>
              </w:rPr>
            </w:pPr>
          </w:p>
          <w:p w14:paraId="2C8FC79E" w14:textId="5551F700" w:rsidR="004505A8" w:rsidRPr="00C9161D" w:rsidRDefault="004505A8" w:rsidP="00176CEE">
            <w:pPr>
              <w:ind w:left="1215"/>
              <w:rPr>
                <w:szCs w:val="22"/>
              </w:rPr>
            </w:pPr>
            <w:r w:rsidRPr="00834833">
              <w:rPr>
                <w:szCs w:val="22"/>
                <w:lang w:val="fr-CA"/>
              </w:rPr>
              <w:t>FRANÇAIS</w:t>
            </w:r>
          </w:p>
          <w:p w14:paraId="19472D49" w14:textId="279E99E8" w:rsidR="00C9161D" w:rsidRPr="00C9161D" w:rsidRDefault="006B2290" w:rsidP="00176CEE">
            <w:pPr>
              <w:ind w:left="1215"/>
              <w:rPr>
                <w:szCs w:val="22"/>
              </w:rPr>
            </w:pPr>
            <w:r>
              <w:rPr>
                <w:szCs w:val="22"/>
              </w:rPr>
              <w:t>ORIGINAL</w:t>
            </w:r>
            <w:r w:rsidR="004505A8">
              <w:rPr>
                <w:szCs w:val="22"/>
              </w:rPr>
              <w:t xml:space="preserve"> </w:t>
            </w:r>
            <w:r>
              <w:rPr>
                <w:szCs w:val="22"/>
              </w:rPr>
              <w:t xml:space="preserve">: </w:t>
            </w:r>
            <w:r w:rsidR="004505A8">
              <w:rPr>
                <w:szCs w:val="22"/>
              </w:rPr>
              <w:t>AN</w:t>
            </w:r>
            <w:r w:rsidR="00C9161D" w:rsidRPr="00C9161D">
              <w:rPr>
                <w:szCs w:val="22"/>
              </w:rPr>
              <w:t>GL</w:t>
            </w:r>
            <w:r w:rsidR="004505A8">
              <w:rPr>
                <w:szCs w:val="22"/>
              </w:rPr>
              <w:t>AIS</w:t>
            </w:r>
          </w:p>
          <w:p w14:paraId="5AA10CCE" w14:textId="77777777" w:rsidR="00C9161D" w:rsidRDefault="00C9161D"/>
        </w:tc>
      </w:tr>
    </w:tbl>
    <w:p w14:paraId="471A733E" w14:textId="77777777" w:rsidR="004505A8" w:rsidRPr="00834833" w:rsidRDefault="004505A8" w:rsidP="004505A8">
      <w:pPr>
        <w:pStyle w:val="Cornernotation"/>
        <w:kinsoku w:val="0"/>
        <w:overflowPunct w:val="0"/>
        <w:autoSpaceDE w:val="0"/>
        <w:autoSpaceDN w:val="0"/>
        <w:spacing w:before="60"/>
        <w:ind w:left="142" w:right="4302" w:hanging="142"/>
        <w:rPr>
          <w:snapToGrid w:val="0"/>
          <w:kern w:val="22"/>
          <w:lang w:val="fr-CA"/>
        </w:rPr>
      </w:pPr>
      <w:r w:rsidRPr="00834833">
        <w:rPr>
          <w:snapToGrid w:val="0"/>
          <w:kern w:val="22"/>
          <w:lang w:val="fr-CA"/>
        </w:rPr>
        <w:t>CONFÉRENCE DES PARTIES À LA CONVENTION SUR LA DIVERSITÉ BIOLOGIQUE SIÉGEANT EN TANT QUE RÉUNION DES PARTIES AU PROTOCOLE DE CARTAGENA SUR LA PRÉVENTION DES RISQUES BIOTECHNOLOGIQUES</w:t>
      </w:r>
    </w:p>
    <w:p w14:paraId="5CC3DB40" w14:textId="023A26C0" w:rsidR="004505A8" w:rsidRPr="00834833" w:rsidRDefault="004505A8" w:rsidP="004505A8">
      <w:pPr>
        <w:pStyle w:val="Cornernotation"/>
        <w:kinsoku w:val="0"/>
        <w:overflowPunct w:val="0"/>
        <w:autoSpaceDE w:val="0"/>
        <w:autoSpaceDN w:val="0"/>
        <w:ind w:left="0" w:right="4512" w:firstLine="0"/>
        <w:rPr>
          <w:snapToGrid w:val="0"/>
          <w:kern w:val="22"/>
          <w:lang w:val="fr-CA"/>
        </w:rPr>
      </w:pPr>
      <w:r w:rsidRPr="00834833">
        <w:rPr>
          <w:snapToGrid w:val="0"/>
          <w:kern w:val="22"/>
          <w:lang w:val="fr-CA"/>
        </w:rPr>
        <w:t>Dixième réunion</w:t>
      </w:r>
      <w:r>
        <w:rPr>
          <w:snapToGrid w:val="0"/>
          <w:kern w:val="22"/>
          <w:lang w:val="fr-CA"/>
        </w:rPr>
        <w:t>, deuxième partie</w:t>
      </w:r>
    </w:p>
    <w:p w14:paraId="60BF1C43" w14:textId="4BDF4A74" w:rsidR="004505A8" w:rsidRPr="00834833" w:rsidRDefault="004505A8" w:rsidP="004505A8">
      <w:pPr>
        <w:pStyle w:val="Cornernotation"/>
        <w:kinsoku w:val="0"/>
        <w:overflowPunct w:val="0"/>
        <w:autoSpaceDE w:val="0"/>
        <w:autoSpaceDN w:val="0"/>
        <w:ind w:left="227" w:right="4512" w:hanging="227"/>
        <w:rPr>
          <w:snapToGrid w:val="0"/>
          <w:kern w:val="22"/>
          <w:szCs w:val="22"/>
          <w:lang w:val="fr-CA" w:eastAsia="nb-NO"/>
        </w:rPr>
      </w:pPr>
      <w:r w:rsidRPr="00834833">
        <w:rPr>
          <w:snapToGrid w:val="0"/>
          <w:kern w:val="22"/>
          <w:szCs w:val="22"/>
          <w:lang w:val="fr-CA" w:eastAsia="nb-NO"/>
        </w:rPr>
        <w:t>Montréal</w:t>
      </w:r>
      <w:r>
        <w:rPr>
          <w:snapToGrid w:val="0"/>
          <w:kern w:val="22"/>
          <w:szCs w:val="22"/>
          <w:lang w:val="fr-CA" w:eastAsia="nb-NO"/>
        </w:rPr>
        <w:t xml:space="preserve">, </w:t>
      </w:r>
      <w:r w:rsidRPr="00834833">
        <w:rPr>
          <w:snapToGrid w:val="0"/>
          <w:kern w:val="22"/>
          <w:szCs w:val="22"/>
          <w:lang w:val="fr-CA" w:eastAsia="nb-NO"/>
        </w:rPr>
        <w:t>Canada, 7</w:t>
      </w:r>
      <w:r>
        <w:rPr>
          <w:snapToGrid w:val="0"/>
          <w:kern w:val="22"/>
          <w:szCs w:val="22"/>
          <w:lang w:val="fr-CA" w:eastAsia="nb-NO"/>
        </w:rPr>
        <w:noBreakHyphen/>
      </w:r>
      <w:r w:rsidRPr="00834833">
        <w:rPr>
          <w:snapToGrid w:val="0"/>
          <w:kern w:val="22"/>
          <w:szCs w:val="22"/>
          <w:lang w:val="fr-CA" w:eastAsia="nb-NO"/>
        </w:rPr>
        <w:t>19 décembre 2022</w:t>
      </w:r>
    </w:p>
    <w:p w14:paraId="1EAC1367" w14:textId="77777777" w:rsidR="004505A8" w:rsidRPr="004505A8" w:rsidRDefault="004505A8" w:rsidP="004505A8">
      <w:pPr>
        <w:rPr>
          <w:lang w:val="en-AU"/>
        </w:rPr>
      </w:pPr>
      <w:r w:rsidRPr="004505A8">
        <w:rPr>
          <w:snapToGrid w:val="0"/>
          <w:kern w:val="22"/>
          <w:szCs w:val="22"/>
          <w:lang w:val="en-AU"/>
        </w:rPr>
        <w:t>Point 16 de l’ordre du jour</w:t>
      </w:r>
    </w:p>
    <w:p w14:paraId="7FD73753" w14:textId="7E726834" w:rsidR="0087720B" w:rsidRPr="00475F4D" w:rsidRDefault="0087720B" w:rsidP="0087720B">
      <w:pPr>
        <w:spacing w:before="240" w:after="240"/>
        <w:ind w:right="-288"/>
        <w:jc w:val="center"/>
        <w:rPr>
          <w:rFonts w:ascii="Times New Roman Bold" w:hAnsi="Times New Roman Bold"/>
          <w:b/>
          <w:caps/>
          <w:lang w:val="fr-FR"/>
        </w:rPr>
      </w:pPr>
      <w:r>
        <w:rPr>
          <w:rFonts w:ascii="Times New Roman Bold" w:hAnsi="Times New Roman Bold"/>
          <w:b/>
          <w:caps/>
          <w:lang w:val="fr-FR"/>
        </w:rPr>
        <w:t>D</w:t>
      </w:r>
      <w:r>
        <w:rPr>
          <w:rFonts w:ascii="Times New Roman Bold" w:hAnsi="Times New Roman Bold" w:cs="Times New Roman Bold"/>
          <w:b/>
          <w:caps/>
          <w:lang w:val="fr-FR"/>
        </w:rPr>
        <w:t>É</w:t>
      </w:r>
      <w:r>
        <w:rPr>
          <w:rFonts w:ascii="Times New Roman Bold" w:hAnsi="Times New Roman Bold"/>
          <w:b/>
          <w:caps/>
          <w:lang w:val="fr-FR"/>
        </w:rPr>
        <w:t>cision adopt</w:t>
      </w:r>
      <w:r>
        <w:rPr>
          <w:rFonts w:ascii="Times New Roman Bold" w:hAnsi="Times New Roman Bold" w:cs="Times New Roman Bold"/>
          <w:b/>
          <w:caps/>
          <w:lang w:val="fr-FR"/>
        </w:rPr>
        <w:t>É</w:t>
      </w:r>
      <w:r>
        <w:rPr>
          <w:rFonts w:ascii="Times New Roman Bold" w:hAnsi="Times New Roman Bold"/>
          <w:b/>
          <w:caps/>
          <w:lang w:val="fr-FR"/>
        </w:rPr>
        <w:t>e par les Parties au protocole de Cartagena sur la pr</w:t>
      </w:r>
      <w:r>
        <w:rPr>
          <w:rFonts w:ascii="Times New Roman Bold" w:hAnsi="Times New Roman Bold" w:cs="Times New Roman Bold"/>
          <w:b/>
          <w:caps/>
          <w:lang w:val="fr-FR"/>
        </w:rPr>
        <w:t>É</w:t>
      </w:r>
      <w:r>
        <w:rPr>
          <w:rFonts w:ascii="Times New Roman Bold" w:hAnsi="Times New Roman Bold"/>
          <w:b/>
          <w:caps/>
          <w:lang w:val="fr-FR"/>
        </w:rPr>
        <w:t>vention des risques biotechnologiques</w:t>
      </w:r>
    </w:p>
    <w:p w14:paraId="57F6B7A1" w14:textId="4303B1E7" w:rsidR="00C9161D" w:rsidRPr="0087720B" w:rsidRDefault="00C105A1" w:rsidP="00470AA4">
      <w:pPr>
        <w:keepNext/>
        <w:spacing w:before="120" w:after="240"/>
        <w:jc w:val="center"/>
        <w:outlineLvl w:val="1"/>
        <w:rPr>
          <w:b/>
          <w:caps/>
          <w:lang w:val="fr-FR"/>
        </w:rPr>
      </w:pPr>
      <w:sdt>
        <w:sdtPr>
          <w:rPr>
            <w:b/>
            <w:bCs/>
            <w:snapToGrid w:val="0"/>
            <w:kern w:val="22"/>
            <w:szCs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Pr="00C105A1">
            <w:rPr>
              <w:b/>
              <w:bCs/>
              <w:snapToGrid w:val="0"/>
              <w:kern w:val="22"/>
              <w:szCs w:val="22"/>
              <w:lang w:val="fr-CA"/>
            </w:rPr>
            <w:t>CP-10/12</w:t>
          </w:r>
          <w:r>
            <w:rPr>
              <w:b/>
              <w:bCs/>
              <w:snapToGrid w:val="0"/>
              <w:kern w:val="22"/>
              <w:szCs w:val="22"/>
              <w:lang w:val="fr-CA"/>
            </w:rPr>
            <w:t>.</w:t>
          </w:r>
          <w:r>
            <w:rPr>
              <w:b/>
              <w:bCs/>
              <w:snapToGrid w:val="0"/>
              <w:kern w:val="22"/>
              <w:szCs w:val="22"/>
              <w:lang w:val="fr-CA"/>
            </w:rPr>
            <w:tab/>
          </w:r>
          <w:r w:rsidRPr="00C105A1">
            <w:rPr>
              <w:b/>
              <w:bCs/>
              <w:snapToGrid w:val="0"/>
              <w:kern w:val="22"/>
              <w:szCs w:val="22"/>
              <w:lang w:val="fr-CA"/>
            </w:rPr>
            <w:t>Considérati</w:t>
          </w:r>
          <w:r>
            <w:rPr>
              <w:b/>
              <w:bCs/>
              <w:snapToGrid w:val="0"/>
              <w:kern w:val="22"/>
              <w:szCs w:val="22"/>
              <w:lang w:val="fr-CA"/>
            </w:rPr>
            <w:t>ons socioéconomiques (article</w:t>
          </w:r>
          <w:r w:rsidRPr="00C105A1">
            <w:rPr>
              <w:b/>
              <w:bCs/>
              <w:snapToGrid w:val="0"/>
              <w:kern w:val="22"/>
              <w:szCs w:val="22"/>
              <w:lang w:val="fr-CA"/>
            </w:rPr>
            <w:t xml:space="preserve"> 26)</w:t>
          </w:r>
        </w:sdtContent>
      </w:sdt>
      <w:r w:rsidR="00105372" w:rsidRPr="0087720B">
        <w:rPr>
          <w:b/>
          <w:caps/>
          <w:lang w:val="fr-FR"/>
        </w:rPr>
        <w:t xml:space="preserve"> </w:t>
      </w:r>
    </w:p>
    <w:p w14:paraId="324AC005" w14:textId="77777777" w:rsidR="0087720B" w:rsidRPr="00B95737" w:rsidRDefault="0087720B" w:rsidP="00CD2BBE">
      <w:pPr>
        <w:pStyle w:val="ListParagraph"/>
        <w:shd w:val="clear" w:color="auto" w:fill="FFFFFF" w:themeFill="background1"/>
        <w:adjustRightInd w:val="0"/>
        <w:snapToGrid w:val="0"/>
        <w:spacing w:before="120" w:after="120"/>
        <w:ind w:left="0" w:firstLine="720"/>
        <w:contextualSpacing w:val="0"/>
        <w:rPr>
          <w:i/>
          <w:kern w:val="22"/>
          <w:szCs w:val="22"/>
          <w:lang w:val="fr-FR"/>
        </w:rPr>
      </w:pPr>
      <w:r w:rsidRPr="00B95737">
        <w:rPr>
          <w:i/>
          <w:kern w:val="22"/>
          <w:szCs w:val="22"/>
          <w:lang w:val="fr-FR"/>
        </w:rPr>
        <w:t>La Conférence des Parties siégeant en tant que réunion des Parties au Protocole de Cartagena sur la prévention des risques biotechnologiques,</w:t>
      </w:r>
    </w:p>
    <w:p w14:paraId="4A934898" w14:textId="77777777" w:rsidR="0087720B" w:rsidRDefault="0087720B" w:rsidP="00CD2BBE">
      <w:pPr>
        <w:pStyle w:val="ListParagraph"/>
        <w:spacing w:before="120" w:after="120"/>
        <w:ind w:left="0" w:firstLine="720"/>
        <w:contextualSpacing w:val="0"/>
        <w:rPr>
          <w:kern w:val="22"/>
          <w:szCs w:val="22"/>
          <w:lang w:val="fr-CA"/>
        </w:rPr>
      </w:pPr>
      <w:r>
        <w:rPr>
          <w:i/>
          <w:iCs/>
          <w:kern w:val="22"/>
          <w:szCs w:val="22"/>
          <w:lang w:val="fr-CA"/>
        </w:rPr>
        <w:t xml:space="preserve">Rappelant </w:t>
      </w:r>
      <w:r w:rsidRPr="00837B9E">
        <w:rPr>
          <w:kern w:val="22"/>
          <w:szCs w:val="22"/>
          <w:lang w:val="fr-CA"/>
        </w:rPr>
        <w:t>le paragraphe</w:t>
      </w:r>
      <w:r>
        <w:rPr>
          <w:kern w:val="22"/>
          <w:szCs w:val="22"/>
          <w:lang w:val="fr-CA"/>
        </w:rPr>
        <w:t> </w:t>
      </w:r>
      <w:r w:rsidRPr="00837B9E">
        <w:rPr>
          <w:kern w:val="22"/>
          <w:szCs w:val="22"/>
          <w:lang w:val="fr-CA"/>
        </w:rPr>
        <w:t>2 de l</w:t>
      </w:r>
      <w:r>
        <w:rPr>
          <w:kern w:val="22"/>
          <w:szCs w:val="22"/>
          <w:lang w:val="fr-CA"/>
        </w:rPr>
        <w:t>’</w:t>
      </w:r>
      <w:r w:rsidRPr="00837B9E">
        <w:rPr>
          <w:kern w:val="22"/>
          <w:szCs w:val="22"/>
          <w:lang w:val="fr-CA"/>
        </w:rPr>
        <w:t>article</w:t>
      </w:r>
      <w:r>
        <w:rPr>
          <w:kern w:val="22"/>
          <w:szCs w:val="22"/>
          <w:lang w:val="fr-CA"/>
        </w:rPr>
        <w:t> </w:t>
      </w:r>
      <w:r w:rsidRPr="00837B9E">
        <w:rPr>
          <w:kern w:val="22"/>
          <w:szCs w:val="22"/>
          <w:lang w:val="fr-CA"/>
        </w:rPr>
        <w:t>26 du Protocole de Cartagena sur la prév</w:t>
      </w:r>
      <w:r>
        <w:rPr>
          <w:kern w:val="22"/>
          <w:szCs w:val="22"/>
          <w:lang w:val="fr-CA"/>
        </w:rPr>
        <w:t>ention</w:t>
      </w:r>
      <w:r w:rsidRPr="00837B9E">
        <w:rPr>
          <w:kern w:val="22"/>
          <w:szCs w:val="22"/>
          <w:lang w:val="fr-CA"/>
        </w:rPr>
        <w:t xml:space="preserve"> des risques biotechnologiques</w:t>
      </w:r>
      <w:r>
        <w:rPr>
          <w:kern w:val="22"/>
          <w:szCs w:val="22"/>
          <w:lang w:val="fr-CA"/>
        </w:rPr>
        <w:t>,</w:t>
      </w:r>
    </w:p>
    <w:p w14:paraId="0F54B967" w14:textId="7EAC37A7" w:rsidR="0087720B" w:rsidRPr="00837B9E" w:rsidRDefault="0087720B" w:rsidP="00CD2BBE">
      <w:pPr>
        <w:pStyle w:val="ListParagraph"/>
        <w:spacing w:before="120" w:after="120"/>
        <w:ind w:left="0" w:firstLine="720"/>
        <w:contextualSpacing w:val="0"/>
        <w:jc w:val="left"/>
        <w:rPr>
          <w:kern w:val="22"/>
          <w:szCs w:val="22"/>
          <w:lang w:val="fr-CA"/>
        </w:rPr>
      </w:pPr>
      <w:r w:rsidRPr="00837B9E">
        <w:rPr>
          <w:i/>
          <w:iCs/>
          <w:kern w:val="22"/>
          <w:szCs w:val="22"/>
          <w:lang w:val="fr-CA"/>
        </w:rPr>
        <w:t>Rappelant également</w:t>
      </w:r>
      <w:r>
        <w:rPr>
          <w:kern w:val="22"/>
          <w:szCs w:val="22"/>
          <w:lang w:val="fr-CA"/>
        </w:rPr>
        <w:t xml:space="preserve"> le préambule de la décision CP</w:t>
      </w:r>
      <w:r>
        <w:rPr>
          <w:kern w:val="22"/>
          <w:szCs w:val="22"/>
          <w:lang w:val="fr-CA"/>
        </w:rPr>
        <w:noBreakHyphen/>
      </w:r>
      <w:r w:rsidR="00CD2BBE">
        <w:rPr>
          <w:kern w:val="22"/>
          <w:szCs w:val="22"/>
          <w:lang w:val="fr-CA"/>
        </w:rPr>
        <w:t>9/14,</w:t>
      </w:r>
    </w:p>
    <w:p w14:paraId="3D8B0981" w14:textId="514240E5" w:rsidR="0087720B" w:rsidRPr="00CD2BBE" w:rsidRDefault="0087720B" w:rsidP="00CD2BBE">
      <w:pPr>
        <w:pStyle w:val="ListParagraph"/>
        <w:spacing w:before="120" w:after="120"/>
        <w:ind w:left="0" w:firstLine="720"/>
        <w:contextualSpacing w:val="0"/>
        <w:rPr>
          <w:kern w:val="22"/>
          <w:szCs w:val="22"/>
          <w:lang w:val="fr-CA"/>
        </w:rPr>
      </w:pPr>
      <w:r>
        <w:rPr>
          <w:i/>
          <w:iCs/>
          <w:kern w:val="22"/>
          <w:lang w:val="fr-CA"/>
        </w:rPr>
        <w:t xml:space="preserve">Rappelant en outre </w:t>
      </w:r>
      <w:r>
        <w:rPr>
          <w:iCs/>
          <w:kern w:val="22"/>
          <w:lang w:val="fr-CA"/>
        </w:rPr>
        <w:t>les « Orientations sur l’évaluation des considérations socioéconomiques dans le contexte de l’article 26 du Protocole de Cartagena sur la prévention des risques biotechnologiques », orientation</w:t>
      </w:r>
      <w:bookmarkStart w:id="0" w:name="_GoBack"/>
      <w:bookmarkEnd w:id="0"/>
      <w:r>
        <w:rPr>
          <w:iCs/>
          <w:kern w:val="22"/>
          <w:lang w:val="fr-CA"/>
        </w:rPr>
        <w:t>s facultatives prises en note dans la décision CP</w:t>
      </w:r>
      <w:r>
        <w:rPr>
          <w:iCs/>
          <w:kern w:val="22"/>
          <w:lang w:val="fr-CA"/>
        </w:rPr>
        <w:noBreakHyphen/>
        <w:t>9/14</w:t>
      </w:r>
      <w:r w:rsidRPr="00683D62">
        <w:rPr>
          <w:kern w:val="22"/>
          <w:szCs w:val="22"/>
          <w:lang w:val="fr-CA"/>
        </w:rPr>
        <w:t xml:space="preserve">, </w:t>
      </w:r>
    </w:p>
    <w:p w14:paraId="6981A8D2" w14:textId="75C0809B" w:rsidR="0087720B" w:rsidRPr="00683D62" w:rsidRDefault="0087720B" w:rsidP="00CD2BBE">
      <w:pPr>
        <w:spacing w:before="120" w:after="120"/>
        <w:ind w:firstLine="720"/>
        <w:rPr>
          <w:kern w:val="22"/>
          <w:szCs w:val="22"/>
          <w:lang w:val="fr-CA"/>
        </w:rPr>
      </w:pPr>
      <w:r>
        <w:rPr>
          <w:i/>
          <w:iCs/>
          <w:kern w:val="22"/>
          <w:szCs w:val="22"/>
          <w:lang w:val="fr-CA"/>
        </w:rPr>
        <w:t xml:space="preserve">Consciente </w:t>
      </w:r>
      <w:r>
        <w:rPr>
          <w:iCs/>
          <w:kern w:val="22"/>
          <w:szCs w:val="22"/>
          <w:lang w:val="fr-CA"/>
        </w:rPr>
        <w:t>du peu de temps dont disposent les Parties, les autres gouvernements, les organisations compétentes et les autres parties prenantes pour utiliser les Orientations facultatives</w:t>
      </w:r>
      <w:r w:rsidRPr="00683D62">
        <w:rPr>
          <w:kern w:val="22"/>
          <w:szCs w:val="22"/>
          <w:lang w:val="fr-CA"/>
        </w:rPr>
        <w:t xml:space="preserve">, </w:t>
      </w:r>
    </w:p>
    <w:p w14:paraId="7B50FA6D" w14:textId="44058CF8" w:rsidR="0087720B" w:rsidRPr="00683D62" w:rsidRDefault="0087720B" w:rsidP="00CD2BBE">
      <w:pPr>
        <w:spacing w:before="120" w:after="120"/>
        <w:rPr>
          <w:kern w:val="22"/>
          <w:szCs w:val="22"/>
          <w:lang w:val="fr-CA"/>
        </w:rPr>
      </w:pPr>
      <w:r w:rsidRPr="00683D62">
        <w:rPr>
          <w:i/>
          <w:iCs/>
          <w:kern w:val="22"/>
          <w:szCs w:val="22"/>
          <w:lang w:val="fr-CA"/>
        </w:rPr>
        <w:tab/>
      </w:r>
      <w:r>
        <w:rPr>
          <w:i/>
          <w:iCs/>
          <w:kern w:val="22"/>
          <w:szCs w:val="22"/>
          <w:lang w:val="fr-CA"/>
        </w:rPr>
        <w:t xml:space="preserve">Reconnaissant </w:t>
      </w:r>
      <w:r>
        <w:rPr>
          <w:iCs/>
          <w:kern w:val="22"/>
          <w:szCs w:val="22"/>
          <w:lang w:val="fr-CA"/>
        </w:rPr>
        <w:t>la nécessité de se réunir et de partager de plus amples informations sur les méthodes d’évaluation</w:t>
      </w:r>
      <w:r w:rsidR="00CD2BBE">
        <w:rPr>
          <w:kern w:val="22"/>
          <w:szCs w:val="22"/>
          <w:lang w:val="fr-CA"/>
        </w:rPr>
        <w:t>,</w:t>
      </w:r>
    </w:p>
    <w:p w14:paraId="6F61432F" w14:textId="709D7D42" w:rsidR="0087720B" w:rsidRPr="00CD2BBE" w:rsidRDefault="0087720B" w:rsidP="00CD2BBE">
      <w:pPr>
        <w:spacing w:before="120" w:after="120"/>
        <w:ind w:firstLine="720"/>
        <w:rPr>
          <w:iCs/>
          <w:snapToGrid w:val="0"/>
          <w:kern w:val="22"/>
          <w:szCs w:val="22"/>
          <w:lang w:val="fr-CA"/>
        </w:rPr>
      </w:pPr>
      <w:r>
        <w:rPr>
          <w:i/>
          <w:iCs/>
          <w:kern w:val="22"/>
          <w:szCs w:val="22"/>
          <w:lang w:val="fr-CA"/>
        </w:rPr>
        <w:t xml:space="preserve">Prenant note </w:t>
      </w:r>
      <w:r>
        <w:rPr>
          <w:iCs/>
          <w:kern w:val="22"/>
          <w:szCs w:val="22"/>
          <w:lang w:val="fr-CA"/>
        </w:rPr>
        <w:t>des informations fournies par les Parties concernant l’article 26 du Protocole de Cartagena sur la prévention des risques biotechnologiques dans leurs quatrièmes</w:t>
      </w:r>
      <w:r w:rsidR="00CD2BBE">
        <w:rPr>
          <w:iCs/>
          <w:kern w:val="22"/>
          <w:szCs w:val="22"/>
          <w:lang w:val="fr-CA"/>
        </w:rPr>
        <w:t xml:space="preserve"> rapports nationaux, ainsi que d</w:t>
      </w:r>
      <w:r>
        <w:rPr>
          <w:iCs/>
          <w:kern w:val="22"/>
          <w:szCs w:val="22"/>
          <w:lang w:val="fr-CA"/>
        </w:rPr>
        <w:t>es conclusions sur les considérations socioéconomiques issues du quatrième exercice d’évaluation et examen de l’efficacité du Protocole et de l’évaluation fi</w:t>
      </w:r>
      <w:r w:rsidR="00CD2BBE">
        <w:rPr>
          <w:iCs/>
          <w:kern w:val="22"/>
          <w:szCs w:val="22"/>
          <w:lang w:val="fr-CA"/>
        </w:rPr>
        <w:t>nale du Plan stratégique du</w:t>
      </w:r>
      <w:r>
        <w:rPr>
          <w:iCs/>
          <w:kern w:val="22"/>
          <w:szCs w:val="22"/>
          <w:lang w:val="fr-CA"/>
        </w:rPr>
        <w:t xml:space="preserve"> Protocole de Cartagena </w:t>
      </w:r>
      <w:r w:rsidR="00CD2BBE">
        <w:rPr>
          <w:iCs/>
          <w:kern w:val="22"/>
          <w:szCs w:val="22"/>
          <w:lang w:val="fr-CA"/>
        </w:rPr>
        <w:t xml:space="preserve">sur la prévention des risques biotechnologiques </w:t>
      </w:r>
      <w:r>
        <w:rPr>
          <w:iCs/>
          <w:kern w:val="22"/>
          <w:szCs w:val="22"/>
          <w:lang w:val="fr-CA"/>
        </w:rPr>
        <w:t>pour la période 2011</w:t>
      </w:r>
      <w:r w:rsidR="00CD2BBE" w:rsidRPr="00CD2BBE">
        <w:rPr>
          <w:iCs/>
          <w:snapToGrid w:val="0"/>
          <w:kern w:val="22"/>
          <w:szCs w:val="22"/>
          <w:lang w:val="fr-FR"/>
        </w:rPr>
        <w:t>–</w:t>
      </w:r>
      <w:r>
        <w:rPr>
          <w:iCs/>
          <w:kern w:val="22"/>
          <w:szCs w:val="22"/>
          <w:lang w:val="fr-CA"/>
        </w:rPr>
        <w:t>2020, présentées dans la décision </w:t>
      </w:r>
      <w:r w:rsidRPr="00ED154F">
        <w:rPr>
          <w:iCs/>
          <w:snapToGrid w:val="0"/>
          <w:kern w:val="22"/>
          <w:szCs w:val="22"/>
          <w:lang w:val="fr-CA"/>
        </w:rPr>
        <w:t>CP</w:t>
      </w:r>
      <w:r>
        <w:rPr>
          <w:iCs/>
          <w:snapToGrid w:val="0"/>
          <w:kern w:val="22"/>
          <w:szCs w:val="22"/>
          <w:lang w:val="fr-CA"/>
        </w:rPr>
        <w:noBreakHyphen/>
      </w:r>
      <w:r w:rsidRPr="00ED154F">
        <w:rPr>
          <w:iCs/>
          <w:snapToGrid w:val="0"/>
          <w:kern w:val="22"/>
          <w:szCs w:val="22"/>
          <w:lang w:val="fr-CA"/>
        </w:rPr>
        <w:t>10/</w:t>
      </w:r>
      <w:r w:rsidR="00CD2BBE">
        <w:rPr>
          <w:iCs/>
          <w:snapToGrid w:val="0"/>
          <w:kern w:val="22"/>
          <w:szCs w:val="22"/>
          <w:lang w:val="fr-CA"/>
        </w:rPr>
        <w:t>7</w:t>
      </w:r>
      <w:r>
        <w:rPr>
          <w:iCs/>
          <w:snapToGrid w:val="0"/>
          <w:kern w:val="22"/>
          <w:szCs w:val="22"/>
          <w:lang w:val="fr-CA"/>
        </w:rPr>
        <w:t>,</w:t>
      </w:r>
      <w:r w:rsidRPr="00683D62">
        <w:rPr>
          <w:iCs/>
          <w:snapToGrid w:val="0"/>
          <w:kern w:val="22"/>
          <w:szCs w:val="22"/>
          <w:lang w:val="fr-CA"/>
        </w:rPr>
        <w:t xml:space="preserve">  </w:t>
      </w:r>
    </w:p>
    <w:p w14:paraId="015B5997" w14:textId="69924B04" w:rsidR="0087720B" w:rsidRPr="00834833" w:rsidRDefault="0087720B" w:rsidP="00CD2BBE">
      <w:pPr>
        <w:shd w:val="clear" w:color="auto" w:fill="FFFFFF" w:themeFill="background1"/>
        <w:spacing w:before="120" w:after="120"/>
        <w:ind w:firstLine="720"/>
        <w:rPr>
          <w:kern w:val="22"/>
          <w:lang w:val="fr-CA"/>
        </w:rPr>
      </w:pPr>
      <w:r>
        <w:rPr>
          <w:i/>
          <w:iCs/>
          <w:kern w:val="22"/>
          <w:szCs w:val="22"/>
          <w:lang w:val="fr-CA"/>
        </w:rPr>
        <w:t xml:space="preserve">Prenant note également </w:t>
      </w:r>
      <w:r>
        <w:rPr>
          <w:iCs/>
          <w:kern w:val="22"/>
          <w:szCs w:val="22"/>
          <w:lang w:val="fr-CA"/>
        </w:rPr>
        <w:t>du but et des activités connexes de renforcement d</w:t>
      </w:r>
      <w:r w:rsidR="00CD2BBE">
        <w:rPr>
          <w:iCs/>
          <w:kern w:val="22"/>
          <w:szCs w:val="22"/>
          <w:lang w:val="fr-CA"/>
        </w:rPr>
        <w:t>es capacités indiquées dans le P</w:t>
      </w:r>
      <w:r>
        <w:rPr>
          <w:iCs/>
          <w:kern w:val="22"/>
          <w:szCs w:val="22"/>
          <w:lang w:val="fr-CA"/>
        </w:rPr>
        <w:t>lan d</w:t>
      </w:r>
      <w:r w:rsidR="00CD2BBE">
        <w:rPr>
          <w:iCs/>
          <w:kern w:val="22"/>
          <w:szCs w:val="22"/>
          <w:lang w:val="fr-CA"/>
        </w:rPr>
        <w:t>e mise en œuvre</w:t>
      </w:r>
      <w:r w:rsidR="00CD2BBE" w:rsidRPr="00CD2BBE">
        <w:rPr>
          <w:iCs/>
          <w:kern w:val="22"/>
          <w:szCs w:val="22"/>
          <w:lang w:val="fr-CA"/>
        </w:rPr>
        <w:t xml:space="preserve"> </w:t>
      </w:r>
      <w:r w:rsidR="00CD2BBE">
        <w:rPr>
          <w:iCs/>
          <w:kern w:val="22"/>
          <w:szCs w:val="22"/>
          <w:lang w:val="fr-CA"/>
        </w:rPr>
        <w:t xml:space="preserve">du </w:t>
      </w:r>
      <w:r w:rsidR="00CD2BBE">
        <w:rPr>
          <w:iCs/>
          <w:kern w:val="22"/>
          <w:szCs w:val="22"/>
          <w:lang w:val="fr-CA"/>
        </w:rPr>
        <w:t>Protocole de Cartagena sur la prévention des risques biotechnologiques</w:t>
      </w:r>
      <w:r w:rsidR="00CD2BBE">
        <w:rPr>
          <w:rStyle w:val="FootnoteReference"/>
          <w:iCs/>
          <w:kern w:val="22"/>
          <w:szCs w:val="22"/>
          <w:lang w:val="fr-CA"/>
        </w:rPr>
        <w:footnoteReference w:id="1"/>
      </w:r>
      <w:r w:rsidR="00CD2BBE">
        <w:rPr>
          <w:iCs/>
          <w:kern w:val="22"/>
          <w:szCs w:val="22"/>
          <w:lang w:val="fr-CA"/>
        </w:rPr>
        <w:t xml:space="preserve"> </w:t>
      </w:r>
      <w:r>
        <w:rPr>
          <w:iCs/>
          <w:kern w:val="22"/>
          <w:szCs w:val="22"/>
          <w:lang w:val="fr-CA"/>
        </w:rPr>
        <w:t xml:space="preserve"> </w:t>
      </w:r>
      <w:r w:rsidR="00CD2BBE">
        <w:rPr>
          <w:iCs/>
          <w:kern w:val="22"/>
          <w:szCs w:val="22"/>
          <w:lang w:val="fr-CA"/>
        </w:rPr>
        <w:lastRenderedPageBreak/>
        <w:t>et dans le P</w:t>
      </w:r>
      <w:r>
        <w:rPr>
          <w:iCs/>
          <w:kern w:val="22"/>
          <w:szCs w:val="22"/>
          <w:lang w:val="fr-CA"/>
        </w:rPr>
        <w:t>lan d’</w:t>
      </w:r>
      <w:r w:rsidR="00CD2BBE">
        <w:rPr>
          <w:iCs/>
          <w:kern w:val="22"/>
          <w:szCs w:val="22"/>
          <w:lang w:val="fr-CA"/>
        </w:rPr>
        <w:t>action po</w:t>
      </w:r>
      <w:r>
        <w:rPr>
          <w:iCs/>
          <w:kern w:val="22"/>
          <w:szCs w:val="22"/>
          <w:lang w:val="fr-CA"/>
        </w:rPr>
        <w:t>ur le renforcement des capacités</w:t>
      </w:r>
      <w:r w:rsidR="00CD2BBE">
        <w:rPr>
          <w:iCs/>
          <w:kern w:val="22"/>
          <w:szCs w:val="22"/>
          <w:lang w:val="fr-CA"/>
        </w:rPr>
        <w:t xml:space="preserve"> du</w:t>
      </w:r>
      <w:r w:rsidR="00CD2BBE" w:rsidRPr="00CD2BBE">
        <w:rPr>
          <w:iCs/>
          <w:kern w:val="22"/>
          <w:szCs w:val="22"/>
          <w:lang w:val="fr-CA"/>
        </w:rPr>
        <w:t xml:space="preserve"> </w:t>
      </w:r>
      <w:r w:rsidR="00CD2BBE">
        <w:rPr>
          <w:iCs/>
          <w:kern w:val="22"/>
          <w:szCs w:val="22"/>
          <w:lang w:val="fr-CA"/>
        </w:rPr>
        <w:t>Protocole de Cartagena sur la prévention des risques biotechnologiques</w:t>
      </w:r>
      <w:r w:rsidR="00CD2BBE">
        <w:rPr>
          <w:rStyle w:val="FootnoteReference"/>
          <w:iCs/>
          <w:kern w:val="22"/>
          <w:szCs w:val="22"/>
          <w:lang w:val="fr-CA"/>
        </w:rPr>
        <w:footnoteReference w:id="2"/>
      </w:r>
      <w:r>
        <w:rPr>
          <w:iCs/>
          <w:kern w:val="22"/>
          <w:szCs w:val="22"/>
          <w:lang w:val="fr-CA"/>
        </w:rPr>
        <w:t xml:space="preserve"> en lien avec l’article 26 du Protocole de Cartagena</w:t>
      </w:r>
      <w:r w:rsidRPr="00ED154F">
        <w:rPr>
          <w:kern w:val="22"/>
          <w:szCs w:val="22"/>
          <w:lang w:val="fr-CA"/>
        </w:rPr>
        <w:t>,</w:t>
      </w:r>
      <w:r>
        <w:rPr>
          <w:kern w:val="22"/>
          <w:szCs w:val="22"/>
          <w:lang w:val="fr-CA"/>
        </w:rPr>
        <w:t xml:space="preserve"> </w:t>
      </w:r>
      <w:r w:rsidRPr="0029494C">
        <w:rPr>
          <w:kern w:val="22"/>
          <w:szCs w:val="22"/>
          <w:lang w:val="fr-CA"/>
        </w:rPr>
        <w:t>et reconnaissant l’importance du renforcement des capacités et de la coopération régionale et infrarégionale po</w:t>
      </w:r>
      <w:r w:rsidR="0029494C">
        <w:rPr>
          <w:kern w:val="22"/>
          <w:szCs w:val="22"/>
          <w:lang w:val="fr-CA"/>
        </w:rPr>
        <w:t>ur les Parties qui souhaitent prendre en compte l</w:t>
      </w:r>
      <w:r>
        <w:rPr>
          <w:kern w:val="22"/>
          <w:szCs w:val="22"/>
          <w:lang w:val="fr-CA"/>
        </w:rPr>
        <w:t>es considérations socioéconomiques,</w:t>
      </w:r>
    </w:p>
    <w:p w14:paraId="28889E8B" w14:textId="6CAD37F7" w:rsidR="0087720B" w:rsidRPr="00834833" w:rsidRDefault="0087720B" w:rsidP="00CD2BBE">
      <w:pPr>
        <w:shd w:val="clear" w:color="auto" w:fill="FFFFFF" w:themeFill="background1"/>
        <w:spacing w:before="120" w:after="120"/>
        <w:ind w:firstLine="720"/>
        <w:rPr>
          <w:kern w:val="22"/>
          <w:szCs w:val="22"/>
          <w:lang w:val="fr-CA"/>
        </w:rPr>
      </w:pPr>
      <w:r w:rsidRPr="00834833">
        <w:rPr>
          <w:kern w:val="22"/>
          <w:szCs w:val="22"/>
          <w:lang w:val="fr-CA"/>
        </w:rPr>
        <w:t>1.</w:t>
      </w:r>
      <w:r w:rsidRPr="00834833">
        <w:rPr>
          <w:kern w:val="22"/>
          <w:szCs w:val="22"/>
          <w:lang w:val="fr-CA"/>
        </w:rPr>
        <w:tab/>
      </w:r>
      <w:r>
        <w:rPr>
          <w:i/>
          <w:iCs/>
          <w:kern w:val="22"/>
          <w:szCs w:val="22"/>
          <w:lang w:val="fr-CA"/>
        </w:rPr>
        <w:t xml:space="preserve">Prend note avec satisfaction </w:t>
      </w:r>
      <w:r>
        <w:rPr>
          <w:iCs/>
          <w:kern w:val="22"/>
          <w:szCs w:val="22"/>
          <w:lang w:val="fr-CA"/>
        </w:rPr>
        <w:t>des résultats des travaux du Groupe spécial d’experts techniques sur les c</w:t>
      </w:r>
      <w:r w:rsidR="0029494C">
        <w:rPr>
          <w:iCs/>
          <w:kern w:val="22"/>
          <w:szCs w:val="22"/>
          <w:lang w:val="fr-CA"/>
        </w:rPr>
        <w:t>onsidérations socioéconomiques</w:t>
      </w:r>
      <w:r w:rsidRPr="00683D62">
        <w:rPr>
          <w:rStyle w:val="FootnoteReference"/>
          <w:kern w:val="22"/>
          <w:szCs w:val="22"/>
          <w:lang w:val="fr-CA"/>
        </w:rPr>
        <w:footnoteReference w:id="3"/>
      </w:r>
      <w:r w:rsidR="0029494C">
        <w:rPr>
          <w:iCs/>
          <w:kern w:val="22"/>
          <w:szCs w:val="22"/>
          <w:lang w:val="fr-CA"/>
        </w:rPr>
        <w:t>;</w:t>
      </w:r>
    </w:p>
    <w:p w14:paraId="1C37062D" w14:textId="0C817062" w:rsidR="0087720B" w:rsidRPr="00834833" w:rsidRDefault="0087720B" w:rsidP="00CD2BBE">
      <w:pPr>
        <w:shd w:val="clear" w:color="auto" w:fill="FFFFFF" w:themeFill="background1"/>
        <w:spacing w:before="120" w:after="120"/>
        <w:ind w:firstLine="720"/>
        <w:rPr>
          <w:kern w:val="22"/>
          <w:szCs w:val="22"/>
          <w:lang w:val="fr-CA"/>
        </w:rPr>
      </w:pPr>
      <w:r w:rsidRPr="00834833">
        <w:rPr>
          <w:kern w:val="22"/>
          <w:szCs w:val="22"/>
          <w:lang w:val="fr-CA"/>
        </w:rPr>
        <w:t>2.</w:t>
      </w:r>
      <w:r w:rsidRPr="00834833">
        <w:rPr>
          <w:kern w:val="22"/>
          <w:szCs w:val="22"/>
          <w:lang w:val="fr-CA"/>
        </w:rPr>
        <w:tab/>
      </w:r>
      <w:r>
        <w:rPr>
          <w:i/>
          <w:snapToGrid w:val="0"/>
          <w:kern w:val="22"/>
          <w:szCs w:val="22"/>
          <w:lang w:val="fr-CA"/>
        </w:rPr>
        <w:t xml:space="preserve">Invite </w:t>
      </w:r>
      <w:r>
        <w:rPr>
          <w:snapToGrid w:val="0"/>
          <w:kern w:val="22"/>
          <w:szCs w:val="22"/>
          <w:lang w:val="fr-CA"/>
        </w:rPr>
        <w:t>les Parties, les autres gouvernements, les organisations compétentes et les autres parties prenantes à coopérer et à partager des données d’</w:t>
      </w:r>
      <w:r w:rsidR="0029494C">
        <w:rPr>
          <w:snapToGrid w:val="0"/>
          <w:kern w:val="22"/>
          <w:szCs w:val="22"/>
          <w:lang w:val="fr-CA"/>
        </w:rPr>
        <w:t>expérience pertinentes sur</w:t>
      </w:r>
      <w:r>
        <w:rPr>
          <w:snapToGrid w:val="0"/>
          <w:kern w:val="22"/>
          <w:szCs w:val="22"/>
          <w:lang w:val="fr-CA"/>
        </w:rPr>
        <w:t xml:space="preserve"> la prise en compte des considérations socioéc</w:t>
      </w:r>
      <w:r w:rsidR="0029494C">
        <w:rPr>
          <w:snapToGrid w:val="0"/>
          <w:kern w:val="22"/>
          <w:szCs w:val="22"/>
          <w:lang w:val="fr-CA"/>
        </w:rPr>
        <w:t>onomiques dans les décisions concernant</w:t>
      </w:r>
      <w:r>
        <w:rPr>
          <w:snapToGrid w:val="0"/>
          <w:kern w:val="22"/>
          <w:szCs w:val="22"/>
          <w:lang w:val="fr-CA"/>
        </w:rPr>
        <w:t xml:space="preserve"> les organismes vivants modifiés, conformément à l’article 26 du Protocole</w:t>
      </w:r>
      <w:r>
        <w:rPr>
          <w:kern w:val="22"/>
          <w:szCs w:val="22"/>
          <w:lang w:val="fr-CA"/>
        </w:rPr>
        <w:t>;</w:t>
      </w:r>
    </w:p>
    <w:p w14:paraId="05F4BCDD" w14:textId="74FC7809" w:rsidR="0087720B" w:rsidRPr="00834833" w:rsidRDefault="0087720B" w:rsidP="00CD2BBE">
      <w:pPr>
        <w:shd w:val="clear" w:color="auto" w:fill="FFFFFF" w:themeFill="background1"/>
        <w:spacing w:before="120" w:after="120"/>
        <w:ind w:firstLine="720"/>
        <w:rPr>
          <w:kern w:val="22"/>
          <w:szCs w:val="22"/>
          <w:lang w:val="fr-CA"/>
        </w:rPr>
      </w:pPr>
      <w:r w:rsidRPr="00834833">
        <w:rPr>
          <w:kern w:val="22"/>
          <w:szCs w:val="22"/>
          <w:lang w:val="fr-CA"/>
        </w:rPr>
        <w:t>3.</w:t>
      </w:r>
      <w:r w:rsidRPr="00834833">
        <w:rPr>
          <w:kern w:val="22"/>
          <w:szCs w:val="22"/>
          <w:lang w:val="fr-CA"/>
        </w:rPr>
        <w:tab/>
      </w:r>
      <w:r>
        <w:rPr>
          <w:i/>
          <w:snapToGrid w:val="0"/>
          <w:kern w:val="22"/>
          <w:szCs w:val="22"/>
          <w:lang w:val="fr-CA"/>
        </w:rPr>
        <w:t xml:space="preserve">Invite également </w:t>
      </w:r>
      <w:r>
        <w:rPr>
          <w:snapToGrid w:val="0"/>
          <w:kern w:val="22"/>
          <w:szCs w:val="22"/>
          <w:lang w:val="fr-CA"/>
        </w:rPr>
        <w:t>les Parties, les autres gouvernements et les organisations compétentes, selon qu’il convient, à utiliser les Orientat</w:t>
      </w:r>
      <w:r w:rsidR="0029494C">
        <w:rPr>
          <w:snapToGrid w:val="0"/>
          <w:kern w:val="22"/>
          <w:szCs w:val="22"/>
          <w:lang w:val="fr-CA"/>
        </w:rPr>
        <w:t xml:space="preserve">ions facultatives et à communiquer </w:t>
      </w:r>
      <w:r>
        <w:rPr>
          <w:snapToGrid w:val="0"/>
          <w:kern w:val="22"/>
          <w:szCs w:val="22"/>
          <w:lang w:val="fr-CA"/>
        </w:rPr>
        <w:t>leurs expériences</w:t>
      </w:r>
      <w:r w:rsidR="0029494C">
        <w:rPr>
          <w:snapToGrid w:val="0"/>
          <w:kern w:val="22"/>
          <w:szCs w:val="22"/>
          <w:lang w:val="fr-CA"/>
        </w:rPr>
        <w:t xml:space="preserve"> d’</w:t>
      </w:r>
      <w:r w:rsidRPr="0022094F">
        <w:rPr>
          <w:snapToGrid w:val="0"/>
          <w:kern w:val="22"/>
          <w:szCs w:val="22"/>
          <w:lang w:val="fr-CA"/>
        </w:rPr>
        <w:t>utilisation des Orientations facultatives</w:t>
      </w:r>
      <w:r>
        <w:rPr>
          <w:snapToGrid w:val="0"/>
          <w:kern w:val="22"/>
          <w:szCs w:val="22"/>
          <w:lang w:val="fr-CA"/>
        </w:rPr>
        <w:t xml:space="preserve"> à la Secrétaire exécutive</w:t>
      </w:r>
      <w:r w:rsidRPr="0022094F">
        <w:rPr>
          <w:snapToGrid w:val="0"/>
          <w:kern w:val="22"/>
          <w:szCs w:val="22"/>
          <w:lang w:val="fr-CA"/>
        </w:rPr>
        <w:t xml:space="preserve">, ainsi que des exemples de méthodes </w:t>
      </w:r>
      <w:r w:rsidR="0029494C">
        <w:rPr>
          <w:snapToGrid w:val="0"/>
          <w:kern w:val="22"/>
          <w:szCs w:val="22"/>
          <w:lang w:val="fr-CA"/>
        </w:rPr>
        <w:t xml:space="preserve">et </w:t>
      </w:r>
      <w:r w:rsidRPr="0022094F">
        <w:rPr>
          <w:snapToGrid w:val="0"/>
          <w:kern w:val="22"/>
          <w:szCs w:val="22"/>
          <w:lang w:val="fr-CA"/>
        </w:rPr>
        <w:t>d</w:t>
      </w:r>
      <w:r>
        <w:rPr>
          <w:snapToGrid w:val="0"/>
          <w:kern w:val="22"/>
          <w:szCs w:val="22"/>
          <w:lang w:val="fr-CA"/>
        </w:rPr>
        <w:t>’</w:t>
      </w:r>
      <w:r w:rsidRPr="0022094F">
        <w:rPr>
          <w:snapToGrid w:val="0"/>
          <w:kern w:val="22"/>
          <w:szCs w:val="22"/>
          <w:lang w:val="fr-CA"/>
        </w:rPr>
        <w:t>application</w:t>
      </w:r>
      <w:r w:rsidR="0029494C">
        <w:rPr>
          <w:snapToGrid w:val="0"/>
          <w:kern w:val="22"/>
          <w:szCs w:val="22"/>
          <w:lang w:val="fr-CA"/>
        </w:rPr>
        <w:t>s</w:t>
      </w:r>
      <w:r w:rsidRPr="0022094F">
        <w:rPr>
          <w:snapToGrid w:val="0"/>
          <w:kern w:val="22"/>
          <w:szCs w:val="22"/>
          <w:lang w:val="fr-CA"/>
        </w:rPr>
        <w:t xml:space="preserve"> des considérations s</w:t>
      </w:r>
      <w:r w:rsidR="0029494C">
        <w:rPr>
          <w:snapToGrid w:val="0"/>
          <w:kern w:val="22"/>
          <w:szCs w:val="22"/>
          <w:lang w:val="fr-CA"/>
        </w:rPr>
        <w:t>ocioéconomiques au regard</w:t>
      </w:r>
      <w:r w:rsidRPr="0022094F">
        <w:rPr>
          <w:snapToGrid w:val="0"/>
          <w:kern w:val="22"/>
          <w:szCs w:val="22"/>
          <w:lang w:val="fr-CA"/>
        </w:rPr>
        <w:t xml:space="preserve"> des éléments des Orientations facultatives</w:t>
      </w:r>
      <w:r>
        <w:rPr>
          <w:iCs/>
          <w:snapToGrid w:val="0"/>
          <w:kern w:val="22"/>
          <w:szCs w:val="22"/>
          <w:lang w:val="fr-CA"/>
        </w:rPr>
        <w:t>;</w:t>
      </w:r>
    </w:p>
    <w:p w14:paraId="18FE1137" w14:textId="78A365AF" w:rsidR="0087720B" w:rsidRPr="00834833" w:rsidRDefault="0087720B" w:rsidP="00CD2BBE">
      <w:pPr>
        <w:shd w:val="clear" w:color="auto" w:fill="FFFFFF" w:themeFill="background1"/>
        <w:spacing w:before="120" w:after="120"/>
        <w:ind w:firstLine="720"/>
        <w:rPr>
          <w:kern w:val="22"/>
          <w:szCs w:val="22"/>
          <w:lang w:val="fr-CA"/>
        </w:rPr>
      </w:pPr>
      <w:r w:rsidRPr="00834833">
        <w:rPr>
          <w:kern w:val="22"/>
          <w:szCs w:val="22"/>
          <w:lang w:val="fr-CA"/>
        </w:rPr>
        <w:t>4.</w:t>
      </w:r>
      <w:r w:rsidRPr="00834833">
        <w:rPr>
          <w:kern w:val="22"/>
          <w:szCs w:val="22"/>
          <w:lang w:val="fr-CA"/>
        </w:rPr>
        <w:tab/>
      </w:r>
      <w:r w:rsidRPr="0022094F">
        <w:rPr>
          <w:i/>
          <w:iCs/>
          <w:kern w:val="22"/>
          <w:szCs w:val="22"/>
          <w:lang w:val="fr-CA"/>
        </w:rPr>
        <w:t xml:space="preserve">Prie </w:t>
      </w:r>
      <w:r w:rsidRPr="0022094F">
        <w:rPr>
          <w:iCs/>
          <w:kern w:val="22"/>
          <w:szCs w:val="22"/>
          <w:lang w:val="fr-CA"/>
        </w:rPr>
        <w:t>la Sec</w:t>
      </w:r>
      <w:r w:rsidR="0029494C">
        <w:rPr>
          <w:iCs/>
          <w:kern w:val="22"/>
          <w:szCs w:val="22"/>
          <w:lang w:val="fr-CA"/>
        </w:rPr>
        <w:t>rétaire e</w:t>
      </w:r>
      <w:r w:rsidR="00BB31BC">
        <w:rPr>
          <w:iCs/>
          <w:kern w:val="22"/>
          <w:szCs w:val="22"/>
          <w:lang w:val="fr-CA"/>
        </w:rPr>
        <w:t>xécutive de contacter le</w:t>
      </w:r>
      <w:r w:rsidR="0029494C">
        <w:rPr>
          <w:iCs/>
          <w:kern w:val="22"/>
          <w:szCs w:val="22"/>
          <w:lang w:val="fr-CA"/>
        </w:rPr>
        <w:t xml:space="preserve">s Parties </w:t>
      </w:r>
      <w:r w:rsidR="00BB31BC">
        <w:rPr>
          <w:iCs/>
          <w:kern w:val="22"/>
          <w:szCs w:val="22"/>
          <w:lang w:val="fr-CA"/>
        </w:rPr>
        <w:t>ayan</w:t>
      </w:r>
      <w:r w:rsidR="0029494C">
        <w:rPr>
          <w:iCs/>
          <w:kern w:val="22"/>
          <w:szCs w:val="22"/>
          <w:lang w:val="fr-CA"/>
        </w:rPr>
        <w:t>t</w:t>
      </w:r>
      <w:r w:rsidRPr="0022094F">
        <w:rPr>
          <w:iCs/>
          <w:kern w:val="22"/>
          <w:szCs w:val="22"/>
          <w:lang w:val="fr-CA"/>
        </w:rPr>
        <w:t xml:space="preserve"> indiqué dans leurs quatrièmes rapports nationau</w:t>
      </w:r>
      <w:r w:rsidR="0029494C">
        <w:rPr>
          <w:iCs/>
          <w:kern w:val="22"/>
          <w:szCs w:val="22"/>
          <w:lang w:val="fr-CA"/>
        </w:rPr>
        <w:t>x :</w:t>
      </w:r>
      <w:r>
        <w:rPr>
          <w:iCs/>
          <w:kern w:val="22"/>
          <w:szCs w:val="22"/>
          <w:lang w:val="fr-CA"/>
        </w:rPr>
        <w:t xml:space="preserve"> a) </w:t>
      </w:r>
      <w:r w:rsidR="00BB31BC">
        <w:rPr>
          <w:iCs/>
          <w:kern w:val="22"/>
          <w:szCs w:val="22"/>
          <w:lang w:val="fr-CA"/>
        </w:rPr>
        <w:t xml:space="preserve">qu’elles ont </w:t>
      </w:r>
      <w:r w:rsidR="0029494C">
        <w:rPr>
          <w:iCs/>
          <w:kern w:val="22"/>
          <w:szCs w:val="22"/>
          <w:lang w:val="fr-CA"/>
        </w:rPr>
        <w:t>mis en place</w:t>
      </w:r>
      <w:r w:rsidRPr="0022094F">
        <w:rPr>
          <w:iCs/>
          <w:kern w:val="22"/>
          <w:szCs w:val="22"/>
          <w:lang w:val="fr-CA"/>
        </w:rPr>
        <w:t xml:space="preserve"> </w:t>
      </w:r>
      <w:r w:rsidR="0029494C">
        <w:rPr>
          <w:iCs/>
          <w:kern w:val="22"/>
          <w:szCs w:val="22"/>
          <w:lang w:val="fr-CA"/>
        </w:rPr>
        <w:t xml:space="preserve">des méthodes ou </w:t>
      </w:r>
      <w:r w:rsidRPr="0022094F">
        <w:rPr>
          <w:iCs/>
          <w:kern w:val="22"/>
          <w:szCs w:val="22"/>
          <w:lang w:val="fr-CA"/>
        </w:rPr>
        <w:t>exigen</w:t>
      </w:r>
      <w:r w:rsidR="0029494C">
        <w:rPr>
          <w:iCs/>
          <w:kern w:val="22"/>
          <w:szCs w:val="22"/>
          <w:lang w:val="fr-CA"/>
        </w:rPr>
        <w:t>ces particulières qui facilite</w:t>
      </w:r>
      <w:r w:rsidR="00CF08FE">
        <w:rPr>
          <w:iCs/>
          <w:kern w:val="22"/>
          <w:szCs w:val="22"/>
          <w:lang w:val="fr-CA"/>
        </w:rPr>
        <w:t>nt la façon dont les</w:t>
      </w:r>
      <w:r w:rsidRPr="0022094F">
        <w:rPr>
          <w:iCs/>
          <w:kern w:val="22"/>
          <w:szCs w:val="22"/>
          <w:lang w:val="fr-CA"/>
        </w:rPr>
        <w:t xml:space="preserve"> consi</w:t>
      </w:r>
      <w:r w:rsidR="0029494C">
        <w:rPr>
          <w:iCs/>
          <w:kern w:val="22"/>
          <w:szCs w:val="22"/>
          <w:lang w:val="fr-CA"/>
        </w:rPr>
        <w:t>dérations socioéconomiques so</w:t>
      </w:r>
      <w:r w:rsidRPr="0022094F">
        <w:rPr>
          <w:iCs/>
          <w:kern w:val="22"/>
          <w:szCs w:val="22"/>
          <w:lang w:val="fr-CA"/>
        </w:rPr>
        <w:t xml:space="preserve">nt prises </w:t>
      </w:r>
      <w:r w:rsidR="0029494C">
        <w:rPr>
          <w:iCs/>
          <w:kern w:val="22"/>
          <w:szCs w:val="22"/>
          <w:lang w:val="fr-CA"/>
        </w:rPr>
        <w:t>en compte dans les décisions concernant</w:t>
      </w:r>
      <w:r w:rsidRPr="0022094F">
        <w:rPr>
          <w:iCs/>
          <w:kern w:val="22"/>
          <w:szCs w:val="22"/>
          <w:lang w:val="fr-CA"/>
        </w:rPr>
        <w:t xml:space="preserve"> les organismes vivants modifiés</w:t>
      </w:r>
      <w:r>
        <w:rPr>
          <w:iCs/>
          <w:kern w:val="22"/>
          <w:szCs w:val="22"/>
          <w:lang w:val="fr-CA"/>
        </w:rPr>
        <w:t>,</w:t>
      </w:r>
      <w:r w:rsidRPr="0022094F">
        <w:rPr>
          <w:iCs/>
          <w:kern w:val="22"/>
          <w:szCs w:val="22"/>
          <w:lang w:val="fr-CA"/>
        </w:rPr>
        <w:t xml:space="preserve"> ou </w:t>
      </w:r>
      <w:r w:rsidR="00BB31BC">
        <w:rPr>
          <w:iCs/>
          <w:kern w:val="22"/>
          <w:szCs w:val="22"/>
          <w:lang w:val="fr-CA"/>
        </w:rPr>
        <w:t xml:space="preserve">b) qu’elles ont </w:t>
      </w:r>
      <w:r w:rsidRPr="0022094F">
        <w:rPr>
          <w:iCs/>
          <w:kern w:val="22"/>
          <w:szCs w:val="22"/>
          <w:lang w:val="fr-CA"/>
        </w:rPr>
        <w:t>pris en compte les considérations socioéc</w:t>
      </w:r>
      <w:r w:rsidR="00CF08FE">
        <w:rPr>
          <w:iCs/>
          <w:kern w:val="22"/>
          <w:szCs w:val="22"/>
          <w:lang w:val="fr-CA"/>
        </w:rPr>
        <w:t xml:space="preserve">onomiques découlant </w:t>
      </w:r>
      <w:r w:rsidR="0029494C">
        <w:rPr>
          <w:iCs/>
          <w:kern w:val="22"/>
          <w:szCs w:val="22"/>
          <w:lang w:val="fr-CA"/>
        </w:rPr>
        <w:t>de l’impact</w:t>
      </w:r>
      <w:r w:rsidRPr="0022094F">
        <w:rPr>
          <w:iCs/>
          <w:kern w:val="22"/>
          <w:szCs w:val="22"/>
          <w:lang w:val="fr-CA"/>
        </w:rPr>
        <w:t xml:space="preserve"> des organismes vivants modifiés</w:t>
      </w:r>
      <w:r>
        <w:rPr>
          <w:iCs/>
          <w:kern w:val="22"/>
          <w:szCs w:val="22"/>
          <w:lang w:val="fr-CA"/>
        </w:rPr>
        <w:t xml:space="preserve"> sur la conservation et l’utilisation durable de la diversité biologique</w:t>
      </w:r>
      <w:r w:rsidRPr="0022094F">
        <w:rPr>
          <w:iCs/>
          <w:kern w:val="22"/>
          <w:szCs w:val="22"/>
          <w:lang w:val="fr-CA"/>
        </w:rPr>
        <w:t xml:space="preserve">, et </w:t>
      </w:r>
      <w:r>
        <w:rPr>
          <w:iCs/>
          <w:kern w:val="22"/>
          <w:szCs w:val="22"/>
          <w:lang w:val="fr-CA"/>
        </w:rPr>
        <w:t xml:space="preserve">de les inviter </w:t>
      </w:r>
      <w:r w:rsidR="0029494C">
        <w:rPr>
          <w:iCs/>
          <w:kern w:val="22"/>
          <w:szCs w:val="22"/>
          <w:lang w:val="fr-CA"/>
        </w:rPr>
        <w:t>à partager</w:t>
      </w:r>
      <w:r>
        <w:rPr>
          <w:iCs/>
          <w:kern w:val="22"/>
          <w:szCs w:val="22"/>
          <w:lang w:val="fr-CA"/>
        </w:rPr>
        <w:t xml:space="preserve"> des informations sur </w:t>
      </w:r>
      <w:r w:rsidR="0029494C">
        <w:rPr>
          <w:iCs/>
          <w:kern w:val="22"/>
          <w:szCs w:val="22"/>
          <w:lang w:val="fr-CA"/>
        </w:rPr>
        <w:t>le</w:t>
      </w:r>
      <w:r w:rsidR="00CF08FE">
        <w:rPr>
          <w:iCs/>
          <w:kern w:val="22"/>
          <w:szCs w:val="22"/>
          <w:lang w:val="fr-CA"/>
        </w:rPr>
        <w:t>urs expériences, en</w:t>
      </w:r>
      <w:r w:rsidR="00BB31BC">
        <w:rPr>
          <w:iCs/>
          <w:kern w:val="22"/>
          <w:szCs w:val="22"/>
          <w:lang w:val="fr-CA"/>
        </w:rPr>
        <w:t xml:space="preserve"> ce qui a trait à</w:t>
      </w:r>
      <w:r>
        <w:rPr>
          <w:iCs/>
          <w:kern w:val="22"/>
          <w:szCs w:val="22"/>
          <w:lang w:val="fr-CA"/>
        </w:rPr>
        <w:t xml:space="preserve"> l’article 26;</w:t>
      </w:r>
    </w:p>
    <w:p w14:paraId="65E7192C" w14:textId="69F8047C" w:rsidR="0087720B" w:rsidRPr="00834833" w:rsidRDefault="0087720B" w:rsidP="00CD2BBE">
      <w:pPr>
        <w:shd w:val="clear" w:color="auto" w:fill="FFFFFF" w:themeFill="background1"/>
        <w:spacing w:before="120" w:after="120"/>
        <w:ind w:firstLine="720"/>
        <w:rPr>
          <w:snapToGrid w:val="0"/>
          <w:kern w:val="22"/>
          <w:szCs w:val="18"/>
          <w:lang w:val="fr-CA"/>
        </w:rPr>
      </w:pPr>
      <w:r w:rsidRPr="00834833">
        <w:rPr>
          <w:kern w:val="22"/>
          <w:szCs w:val="22"/>
          <w:lang w:val="fr-CA"/>
        </w:rPr>
        <w:t>5.</w:t>
      </w:r>
      <w:r w:rsidRPr="00834833">
        <w:rPr>
          <w:kern w:val="22"/>
          <w:szCs w:val="22"/>
          <w:lang w:val="fr-CA"/>
        </w:rPr>
        <w:tab/>
      </w:r>
      <w:r w:rsidRPr="0022094F">
        <w:rPr>
          <w:i/>
          <w:iCs/>
          <w:kern w:val="22"/>
          <w:szCs w:val="22"/>
          <w:lang w:val="fr-CA"/>
        </w:rPr>
        <w:t xml:space="preserve">Prie </w:t>
      </w:r>
      <w:r>
        <w:rPr>
          <w:i/>
          <w:iCs/>
          <w:kern w:val="22"/>
          <w:szCs w:val="22"/>
          <w:lang w:val="fr-CA"/>
        </w:rPr>
        <w:t xml:space="preserve">également </w:t>
      </w:r>
      <w:r w:rsidRPr="0022094F">
        <w:rPr>
          <w:iCs/>
          <w:kern w:val="22"/>
          <w:szCs w:val="22"/>
          <w:lang w:val="fr-CA"/>
        </w:rPr>
        <w:t>l</w:t>
      </w:r>
      <w:r w:rsidR="0029494C">
        <w:rPr>
          <w:iCs/>
          <w:kern w:val="22"/>
          <w:szCs w:val="22"/>
          <w:lang w:val="fr-CA"/>
        </w:rPr>
        <w:t>a Secrétaire exécutive de consolider</w:t>
      </w:r>
      <w:r w:rsidRPr="0022094F">
        <w:rPr>
          <w:iCs/>
          <w:kern w:val="22"/>
          <w:szCs w:val="22"/>
          <w:lang w:val="fr-CA"/>
        </w:rPr>
        <w:t xml:space="preserve"> les inf</w:t>
      </w:r>
      <w:r w:rsidR="0029494C">
        <w:rPr>
          <w:iCs/>
          <w:kern w:val="22"/>
          <w:szCs w:val="22"/>
          <w:lang w:val="fr-CA"/>
        </w:rPr>
        <w:t>ormations recueillies en application des</w:t>
      </w:r>
      <w:r w:rsidRPr="0022094F">
        <w:rPr>
          <w:iCs/>
          <w:kern w:val="22"/>
          <w:szCs w:val="22"/>
          <w:lang w:val="fr-CA"/>
        </w:rPr>
        <w:t xml:space="preserve"> paragraphes</w:t>
      </w:r>
      <w:r>
        <w:rPr>
          <w:iCs/>
          <w:kern w:val="22"/>
          <w:szCs w:val="22"/>
          <w:lang w:val="fr-CA"/>
        </w:rPr>
        <w:t> </w:t>
      </w:r>
      <w:r w:rsidRPr="0022094F">
        <w:rPr>
          <w:iCs/>
          <w:kern w:val="22"/>
          <w:szCs w:val="22"/>
          <w:lang w:val="fr-CA"/>
        </w:rPr>
        <w:t>3 et 4</w:t>
      </w:r>
      <w:r w:rsidR="006B5047">
        <w:rPr>
          <w:iCs/>
          <w:kern w:val="22"/>
          <w:szCs w:val="22"/>
          <w:lang w:val="fr-CA"/>
        </w:rPr>
        <w:t xml:space="preserve"> ci-dessus</w:t>
      </w:r>
      <w:r w:rsidR="0029494C">
        <w:rPr>
          <w:iCs/>
          <w:kern w:val="22"/>
          <w:szCs w:val="22"/>
          <w:lang w:val="fr-CA"/>
        </w:rPr>
        <w:t>,</w:t>
      </w:r>
      <w:r w:rsidR="00BB31BC">
        <w:rPr>
          <w:iCs/>
          <w:kern w:val="22"/>
          <w:szCs w:val="22"/>
          <w:lang w:val="fr-CA"/>
        </w:rPr>
        <w:t xml:space="preserve"> et de les transmettre pour </w:t>
      </w:r>
      <w:r w:rsidRPr="0022094F">
        <w:rPr>
          <w:iCs/>
          <w:kern w:val="22"/>
          <w:szCs w:val="22"/>
          <w:lang w:val="fr-CA"/>
        </w:rPr>
        <w:t>examen par la Conférence des Parties siégeant en tant que réunion des Parties au Protocole de Cartagena</w:t>
      </w:r>
      <w:r w:rsidR="00BB31BC">
        <w:rPr>
          <w:iCs/>
          <w:kern w:val="22"/>
          <w:szCs w:val="22"/>
          <w:lang w:val="fr-CA"/>
        </w:rPr>
        <w:t xml:space="preserve"> à sa onzième réunion, en vue</w:t>
      </w:r>
      <w:r w:rsidR="0029494C">
        <w:rPr>
          <w:iCs/>
          <w:kern w:val="22"/>
          <w:szCs w:val="22"/>
          <w:lang w:val="fr-CA"/>
        </w:rPr>
        <w:t xml:space="preserve"> de déterminer s’il convient d’entreprendre d’autres </w:t>
      </w:r>
      <w:r w:rsidRPr="0022094F">
        <w:rPr>
          <w:iCs/>
          <w:kern w:val="22"/>
          <w:szCs w:val="22"/>
          <w:lang w:val="fr-CA"/>
        </w:rPr>
        <w:t>travaux</w:t>
      </w:r>
      <w:r>
        <w:rPr>
          <w:kern w:val="22"/>
          <w:szCs w:val="22"/>
          <w:lang w:val="fr-CA"/>
        </w:rPr>
        <w:t>.</w:t>
      </w:r>
    </w:p>
    <w:p w14:paraId="1DAEAE69" w14:textId="77777777" w:rsidR="0087720B" w:rsidRPr="0029494C" w:rsidRDefault="0087720B" w:rsidP="0087720B">
      <w:pPr>
        <w:rPr>
          <w:lang w:val="fr-FR"/>
        </w:rPr>
      </w:pPr>
    </w:p>
    <w:p w14:paraId="753B7F74" w14:textId="0813CED8" w:rsidR="00C9161D" w:rsidRDefault="00C9161D" w:rsidP="00C9161D">
      <w:pPr>
        <w:jc w:val="center"/>
      </w:pPr>
      <w:r w:rsidRPr="00C9161D">
        <w:t>______</w:t>
      </w:r>
      <w:r w:rsidR="00F614C9">
        <w:t>____</w:t>
      </w:r>
    </w:p>
    <w:p w14:paraId="3093D971" w14:textId="300B044A" w:rsidR="00B3369F" w:rsidRPr="00C9161D" w:rsidRDefault="00B3369F" w:rsidP="00470AA4">
      <w:pPr>
        <w:jc w:val="center"/>
      </w:pPr>
    </w:p>
    <w:sectPr w:rsidR="00B3369F" w:rsidRPr="00C9161D" w:rsidSect="00A10A1D">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EDEE7" w14:textId="77777777" w:rsidR="00562245" w:rsidRDefault="00562245" w:rsidP="00CF1848">
      <w:r>
        <w:separator/>
      </w:r>
    </w:p>
  </w:endnote>
  <w:endnote w:type="continuationSeparator" w:id="0">
    <w:p w14:paraId="2481EEB4" w14:textId="77777777" w:rsidR="00562245" w:rsidRDefault="00562245"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66D19" w14:textId="77777777" w:rsidR="00AF5C59" w:rsidRDefault="00AF5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754C8" w14:textId="77777777" w:rsidR="00AF5C59" w:rsidRDefault="00AF5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54986" w14:textId="77777777" w:rsidR="00AF5C59" w:rsidRDefault="00AF5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661F6C" w14:textId="77777777" w:rsidR="00562245" w:rsidRDefault="00562245" w:rsidP="00CF1848">
      <w:r>
        <w:separator/>
      </w:r>
    </w:p>
  </w:footnote>
  <w:footnote w:type="continuationSeparator" w:id="0">
    <w:p w14:paraId="34813E5B" w14:textId="77777777" w:rsidR="00562245" w:rsidRDefault="00562245" w:rsidP="00CF1848">
      <w:r>
        <w:continuationSeparator/>
      </w:r>
    </w:p>
  </w:footnote>
  <w:footnote w:id="1">
    <w:p w14:paraId="0B0D7721" w14:textId="4B8C1451" w:rsidR="00CD2BBE" w:rsidRPr="00CD2BBE" w:rsidRDefault="00CD2BBE" w:rsidP="00CD2BBE">
      <w:pPr>
        <w:pStyle w:val="FootnoteText"/>
        <w:ind w:firstLine="0"/>
        <w:rPr>
          <w:lang w:val="fr-FR"/>
        </w:rPr>
      </w:pPr>
      <w:r>
        <w:rPr>
          <w:rStyle w:val="FootnoteReference"/>
        </w:rPr>
        <w:footnoteRef/>
      </w:r>
      <w:r w:rsidRPr="00CD2BBE">
        <w:rPr>
          <w:lang w:val="fr-FR"/>
        </w:rPr>
        <w:t xml:space="preserve"> </w:t>
      </w:r>
      <w:r>
        <w:rPr>
          <w:lang w:val="fr-FR"/>
        </w:rPr>
        <w:t>Annexe à la décision CP-10/3.</w:t>
      </w:r>
    </w:p>
  </w:footnote>
  <w:footnote w:id="2">
    <w:p w14:paraId="2EECA124" w14:textId="31429A3D" w:rsidR="00CD2BBE" w:rsidRPr="00CD2BBE" w:rsidRDefault="00CD2BBE" w:rsidP="00CD2BBE">
      <w:pPr>
        <w:pStyle w:val="FootnoteText"/>
        <w:ind w:firstLine="0"/>
        <w:rPr>
          <w:lang w:val="fr-FR"/>
        </w:rPr>
      </w:pPr>
      <w:r>
        <w:rPr>
          <w:rStyle w:val="FootnoteReference"/>
        </w:rPr>
        <w:footnoteRef/>
      </w:r>
      <w:r w:rsidRPr="00CD2BBE">
        <w:rPr>
          <w:lang w:val="fr-FR"/>
        </w:rPr>
        <w:t xml:space="preserve"> </w:t>
      </w:r>
      <w:r>
        <w:rPr>
          <w:lang w:val="fr-FR"/>
        </w:rPr>
        <w:t>Annexe à la décision CP-10/4.</w:t>
      </w:r>
    </w:p>
  </w:footnote>
  <w:footnote w:id="3">
    <w:p w14:paraId="5165B5CE" w14:textId="77777777" w:rsidR="0087720B" w:rsidRPr="009944DB" w:rsidRDefault="0087720B" w:rsidP="0087720B">
      <w:pPr>
        <w:pStyle w:val="FootnoteText"/>
        <w:spacing w:after="0"/>
        <w:ind w:firstLine="0"/>
        <w:rPr>
          <w:lang w:val="fr-CA"/>
        </w:rPr>
      </w:pPr>
      <w:r w:rsidRPr="00683D62">
        <w:rPr>
          <w:rStyle w:val="FootnoteReference"/>
        </w:rPr>
        <w:footnoteRef/>
      </w:r>
      <w:r w:rsidRPr="00683D62">
        <w:rPr>
          <w:vertAlign w:val="superscript"/>
          <w:lang w:val="fr-CA"/>
        </w:rPr>
        <w:t xml:space="preserve"> </w:t>
      </w:r>
      <w:r w:rsidRPr="009944DB">
        <w:rPr>
          <w:lang w:val="fr-CA"/>
        </w:rPr>
        <w:t>Figurant aux annexes</w:t>
      </w:r>
      <w:r>
        <w:rPr>
          <w:lang w:val="fr-CA"/>
        </w:rPr>
        <w:t> </w:t>
      </w:r>
      <w:r w:rsidRPr="009944DB">
        <w:rPr>
          <w:lang w:val="fr-CA"/>
        </w:rPr>
        <w:t>II et III du document CBD/CP/MOP/10/11.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7E878FEF" w:rsidR="00534681" w:rsidRPr="00134846" w:rsidRDefault="00FA383F" w:rsidP="00534681">
        <w:pPr>
          <w:pStyle w:val="Header"/>
          <w:rPr>
            <w:lang w:val="fr-FR"/>
          </w:rPr>
        </w:pPr>
        <w:r>
          <w:rPr>
            <w:lang w:val="fr-FR"/>
          </w:rPr>
          <w:t>CBD/CP/MOP/DEC/10/12</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C03202">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31A9AEC0" w:rsidR="009505C9" w:rsidRPr="00134846" w:rsidRDefault="00FA383F" w:rsidP="009505C9">
        <w:pPr>
          <w:pStyle w:val="Header"/>
          <w:jc w:val="right"/>
          <w:rPr>
            <w:lang w:val="fr-FR"/>
          </w:rPr>
        </w:pPr>
        <w:r>
          <w:rPr>
            <w:lang w:val="fr-FR"/>
          </w:rPr>
          <w:t>CBD/CP/MOP/DEC/10/12</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87720B">
      <w:rPr>
        <w:noProof/>
        <w:lang w:val="fr-FR"/>
      </w:rPr>
      <w:t>3</w:t>
    </w:r>
    <w:r>
      <w:rPr>
        <w:noProof/>
      </w:rPr>
      <w:fldChar w:fldCharType="end"/>
    </w:r>
  </w:p>
  <w:p w14:paraId="16137B8A" w14:textId="77777777" w:rsidR="009505C9" w:rsidRPr="00134846" w:rsidRDefault="009505C9">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6D195" w14:textId="77777777" w:rsidR="002639AD" w:rsidRDefault="002639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20A25"/>
    <w:rsid w:val="00027608"/>
    <w:rsid w:val="00044CC1"/>
    <w:rsid w:val="00051559"/>
    <w:rsid w:val="00057E1D"/>
    <w:rsid w:val="0007171B"/>
    <w:rsid w:val="00071792"/>
    <w:rsid w:val="00091751"/>
    <w:rsid w:val="000A067A"/>
    <w:rsid w:val="000C60BE"/>
    <w:rsid w:val="000C64C2"/>
    <w:rsid w:val="000E673A"/>
    <w:rsid w:val="000F74F5"/>
    <w:rsid w:val="00105372"/>
    <w:rsid w:val="001312AD"/>
    <w:rsid w:val="00131E7A"/>
    <w:rsid w:val="00134846"/>
    <w:rsid w:val="00172AF6"/>
    <w:rsid w:val="00176CEE"/>
    <w:rsid w:val="00186DD8"/>
    <w:rsid w:val="00186FCC"/>
    <w:rsid w:val="001964E8"/>
    <w:rsid w:val="001A5FB3"/>
    <w:rsid w:val="001B13FE"/>
    <w:rsid w:val="001C1A69"/>
    <w:rsid w:val="001C2EEF"/>
    <w:rsid w:val="001C3B9E"/>
    <w:rsid w:val="001E6073"/>
    <w:rsid w:val="001F6651"/>
    <w:rsid w:val="00201591"/>
    <w:rsid w:val="00216AA6"/>
    <w:rsid w:val="00234AAD"/>
    <w:rsid w:val="00253B76"/>
    <w:rsid w:val="002639AD"/>
    <w:rsid w:val="00283CE6"/>
    <w:rsid w:val="0029494C"/>
    <w:rsid w:val="002B6A8C"/>
    <w:rsid w:val="002F60A5"/>
    <w:rsid w:val="0030169D"/>
    <w:rsid w:val="003060EB"/>
    <w:rsid w:val="003153EB"/>
    <w:rsid w:val="00321985"/>
    <w:rsid w:val="00322F91"/>
    <w:rsid w:val="00351205"/>
    <w:rsid w:val="00372F74"/>
    <w:rsid w:val="003B7BB2"/>
    <w:rsid w:val="003C23C2"/>
    <w:rsid w:val="003F7224"/>
    <w:rsid w:val="00402771"/>
    <w:rsid w:val="00423848"/>
    <w:rsid w:val="00424388"/>
    <w:rsid w:val="00427D21"/>
    <w:rsid w:val="004505A8"/>
    <w:rsid w:val="0045579E"/>
    <w:rsid w:val="00462920"/>
    <w:rsid w:val="004644C2"/>
    <w:rsid w:val="00467F9C"/>
    <w:rsid w:val="00470AA4"/>
    <w:rsid w:val="00474608"/>
    <w:rsid w:val="004A0B04"/>
    <w:rsid w:val="004D4B28"/>
    <w:rsid w:val="00534681"/>
    <w:rsid w:val="00540FA2"/>
    <w:rsid w:val="00550789"/>
    <w:rsid w:val="00562245"/>
    <w:rsid w:val="00563442"/>
    <w:rsid w:val="005641A9"/>
    <w:rsid w:val="00565B42"/>
    <w:rsid w:val="00567901"/>
    <w:rsid w:val="00581F82"/>
    <w:rsid w:val="00590AEC"/>
    <w:rsid w:val="005A305F"/>
    <w:rsid w:val="005A3B76"/>
    <w:rsid w:val="005B4ADC"/>
    <w:rsid w:val="005B6956"/>
    <w:rsid w:val="005C4CE6"/>
    <w:rsid w:val="005E0ED3"/>
    <w:rsid w:val="006122BA"/>
    <w:rsid w:val="006308DC"/>
    <w:rsid w:val="0063588C"/>
    <w:rsid w:val="00696B7A"/>
    <w:rsid w:val="006B2290"/>
    <w:rsid w:val="006B5047"/>
    <w:rsid w:val="007150B1"/>
    <w:rsid w:val="00717D88"/>
    <w:rsid w:val="0074524C"/>
    <w:rsid w:val="007552CE"/>
    <w:rsid w:val="007554DF"/>
    <w:rsid w:val="0075563B"/>
    <w:rsid w:val="00786056"/>
    <w:rsid w:val="007942D3"/>
    <w:rsid w:val="007A3070"/>
    <w:rsid w:val="007A71E3"/>
    <w:rsid w:val="007B2099"/>
    <w:rsid w:val="007B6C09"/>
    <w:rsid w:val="007B7741"/>
    <w:rsid w:val="007D6D62"/>
    <w:rsid w:val="007E09DA"/>
    <w:rsid w:val="008178B6"/>
    <w:rsid w:val="00865B74"/>
    <w:rsid w:val="00867967"/>
    <w:rsid w:val="0087720B"/>
    <w:rsid w:val="008974F0"/>
    <w:rsid w:val="0089767D"/>
    <w:rsid w:val="008B012A"/>
    <w:rsid w:val="008C492A"/>
    <w:rsid w:val="008C4F90"/>
    <w:rsid w:val="008D6EFE"/>
    <w:rsid w:val="008E120B"/>
    <w:rsid w:val="00906E17"/>
    <w:rsid w:val="009165F9"/>
    <w:rsid w:val="00916BBB"/>
    <w:rsid w:val="0092542F"/>
    <w:rsid w:val="00930BA1"/>
    <w:rsid w:val="0093169E"/>
    <w:rsid w:val="00937130"/>
    <w:rsid w:val="009505C9"/>
    <w:rsid w:val="00950752"/>
    <w:rsid w:val="00954EF1"/>
    <w:rsid w:val="009577C4"/>
    <w:rsid w:val="0096255B"/>
    <w:rsid w:val="00966424"/>
    <w:rsid w:val="00980066"/>
    <w:rsid w:val="009A29D6"/>
    <w:rsid w:val="009C2DE6"/>
    <w:rsid w:val="009E10DD"/>
    <w:rsid w:val="00A10A1D"/>
    <w:rsid w:val="00A1252A"/>
    <w:rsid w:val="00A22165"/>
    <w:rsid w:val="00A42D2D"/>
    <w:rsid w:val="00A56F27"/>
    <w:rsid w:val="00A7041B"/>
    <w:rsid w:val="00AA6F92"/>
    <w:rsid w:val="00AB6934"/>
    <w:rsid w:val="00AB6E6E"/>
    <w:rsid w:val="00AB7A38"/>
    <w:rsid w:val="00AC04E5"/>
    <w:rsid w:val="00AD79E1"/>
    <w:rsid w:val="00AD7FFC"/>
    <w:rsid w:val="00AF42DE"/>
    <w:rsid w:val="00AF5C59"/>
    <w:rsid w:val="00B1204B"/>
    <w:rsid w:val="00B26ACD"/>
    <w:rsid w:val="00B3369F"/>
    <w:rsid w:val="00B3748E"/>
    <w:rsid w:val="00B452D2"/>
    <w:rsid w:val="00B93DBB"/>
    <w:rsid w:val="00B94E6C"/>
    <w:rsid w:val="00BB2B8E"/>
    <w:rsid w:val="00BB31BC"/>
    <w:rsid w:val="00BB4606"/>
    <w:rsid w:val="00BF11F9"/>
    <w:rsid w:val="00C03202"/>
    <w:rsid w:val="00C06E34"/>
    <w:rsid w:val="00C105A1"/>
    <w:rsid w:val="00C23D2F"/>
    <w:rsid w:val="00C345FF"/>
    <w:rsid w:val="00C37623"/>
    <w:rsid w:val="00C443BD"/>
    <w:rsid w:val="00C448E7"/>
    <w:rsid w:val="00C451C5"/>
    <w:rsid w:val="00C55246"/>
    <w:rsid w:val="00C60BE9"/>
    <w:rsid w:val="00C9161D"/>
    <w:rsid w:val="00CA0C1D"/>
    <w:rsid w:val="00CA218E"/>
    <w:rsid w:val="00CD2BBE"/>
    <w:rsid w:val="00CE2762"/>
    <w:rsid w:val="00CF08FE"/>
    <w:rsid w:val="00CF1848"/>
    <w:rsid w:val="00D12044"/>
    <w:rsid w:val="00D30264"/>
    <w:rsid w:val="00D33EFC"/>
    <w:rsid w:val="00D40DBC"/>
    <w:rsid w:val="00D67904"/>
    <w:rsid w:val="00D76A18"/>
    <w:rsid w:val="00D80849"/>
    <w:rsid w:val="00D82E8F"/>
    <w:rsid w:val="00D85077"/>
    <w:rsid w:val="00D86DCD"/>
    <w:rsid w:val="00DA0170"/>
    <w:rsid w:val="00DD118C"/>
    <w:rsid w:val="00DD48DB"/>
    <w:rsid w:val="00DE229B"/>
    <w:rsid w:val="00E41E97"/>
    <w:rsid w:val="00E44889"/>
    <w:rsid w:val="00E66235"/>
    <w:rsid w:val="00E66779"/>
    <w:rsid w:val="00E66FF9"/>
    <w:rsid w:val="00E83C24"/>
    <w:rsid w:val="00E9318D"/>
    <w:rsid w:val="00EB4814"/>
    <w:rsid w:val="00EC15DE"/>
    <w:rsid w:val="00EC1F46"/>
    <w:rsid w:val="00F24E0C"/>
    <w:rsid w:val="00F32402"/>
    <w:rsid w:val="00F45759"/>
    <w:rsid w:val="00F53193"/>
    <w:rsid w:val="00F5357E"/>
    <w:rsid w:val="00F614C9"/>
    <w:rsid w:val="00F6586C"/>
    <w:rsid w:val="00F94774"/>
    <w:rsid w:val="00FA0E9A"/>
    <w:rsid w:val="00FA383F"/>
    <w:rsid w:val="00FA663B"/>
    <w:rsid w:val="00FA7688"/>
    <w:rsid w:val="00FC25F8"/>
    <w:rsid w:val="00FC53DB"/>
    <w:rsid w:val="00FE0168"/>
    <w:rsid w:val="00FE2131"/>
    <w:rsid w:val="00FF35AB"/>
    <w:rsid w:val="00FF723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C448E7"/>
    <w:pPr>
      <w:spacing w:before="120" w:after="160" w:line="240" w:lineRule="exact"/>
    </w:pPr>
    <w:rPr>
      <w:rFonts w:asciiTheme="minorHAnsi" w:eastAsiaTheme="minorEastAsia" w:hAnsiTheme="minorHAnsi" w:cstheme="minorBidi"/>
      <w:vertAlign w:val="superscript"/>
      <w:lang w:val="fr-CA"/>
    </w:rPr>
  </w:style>
  <w:style w:type="paragraph" w:styleId="Revision">
    <w:name w:val="Revision"/>
    <w:hidden/>
    <w:uiPriority w:val="99"/>
    <w:semiHidden/>
    <w:rsid w:val="002639AD"/>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93DB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93DBB"/>
    <w:rPr>
      <w:rFonts w:ascii="Times New Roman" w:eastAsia="Times New Roman" w:hAnsi="Times New Roman" w:cs="Times New Roman"/>
      <w:b/>
      <w:bCs/>
      <w:sz w:val="20"/>
      <w:szCs w:val="20"/>
      <w:lang w:val="en-GB"/>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87720B"/>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6525A"/>
    <w:rsid w:val="000E133E"/>
    <w:rsid w:val="0016789F"/>
    <w:rsid w:val="002C5EE8"/>
    <w:rsid w:val="0033151D"/>
    <w:rsid w:val="0046422C"/>
    <w:rsid w:val="004760CF"/>
    <w:rsid w:val="004D0A55"/>
    <w:rsid w:val="004E092F"/>
    <w:rsid w:val="00500A2B"/>
    <w:rsid w:val="0058288D"/>
    <w:rsid w:val="00665C6B"/>
    <w:rsid w:val="006801B3"/>
    <w:rsid w:val="006C45BF"/>
    <w:rsid w:val="00714FC4"/>
    <w:rsid w:val="00766A21"/>
    <w:rsid w:val="00767626"/>
    <w:rsid w:val="007B5C2B"/>
    <w:rsid w:val="007D5E5F"/>
    <w:rsid w:val="00810A55"/>
    <w:rsid w:val="00813C4D"/>
    <w:rsid w:val="00894910"/>
    <w:rsid w:val="008C6619"/>
    <w:rsid w:val="008D420E"/>
    <w:rsid w:val="00922297"/>
    <w:rsid w:val="0098642F"/>
    <w:rsid w:val="0099033F"/>
    <w:rsid w:val="009F0F8D"/>
    <w:rsid w:val="00A21CCD"/>
    <w:rsid w:val="00A4517F"/>
    <w:rsid w:val="00A60639"/>
    <w:rsid w:val="00A941B0"/>
    <w:rsid w:val="00B27D2C"/>
    <w:rsid w:val="00C70655"/>
    <w:rsid w:val="00C8104B"/>
    <w:rsid w:val="00CA0ED2"/>
    <w:rsid w:val="00D31D12"/>
    <w:rsid w:val="00D4003A"/>
    <w:rsid w:val="00E70C4D"/>
    <w:rsid w:val="00F605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0A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22AF6A5E-AC01-4CA3-92A7-D41BA3AF0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932E854F-1157-43B8-A2E4-D4B232C69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681</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CP-10/12.	Socio-economic considerations (Article 26)</vt:lpstr>
    </vt:vector>
  </TitlesOfParts>
  <Company>SCBD</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CP-10/12.	Considérations socioéconomiques (article 26)</dc:title>
  <dc:subject>CBD/CP/MOP/DEC/10/12</dc:subject>
  <dc:creator>SCBD</dc:creator>
  <cp:keywords>Decision adopted by the Parties to the Cartagena Protocol on Biosafety</cp:keywords>
  <cp:lastModifiedBy>Finn Kinley</cp:lastModifiedBy>
  <cp:revision>12</cp:revision>
  <cp:lastPrinted>2020-01-21T16:56:00Z</cp:lastPrinted>
  <dcterms:created xsi:type="dcterms:W3CDTF">2023-02-22T19:20:00Z</dcterms:created>
  <dcterms:modified xsi:type="dcterms:W3CDTF">2023-02-24T00:49:00Z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