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371"/>
      </w:tblGrid>
      <w:tr w:rsidR="00C9161D" w14:paraId="07F6750D" w14:textId="77777777" w:rsidTr="00BF048B">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8670C8">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37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BF048B">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371"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7379065B" w:rsidR="00C9161D" w:rsidRPr="00C9161D" w:rsidRDefault="00F01042"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04F5CA5F" w:rsidR="00C9161D" w:rsidRPr="00C9161D" w:rsidRDefault="00704582"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01042">
                  <w:rPr>
                    <w:lang w:val="en-US"/>
                  </w:rPr>
                  <w:t>CBD/CP/MOP/DEC/10/13</w:t>
                </w:r>
              </w:sdtContent>
            </w:sdt>
          </w:p>
          <w:p w14:paraId="0DF1F033" w14:textId="79D05C9A" w:rsidR="00C9161D" w:rsidRPr="00C9161D" w:rsidRDefault="00F01042" w:rsidP="00176CEE">
            <w:pPr>
              <w:ind w:left="1215"/>
              <w:rPr>
                <w:szCs w:val="22"/>
              </w:rPr>
            </w:pPr>
            <w:r>
              <w:rPr>
                <w:szCs w:val="22"/>
                <w:lang w:val="en-US"/>
              </w:rPr>
              <w:t>1</w:t>
            </w:r>
            <w:r w:rsidR="002D7597">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5AA10CCE" w14:textId="57894125" w:rsidR="00C9161D" w:rsidRDefault="006B2290" w:rsidP="00BF048B">
            <w:pPr>
              <w:spacing w:after="120"/>
              <w:ind w:left="1215"/>
            </w:pPr>
            <w:r>
              <w:rPr>
                <w:szCs w:val="22"/>
              </w:rPr>
              <w:t xml:space="preserve">ORIGINAL: </w:t>
            </w:r>
            <w:r w:rsidR="00C9161D" w:rsidRPr="00C9161D">
              <w:rPr>
                <w:szCs w:val="22"/>
              </w:rPr>
              <w:t>ENGLISH</w:t>
            </w:r>
          </w:p>
        </w:tc>
      </w:tr>
    </w:tbl>
    <w:p w14:paraId="1BF4A9A2" w14:textId="51CFE6F1" w:rsidR="003B7BB2" w:rsidRPr="00910961" w:rsidRDefault="003B7BB2" w:rsidP="00BF048B">
      <w:pPr>
        <w:pStyle w:val="Cornernotation"/>
        <w:kinsoku w:val="0"/>
        <w:overflowPunct w:val="0"/>
        <w:autoSpaceDE w:val="0"/>
        <w:autoSpaceDN w:val="0"/>
        <w:spacing w:before="60"/>
        <w:ind w:left="230" w:right="4234" w:hanging="230"/>
        <w:rPr>
          <w:snapToGrid w:val="0"/>
          <w:kern w:val="22"/>
        </w:rPr>
      </w:pPr>
      <w:r w:rsidRPr="00910961">
        <w:rPr>
          <w:snapToGrid w:val="0"/>
          <w:kern w:val="22"/>
        </w:rPr>
        <w:t xml:space="preserve">CONFERENCE OF THE PARTIES TO THE CONVENTION ON BIOLOGICAL DIVERSITY </w:t>
      </w:r>
      <w:r w:rsidR="005E0ED3">
        <w:rPr>
          <w:snapToGrid w:val="0"/>
          <w:kern w:val="22"/>
        </w:rPr>
        <w:t>SERVING AS THE MEETING OF THE PARTIES TO THE CARTAGENA PROTOCOL ON BIOSAFETY</w:t>
      </w:r>
    </w:p>
    <w:p w14:paraId="141C6194" w14:textId="15DB9022" w:rsidR="003B7BB2" w:rsidRPr="00910961" w:rsidRDefault="00201591" w:rsidP="003B7BB2">
      <w:pPr>
        <w:pStyle w:val="Cornernotation"/>
        <w:kinsoku w:val="0"/>
        <w:overflowPunct w:val="0"/>
        <w:autoSpaceDE w:val="0"/>
        <w:autoSpaceDN w:val="0"/>
        <w:ind w:left="0" w:right="4512" w:firstLine="0"/>
        <w:rPr>
          <w:snapToGrid w:val="0"/>
          <w:kern w:val="22"/>
        </w:rPr>
      </w:pPr>
      <w:r>
        <w:rPr>
          <w:snapToGrid w:val="0"/>
          <w:kern w:val="22"/>
        </w:rPr>
        <w:t>Tenth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3B61071E" w:rsidR="00C9161D" w:rsidRPr="00C9161D" w:rsidRDefault="00B26ACD" w:rsidP="00C9161D">
      <w:r>
        <w:rPr>
          <w:snapToGrid w:val="0"/>
          <w:kern w:val="22"/>
          <w:szCs w:val="22"/>
        </w:rPr>
        <w:t>Agenda i</w:t>
      </w:r>
      <w:r w:rsidR="00134846" w:rsidRPr="004B44DE">
        <w:rPr>
          <w:snapToGrid w:val="0"/>
          <w:kern w:val="22"/>
          <w:szCs w:val="22"/>
        </w:rPr>
        <w:t xml:space="preserve">tem </w:t>
      </w:r>
      <w:r w:rsidR="002D7597">
        <w:rPr>
          <w:snapToGrid w:val="0"/>
          <w:kern w:val="22"/>
          <w:szCs w:val="22"/>
        </w:rPr>
        <w:t>17</w:t>
      </w:r>
      <w:r w:rsidR="00134846" w:rsidRPr="004B44DE">
        <w:rPr>
          <w:snapToGrid w:val="0"/>
          <w:kern w:val="22"/>
          <w:szCs w:val="22"/>
        </w:rPr>
        <w:t xml:space="preserve"> </w:t>
      </w:r>
    </w:p>
    <w:p w14:paraId="79F4441A" w14:textId="0768143D" w:rsidR="00532898" w:rsidRPr="00BF048B" w:rsidRDefault="00AA5A24" w:rsidP="00BF048B">
      <w:pPr>
        <w:spacing w:before="240" w:after="240"/>
        <w:ind w:left="-144" w:right="-288"/>
        <w:jc w:val="center"/>
        <w:rPr>
          <w:rFonts w:ascii="Times New Roman Bold" w:hAnsi="Times New Roman Bold"/>
          <w:b/>
          <w:caps/>
        </w:rPr>
      </w:pPr>
      <w:r w:rsidRPr="00BF048B">
        <w:rPr>
          <w:rFonts w:ascii="Times New Roman Bold" w:hAnsi="Times New Roman Bold"/>
          <w:b/>
          <w:caps/>
        </w:rPr>
        <w:t>Decision adopted by the Parties to the Cartagena Protocol on Biosafety</w:t>
      </w:r>
    </w:p>
    <w:p w14:paraId="57F6B7A1" w14:textId="1EE5B474" w:rsidR="00C9161D" w:rsidRDefault="00704582" w:rsidP="00BF048B">
      <w:pPr>
        <w:keepNext/>
        <w:spacing w:before="120" w:after="240"/>
        <w:jc w:val="center"/>
        <w:outlineLvl w:val="1"/>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01042" w:rsidRPr="00F01042">
            <w:rPr>
              <w:b/>
            </w:rPr>
            <w:t>CP-10/</w:t>
          </w:r>
          <w:r w:rsidR="00F01042">
            <w:rPr>
              <w:b/>
            </w:rPr>
            <w:t>1</w:t>
          </w:r>
          <w:r w:rsidR="00F01042" w:rsidRPr="00F01042">
            <w:rPr>
              <w:b/>
            </w:rPr>
            <w:t>3.</w:t>
          </w:r>
          <w:r w:rsidR="00F01042" w:rsidRPr="00F01042">
            <w:rPr>
              <w:b/>
            </w:rPr>
            <w:tab/>
            <w:t>Nagoya – Kuala Lumpur Supplementary Protocol on Liability and Redress</w:t>
          </w:r>
        </w:sdtContent>
      </w:sdt>
      <w:r w:rsidR="00105372" w:rsidRPr="00105372">
        <w:rPr>
          <w:b/>
          <w:caps/>
        </w:rPr>
        <w:t xml:space="preserve"> </w:t>
      </w:r>
    </w:p>
    <w:p w14:paraId="03FDA4AC" w14:textId="77777777" w:rsidR="002D7597" w:rsidRDefault="002D7597" w:rsidP="00BF048B">
      <w:pPr>
        <w:pStyle w:val="HEADING"/>
        <w:shd w:val="clear" w:color="auto" w:fill="FFFFFF" w:themeFill="background1"/>
        <w:spacing w:before="120"/>
        <w:ind w:firstLine="720"/>
        <w:jc w:val="both"/>
        <w:rPr>
          <w:b w:val="0"/>
          <w:bCs w:val="0"/>
          <w:i/>
          <w:caps w:val="0"/>
        </w:rPr>
      </w:pPr>
      <w:r w:rsidRPr="002A6AE2">
        <w:rPr>
          <w:b w:val="0"/>
          <w:bCs w:val="0"/>
          <w:i/>
          <w:caps w:val="0"/>
        </w:rPr>
        <w:t>The Conference of the Parties serving as the meeting of the Parties to the Cartagena Protocol on Biosafety and further serving as the meeting of the Parties to the Nagoya – Kuala Lumpur Supplementary Protocol on Liability and Redress</w:t>
      </w:r>
      <w:r>
        <w:rPr>
          <w:b w:val="0"/>
          <w:bCs w:val="0"/>
          <w:i/>
          <w:caps w:val="0"/>
        </w:rPr>
        <w:t>,</w:t>
      </w:r>
      <w:r w:rsidRPr="002A6AE2">
        <w:rPr>
          <w:rStyle w:val="FootnoteReference"/>
          <w:b w:val="0"/>
          <w:bCs w:val="0"/>
          <w:caps w:val="0"/>
          <w:kern w:val="22"/>
          <w:sz w:val="20"/>
          <w:szCs w:val="20"/>
        </w:rPr>
        <w:footnoteReference w:id="2"/>
      </w:r>
    </w:p>
    <w:p w14:paraId="34A317B4" w14:textId="77777777" w:rsidR="002D7597" w:rsidRDefault="002D7597" w:rsidP="00BF048B">
      <w:pPr>
        <w:pStyle w:val="HEADING"/>
        <w:shd w:val="clear" w:color="auto" w:fill="FFFFFF" w:themeFill="background1"/>
        <w:spacing w:before="120"/>
        <w:ind w:firstLine="720"/>
        <w:jc w:val="both"/>
        <w:rPr>
          <w:b w:val="0"/>
          <w:bCs w:val="0"/>
          <w:iCs/>
          <w:caps w:val="0"/>
        </w:rPr>
      </w:pPr>
      <w:r>
        <w:rPr>
          <w:b w:val="0"/>
          <w:bCs w:val="0"/>
          <w:i/>
          <w:caps w:val="0"/>
        </w:rPr>
        <w:t xml:space="preserve">Recalling </w:t>
      </w:r>
      <w:r>
        <w:rPr>
          <w:b w:val="0"/>
          <w:bCs w:val="0"/>
          <w:iCs/>
          <w:caps w:val="0"/>
        </w:rPr>
        <w:t xml:space="preserve">decision CP-9/15, </w:t>
      </w:r>
    </w:p>
    <w:p w14:paraId="6FD11739" w14:textId="77777777" w:rsidR="002D7597" w:rsidRPr="00E01720" w:rsidRDefault="002D7597" w:rsidP="00BF048B">
      <w:pPr>
        <w:pStyle w:val="HEADING"/>
        <w:shd w:val="clear" w:color="auto" w:fill="FFFFFF" w:themeFill="background1"/>
        <w:spacing w:before="120"/>
        <w:ind w:firstLine="720"/>
        <w:jc w:val="both"/>
        <w:rPr>
          <w:b w:val="0"/>
          <w:bCs w:val="0"/>
          <w:iCs/>
          <w:caps w:val="0"/>
        </w:rPr>
      </w:pPr>
      <w:r>
        <w:rPr>
          <w:b w:val="0"/>
          <w:bCs w:val="0"/>
          <w:i/>
          <w:caps w:val="0"/>
        </w:rPr>
        <w:t xml:space="preserve">Noting </w:t>
      </w:r>
      <w:r>
        <w:rPr>
          <w:b w:val="0"/>
          <w:bCs w:val="0"/>
          <w:iCs/>
          <w:caps w:val="0"/>
        </w:rPr>
        <w:t xml:space="preserve">the information provided by Parties in their fourth national reports relating to the </w:t>
      </w:r>
      <w:bookmarkStart w:id="0" w:name="_Hlk121335950"/>
      <w:r>
        <w:rPr>
          <w:b w:val="0"/>
          <w:bCs w:val="0"/>
          <w:iCs/>
          <w:caps w:val="0"/>
        </w:rPr>
        <w:t>Nagoya –Kuala Lumpur Supplementary Protocol on Liability and Redress</w:t>
      </w:r>
      <w:bookmarkEnd w:id="0"/>
      <w:r>
        <w:rPr>
          <w:b w:val="0"/>
          <w:bCs w:val="0"/>
          <w:iCs/>
          <w:caps w:val="0"/>
        </w:rPr>
        <w:t xml:space="preserve">, </w:t>
      </w:r>
    </w:p>
    <w:p w14:paraId="4374E6CF" w14:textId="77777777" w:rsidR="002D7597" w:rsidRDefault="002D7597" w:rsidP="002D7597">
      <w:pPr>
        <w:pStyle w:val="HEADING"/>
        <w:keepNext w:val="0"/>
        <w:shd w:val="clear" w:color="auto" w:fill="FFFFFF" w:themeFill="background1"/>
        <w:spacing w:before="120"/>
        <w:ind w:firstLine="720"/>
        <w:jc w:val="both"/>
        <w:rPr>
          <w:b w:val="0"/>
          <w:bCs w:val="0"/>
          <w:caps w:val="0"/>
        </w:rPr>
      </w:pPr>
      <w:r>
        <w:rPr>
          <w:b w:val="0"/>
          <w:bCs w:val="0"/>
          <w:kern w:val="22"/>
          <w:szCs w:val="22"/>
        </w:rPr>
        <w:t>1</w:t>
      </w:r>
      <w:r w:rsidRPr="002A6AE2">
        <w:rPr>
          <w:b w:val="0"/>
          <w:bCs w:val="0"/>
          <w:kern w:val="22"/>
          <w:szCs w:val="22"/>
        </w:rPr>
        <w:t>.</w:t>
      </w:r>
      <w:r w:rsidRPr="002A6AE2">
        <w:rPr>
          <w:b w:val="0"/>
          <w:bCs w:val="0"/>
          <w:kern w:val="22"/>
          <w:szCs w:val="22"/>
        </w:rPr>
        <w:tab/>
      </w:r>
      <w:r w:rsidRPr="002A6AE2">
        <w:rPr>
          <w:b w:val="0"/>
          <w:bCs w:val="0"/>
          <w:i/>
          <w:caps w:val="0"/>
        </w:rPr>
        <w:t xml:space="preserve">Welcomes </w:t>
      </w:r>
      <w:r w:rsidRPr="002A6AE2">
        <w:rPr>
          <w:b w:val="0"/>
          <w:bCs w:val="0"/>
          <w:iCs/>
          <w:caps w:val="0"/>
        </w:rPr>
        <w:t>the additional</w:t>
      </w:r>
      <w:r w:rsidRPr="002A6AE2">
        <w:rPr>
          <w:b w:val="0"/>
          <w:bCs w:val="0"/>
          <w:i/>
          <w:caps w:val="0"/>
        </w:rPr>
        <w:t xml:space="preserve"> </w:t>
      </w:r>
      <w:r w:rsidRPr="002A6AE2">
        <w:rPr>
          <w:b w:val="0"/>
          <w:bCs w:val="0"/>
          <w:caps w:val="0"/>
        </w:rPr>
        <w:t xml:space="preserve">instruments of ratification, acceptance, approval or accession to the Nagoya – Kuala Lumpur Supplementary Protocol on Liability and Redress to the Cartagena Protocol on Biosafety that have been </w:t>
      </w:r>
      <w:proofErr w:type="gramStart"/>
      <w:r w:rsidRPr="002A6AE2">
        <w:rPr>
          <w:b w:val="0"/>
          <w:bCs w:val="0"/>
          <w:caps w:val="0"/>
        </w:rPr>
        <w:t>deposited</w:t>
      </w:r>
      <w:r>
        <w:rPr>
          <w:b w:val="0"/>
          <w:bCs w:val="0"/>
          <w:caps w:val="0"/>
        </w:rPr>
        <w:t>;</w:t>
      </w:r>
      <w:proofErr w:type="gramEnd"/>
    </w:p>
    <w:p w14:paraId="76C76BD6" w14:textId="77777777" w:rsidR="002D7597" w:rsidRPr="002A6AE2" w:rsidRDefault="002D7597" w:rsidP="002D7597">
      <w:pPr>
        <w:pStyle w:val="HEADING"/>
        <w:keepNext w:val="0"/>
        <w:shd w:val="clear" w:color="auto" w:fill="FFFFFF" w:themeFill="background1"/>
        <w:spacing w:before="120"/>
        <w:ind w:firstLine="720"/>
        <w:jc w:val="both"/>
        <w:rPr>
          <w:b w:val="0"/>
          <w:bCs w:val="0"/>
          <w:caps w:val="0"/>
        </w:rPr>
      </w:pPr>
      <w:r>
        <w:rPr>
          <w:b w:val="0"/>
          <w:bCs w:val="0"/>
          <w:caps w:val="0"/>
        </w:rPr>
        <w:t>2.</w:t>
      </w:r>
      <w:r>
        <w:rPr>
          <w:b w:val="0"/>
          <w:bCs w:val="0"/>
          <w:caps w:val="0"/>
        </w:rPr>
        <w:tab/>
      </w:r>
      <w:r>
        <w:rPr>
          <w:b w:val="0"/>
          <w:bCs w:val="0"/>
          <w:i/>
          <w:caps w:val="0"/>
        </w:rPr>
        <w:t xml:space="preserve">Notes with regret </w:t>
      </w:r>
      <w:r>
        <w:rPr>
          <w:b w:val="0"/>
          <w:bCs w:val="0"/>
          <w:iCs/>
          <w:caps w:val="0"/>
        </w:rPr>
        <w:t>the limited number of Parties to the Cartagena Protocol on Biosafety that have ratified the Nagoya – Kuala Lumpur Supplementary Protocol on Liability and Redress</w:t>
      </w:r>
      <w:r w:rsidRPr="00E01720">
        <w:rPr>
          <w:b w:val="0"/>
          <w:bCs w:val="0"/>
          <w:i/>
          <w:iCs/>
          <w:caps w:val="0"/>
        </w:rPr>
        <w:t xml:space="preserve"> </w:t>
      </w:r>
      <w:r w:rsidRPr="00B34E14">
        <w:rPr>
          <w:b w:val="0"/>
          <w:bCs w:val="0"/>
          <w:caps w:val="0"/>
        </w:rPr>
        <w:t>and</w:t>
      </w:r>
      <w:r w:rsidRPr="00BF048B">
        <w:rPr>
          <w:b w:val="0"/>
          <w:bCs w:val="0"/>
          <w:caps w:val="0"/>
        </w:rPr>
        <w:t xml:space="preserve"> invites</w:t>
      </w:r>
      <w:r w:rsidRPr="002A6AE2">
        <w:rPr>
          <w:b w:val="0"/>
          <w:bCs w:val="0"/>
          <w:i/>
          <w:caps w:val="0"/>
        </w:rPr>
        <w:t xml:space="preserve"> </w:t>
      </w:r>
      <w:r w:rsidRPr="002A6AE2">
        <w:rPr>
          <w:b w:val="0"/>
          <w:bCs w:val="0"/>
          <w:caps w:val="0"/>
        </w:rPr>
        <w:t xml:space="preserve">all Parties to the Cartagena Protocol on Biosafety that have not yet done so to deposit their instrument of ratification, acceptance, approval or accession to the Nagoya – Kuala Lumpur Supplementary Protocol on Liability and Redress </w:t>
      </w:r>
      <w:proofErr w:type="gramStart"/>
      <w:r w:rsidRPr="002A6AE2">
        <w:rPr>
          <w:b w:val="0"/>
          <w:bCs w:val="0"/>
          <w:caps w:val="0"/>
        </w:rPr>
        <w:t>as soon as possible;</w:t>
      </w:r>
      <w:proofErr w:type="gramEnd"/>
    </w:p>
    <w:p w14:paraId="5B80EC5F" w14:textId="77777777" w:rsidR="002D7597" w:rsidRPr="002A6AE2" w:rsidRDefault="002D7597" w:rsidP="002D7597">
      <w:pPr>
        <w:pStyle w:val="HEADING"/>
        <w:keepNext w:val="0"/>
        <w:shd w:val="clear" w:color="auto" w:fill="FFFFFF" w:themeFill="background1"/>
        <w:spacing w:before="120"/>
        <w:ind w:firstLine="720"/>
        <w:jc w:val="both"/>
        <w:rPr>
          <w:b w:val="0"/>
          <w:bCs w:val="0"/>
          <w:caps w:val="0"/>
        </w:rPr>
      </w:pPr>
      <w:r>
        <w:rPr>
          <w:b w:val="0"/>
          <w:bCs w:val="0"/>
          <w:kern w:val="22"/>
          <w:szCs w:val="22"/>
        </w:rPr>
        <w:t>3</w:t>
      </w:r>
      <w:r w:rsidRPr="002A6AE2">
        <w:rPr>
          <w:b w:val="0"/>
          <w:bCs w:val="0"/>
          <w:kern w:val="22"/>
          <w:szCs w:val="22"/>
        </w:rPr>
        <w:t>.</w:t>
      </w:r>
      <w:r w:rsidRPr="002A6AE2">
        <w:rPr>
          <w:b w:val="0"/>
          <w:bCs w:val="0"/>
          <w:kern w:val="22"/>
          <w:szCs w:val="22"/>
        </w:rPr>
        <w:tab/>
      </w:r>
      <w:r>
        <w:rPr>
          <w:b w:val="0"/>
          <w:bCs w:val="0"/>
          <w:i/>
          <w:caps w:val="0"/>
        </w:rPr>
        <w:t>W</w:t>
      </w:r>
      <w:r w:rsidRPr="002A6AE2">
        <w:rPr>
          <w:b w:val="0"/>
          <w:bCs w:val="0"/>
          <w:i/>
          <w:caps w:val="0"/>
        </w:rPr>
        <w:t xml:space="preserve">elcomes </w:t>
      </w:r>
      <w:r w:rsidRPr="002A6AE2">
        <w:rPr>
          <w:b w:val="0"/>
          <w:bCs w:val="0"/>
          <w:iCs/>
          <w:caps w:val="0"/>
        </w:rPr>
        <w:t xml:space="preserve">the progress made by many Parties </w:t>
      </w:r>
      <w:r w:rsidRPr="002A6AE2">
        <w:rPr>
          <w:b w:val="0"/>
          <w:bCs w:val="0"/>
          <w:caps w:val="0"/>
        </w:rPr>
        <w:t>in the implementation of the Nagoya</w:t>
      </w:r>
      <w:r>
        <w:rPr>
          <w:b w:val="0"/>
          <w:bCs w:val="0"/>
          <w:caps w:val="0"/>
        </w:rPr>
        <w:t xml:space="preserve"> </w:t>
      </w:r>
      <w:r w:rsidRPr="002A6AE2">
        <w:rPr>
          <w:b w:val="0"/>
          <w:bCs w:val="0"/>
          <w:caps w:val="0"/>
        </w:rPr>
        <w:t>–</w:t>
      </w:r>
      <w:r>
        <w:rPr>
          <w:b w:val="0"/>
          <w:bCs w:val="0"/>
          <w:caps w:val="0"/>
        </w:rPr>
        <w:t xml:space="preserve"> </w:t>
      </w:r>
      <w:r w:rsidRPr="002A6AE2">
        <w:rPr>
          <w:b w:val="0"/>
          <w:bCs w:val="0"/>
          <w:caps w:val="0"/>
        </w:rPr>
        <w:t>Kuala Lumpur Supplementary Protocol on Liability and Redress and</w:t>
      </w:r>
      <w:r w:rsidRPr="009F1839">
        <w:rPr>
          <w:b w:val="0"/>
          <w:bCs w:val="0"/>
          <w:iCs/>
          <w:caps w:val="0"/>
        </w:rPr>
        <w:t xml:space="preserve"> </w:t>
      </w:r>
      <w:r w:rsidRPr="00BF048B">
        <w:rPr>
          <w:b w:val="0"/>
          <w:bCs w:val="0"/>
          <w:iCs/>
          <w:caps w:val="0"/>
        </w:rPr>
        <w:t>urges</w:t>
      </w:r>
      <w:r w:rsidRPr="002A6AE2">
        <w:rPr>
          <w:b w:val="0"/>
          <w:bCs w:val="0"/>
          <w:i/>
          <w:caps w:val="0"/>
        </w:rPr>
        <w:t xml:space="preserve"> </w:t>
      </w:r>
      <w:r w:rsidRPr="002A6AE2">
        <w:rPr>
          <w:b w:val="0"/>
          <w:bCs w:val="0"/>
          <w:caps w:val="0"/>
        </w:rPr>
        <w:t xml:space="preserve">Parties to the Supplementary Protocol to take the further necessary steps for its full and effective </w:t>
      </w:r>
      <w:proofErr w:type="gramStart"/>
      <w:r w:rsidRPr="002A6AE2">
        <w:rPr>
          <w:b w:val="0"/>
          <w:bCs w:val="0"/>
          <w:caps w:val="0"/>
        </w:rPr>
        <w:t>implementation;</w:t>
      </w:r>
      <w:proofErr w:type="gramEnd"/>
      <w:r w:rsidRPr="002A6AE2">
        <w:rPr>
          <w:b w:val="0"/>
          <w:bCs w:val="0"/>
          <w:caps w:val="0"/>
        </w:rPr>
        <w:t xml:space="preserve"> </w:t>
      </w:r>
    </w:p>
    <w:p w14:paraId="7BF8ED9F" w14:textId="31A7EB81" w:rsidR="002D7597" w:rsidRPr="002A6AE2" w:rsidRDefault="002D7597" w:rsidP="002D7597">
      <w:pPr>
        <w:pStyle w:val="HEADING"/>
        <w:keepNext w:val="0"/>
        <w:shd w:val="clear" w:color="auto" w:fill="FFFFFF" w:themeFill="background1"/>
        <w:spacing w:before="120"/>
        <w:ind w:firstLine="720"/>
        <w:jc w:val="both"/>
        <w:rPr>
          <w:b w:val="0"/>
          <w:bCs w:val="0"/>
          <w:caps w:val="0"/>
        </w:rPr>
      </w:pPr>
      <w:r>
        <w:rPr>
          <w:b w:val="0"/>
          <w:bCs w:val="0"/>
          <w:kern w:val="22"/>
          <w:szCs w:val="22"/>
        </w:rPr>
        <w:t>4</w:t>
      </w:r>
      <w:r w:rsidRPr="002A6AE2">
        <w:rPr>
          <w:b w:val="0"/>
          <w:bCs w:val="0"/>
          <w:kern w:val="22"/>
          <w:szCs w:val="22"/>
        </w:rPr>
        <w:t>.</w:t>
      </w:r>
      <w:r w:rsidRPr="002A6AE2">
        <w:rPr>
          <w:b w:val="0"/>
          <w:bCs w:val="0"/>
          <w:kern w:val="22"/>
          <w:szCs w:val="22"/>
        </w:rPr>
        <w:tab/>
      </w:r>
      <w:r w:rsidRPr="002A6AE2">
        <w:rPr>
          <w:b w:val="0"/>
          <w:bCs w:val="0"/>
          <w:i/>
          <w:iCs/>
          <w:caps w:val="0"/>
        </w:rPr>
        <w:t>Underlines</w:t>
      </w:r>
      <w:r w:rsidRPr="002A6AE2">
        <w:rPr>
          <w:b w:val="0"/>
          <w:bCs w:val="0"/>
          <w:caps w:val="0"/>
        </w:rPr>
        <w:t xml:space="preserve"> the importance of awareness-raising and capacity-building activities to support further ratifications and implementation of the </w:t>
      </w:r>
      <w:r w:rsidRPr="00480AB0">
        <w:rPr>
          <w:b w:val="0"/>
          <w:bCs w:val="0"/>
          <w:caps w:val="0"/>
        </w:rPr>
        <w:t>Supplementary Protocol as recognized in decision CP-10/</w:t>
      </w:r>
      <w:r w:rsidR="00E2455A">
        <w:rPr>
          <w:b w:val="0"/>
          <w:bCs w:val="0"/>
          <w:caps w:val="0"/>
        </w:rPr>
        <w:t>7</w:t>
      </w:r>
      <w:r w:rsidRPr="00480AB0">
        <w:rPr>
          <w:b w:val="0"/>
          <w:bCs w:val="0"/>
          <w:caps w:val="0"/>
        </w:rPr>
        <w:t xml:space="preserve"> on the fourth assessment and review of the </w:t>
      </w:r>
      <w:r w:rsidR="00376B79" w:rsidRPr="00480AB0">
        <w:rPr>
          <w:b w:val="0"/>
          <w:bCs w:val="0"/>
          <w:caps w:val="0"/>
        </w:rPr>
        <w:t>effectiveness of</w:t>
      </w:r>
      <w:r w:rsidR="00480AB0" w:rsidRPr="00480AB0">
        <w:rPr>
          <w:b w:val="0"/>
          <w:bCs w:val="0"/>
          <w:caps w:val="0"/>
        </w:rPr>
        <w:t xml:space="preserve"> the</w:t>
      </w:r>
      <w:r w:rsidR="00376B79" w:rsidRPr="00480AB0">
        <w:rPr>
          <w:b w:val="0"/>
          <w:bCs w:val="0"/>
          <w:caps w:val="0"/>
        </w:rPr>
        <w:t xml:space="preserve"> </w:t>
      </w:r>
      <w:r w:rsidRPr="00480AB0">
        <w:rPr>
          <w:b w:val="0"/>
          <w:bCs w:val="0"/>
          <w:caps w:val="0"/>
        </w:rPr>
        <w:t>Cartagena Protocol</w:t>
      </w:r>
      <w:r w:rsidR="00D505EC" w:rsidRPr="00D505EC">
        <w:rPr>
          <w:b w:val="0"/>
          <w:bCs w:val="0"/>
          <w:caps w:val="0"/>
        </w:rPr>
        <w:t xml:space="preserve"> </w:t>
      </w:r>
      <w:r w:rsidR="00D505EC">
        <w:rPr>
          <w:b w:val="0"/>
          <w:bCs w:val="0"/>
          <w:caps w:val="0"/>
        </w:rPr>
        <w:t>and final evaluation of the Strategic Plan for the Cartagena Protocol on Biosafety for the period 2011</w:t>
      </w:r>
      <w:r w:rsidR="002134F8">
        <w:rPr>
          <w:b w:val="0"/>
          <w:bCs w:val="0"/>
          <w:caps w:val="0"/>
        </w:rPr>
        <w:t>–</w:t>
      </w:r>
      <w:proofErr w:type="gramStart"/>
      <w:r w:rsidR="00D505EC">
        <w:rPr>
          <w:b w:val="0"/>
          <w:bCs w:val="0"/>
          <w:caps w:val="0"/>
        </w:rPr>
        <w:t>2020</w:t>
      </w:r>
      <w:r w:rsidRPr="00480AB0">
        <w:rPr>
          <w:b w:val="0"/>
          <w:bCs w:val="0"/>
          <w:caps w:val="0"/>
        </w:rPr>
        <w:t>;</w:t>
      </w:r>
      <w:proofErr w:type="gramEnd"/>
    </w:p>
    <w:p w14:paraId="17C0E94C" w14:textId="04962661" w:rsidR="002D7597" w:rsidRPr="002A6AE2" w:rsidRDefault="002D7597" w:rsidP="002D7597">
      <w:pPr>
        <w:pStyle w:val="HEADING"/>
        <w:keepNext w:val="0"/>
        <w:shd w:val="clear" w:color="auto" w:fill="FFFFFF" w:themeFill="background1"/>
        <w:spacing w:before="120"/>
        <w:ind w:firstLine="720"/>
        <w:jc w:val="both"/>
        <w:rPr>
          <w:b w:val="0"/>
          <w:bCs w:val="0"/>
          <w:caps w:val="0"/>
        </w:rPr>
      </w:pPr>
      <w:r>
        <w:rPr>
          <w:b w:val="0"/>
          <w:bCs w:val="0"/>
          <w:kern w:val="22"/>
          <w:szCs w:val="22"/>
        </w:rPr>
        <w:t>5</w:t>
      </w:r>
      <w:r w:rsidRPr="002A6AE2">
        <w:rPr>
          <w:b w:val="0"/>
          <w:bCs w:val="0"/>
          <w:kern w:val="22"/>
          <w:szCs w:val="22"/>
        </w:rPr>
        <w:t>.</w:t>
      </w:r>
      <w:r w:rsidRPr="002A6AE2">
        <w:rPr>
          <w:b w:val="0"/>
          <w:bCs w:val="0"/>
          <w:kern w:val="22"/>
          <w:szCs w:val="22"/>
        </w:rPr>
        <w:tab/>
      </w:r>
      <w:r w:rsidRPr="002A6AE2">
        <w:rPr>
          <w:b w:val="0"/>
          <w:bCs w:val="0"/>
          <w:i/>
          <w:iCs/>
          <w:caps w:val="0"/>
        </w:rPr>
        <w:t xml:space="preserve">Welcomes </w:t>
      </w:r>
      <w:r w:rsidRPr="002A6AE2">
        <w:rPr>
          <w:b w:val="0"/>
          <w:bCs w:val="0"/>
          <w:caps w:val="0"/>
        </w:rPr>
        <w:t>the goal on the Nagoya</w:t>
      </w:r>
      <w:r>
        <w:rPr>
          <w:b w:val="0"/>
          <w:bCs w:val="0"/>
          <w:caps w:val="0"/>
        </w:rPr>
        <w:t xml:space="preserve"> </w:t>
      </w:r>
      <w:r w:rsidRPr="002A6AE2">
        <w:rPr>
          <w:b w:val="0"/>
          <w:bCs w:val="0"/>
          <w:caps w:val="0"/>
        </w:rPr>
        <w:t>–</w:t>
      </w:r>
      <w:r>
        <w:rPr>
          <w:b w:val="0"/>
          <w:bCs w:val="0"/>
          <w:caps w:val="0"/>
        </w:rPr>
        <w:t xml:space="preserve"> </w:t>
      </w:r>
      <w:r w:rsidRPr="002A6AE2">
        <w:rPr>
          <w:b w:val="0"/>
          <w:bCs w:val="0"/>
          <w:caps w:val="0"/>
        </w:rPr>
        <w:t xml:space="preserve">Kuala Lumpur Supplementary Protocol on Liability and Redress in </w:t>
      </w:r>
      <w:r w:rsidRPr="00645957">
        <w:rPr>
          <w:b w:val="0"/>
          <w:bCs w:val="0"/>
          <w:caps w:val="0"/>
        </w:rPr>
        <w:t xml:space="preserve">the </w:t>
      </w:r>
      <w:r w:rsidR="00990EF2" w:rsidRPr="00645957">
        <w:rPr>
          <w:b w:val="0"/>
          <w:bCs w:val="0"/>
          <w:caps w:val="0"/>
        </w:rPr>
        <w:t>I</w:t>
      </w:r>
      <w:r w:rsidRPr="00645957">
        <w:rPr>
          <w:b w:val="0"/>
          <w:bCs w:val="0"/>
          <w:caps w:val="0"/>
        </w:rPr>
        <w:t xml:space="preserve">mplementation </w:t>
      </w:r>
      <w:r w:rsidR="00990EF2" w:rsidRPr="00645957">
        <w:rPr>
          <w:b w:val="0"/>
          <w:bCs w:val="0"/>
          <w:caps w:val="0"/>
        </w:rPr>
        <w:t>P</w:t>
      </w:r>
      <w:r w:rsidRPr="00645957">
        <w:rPr>
          <w:b w:val="0"/>
          <w:bCs w:val="0"/>
          <w:caps w:val="0"/>
        </w:rPr>
        <w:t xml:space="preserve">lan for the </w:t>
      </w:r>
      <w:r w:rsidRPr="007604B4">
        <w:rPr>
          <w:b w:val="0"/>
          <w:bCs w:val="0"/>
          <w:caps w:val="0"/>
        </w:rPr>
        <w:t>Cartagena Protocol</w:t>
      </w:r>
      <w:r w:rsidR="005C724A">
        <w:rPr>
          <w:b w:val="0"/>
          <w:bCs w:val="0"/>
          <w:caps w:val="0"/>
        </w:rPr>
        <w:t xml:space="preserve"> on Biosafety</w:t>
      </w:r>
      <w:r w:rsidR="00990EF2" w:rsidRPr="00BF048B">
        <w:rPr>
          <w:rStyle w:val="FootnoteReference"/>
          <w:b w:val="0"/>
          <w:bCs w:val="0"/>
          <w:caps w:val="0"/>
        </w:rPr>
        <w:footnoteReference w:id="3"/>
      </w:r>
      <w:r w:rsidRPr="007604B4">
        <w:rPr>
          <w:b w:val="0"/>
          <w:bCs w:val="0"/>
          <w:caps w:val="0"/>
        </w:rPr>
        <w:t xml:space="preserve"> and in the </w:t>
      </w:r>
      <w:r w:rsidR="00990EF2" w:rsidRPr="007604B4">
        <w:rPr>
          <w:b w:val="0"/>
          <w:bCs w:val="0"/>
          <w:caps w:val="0"/>
        </w:rPr>
        <w:t>C</w:t>
      </w:r>
      <w:r w:rsidRPr="007604B4">
        <w:rPr>
          <w:b w:val="0"/>
          <w:bCs w:val="0"/>
          <w:caps w:val="0"/>
        </w:rPr>
        <w:t>apacity</w:t>
      </w:r>
      <w:r w:rsidRPr="007604B4">
        <w:rPr>
          <w:b w:val="0"/>
          <w:bCs w:val="0"/>
          <w:caps w:val="0"/>
        </w:rPr>
        <w:noBreakHyphen/>
        <w:t xml:space="preserve">building </w:t>
      </w:r>
      <w:r w:rsidR="00990EF2" w:rsidRPr="007604B4">
        <w:rPr>
          <w:b w:val="0"/>
          <w:bCs w:val="0"/>
          <w:caps w:val="0"/>
        </w:rPr>
        <w:t>A</w:t>
      </w:r>
      <w:r w:rsidRPr="007604B4">
        <w:rPr>
          <w:b w:val="0"/>
          <w:bCs w:val="0"/>
          <w:caps w:val="0"/>
        </w:rPr>
        <w:t xml:space="preserve">ction </w:t>
      </w:r>
      <w:r w:rsidR="00990EF2" w:rsidRPr="007604B4">
        <w:rPr>
          <w:b w:val="0"/>
          <w:bCs w:val="0"/>
          <w:caps w:val="0"/>
        </w:rPr>
        <w:t>P</w:t>
      </w:r>
      <w:r w:rsidRPr="007604B4">
        <w:rPr>
          <w:b w:val="0"/>
          <w:bCs w:val="0"/>
          <w:caps w:val="0"/>
        </w:rPr>
        <w:t>lan for the Cartagena Protocol</w:t>
      </w:r>
      <w:r w:rsidR="00B56346">
        <w:rPr>
          <w:b w:val="0"/>
          <w:bCs w:val="0"/>
          <w:caps w:val="0"/>
        </w:rPr>
        <w:t xml:space="preserve"> on Biosafety</w:t>
      </w:r>
      <w:r w:rsidRPr="007604B4">
        <w:rPr>
          <w:b w:val="0"/>
          <w:bCs w:val="0"/>
          <w:caps w:val="0"/>
        </w:rPr>
        <w:t>,</w:t>
      </w:r>
      <w:r w:rsidR="00990EF2" w:rsidRPr="007604B4">
        <w:rPr>
          <w:rStyle w:val="FootnoteReference"/>
          <w:b w:val="0"/>
          <w:bCs w:val="0"/>
          <w:caps w:val="0"/>
        </w:rPr>
        <w:footnoteReference w:id="4"/>
      </w:r>
      <w:r w:rsidRPr="007604B4">
        <w:rPr>
          <w:b w:val="0"/>
          <w:bCs w:val="0"/>
          <w:caps w:val="0"/>
        </w:rPr>
        <w:t xml:space="preserve"> as well as the related capacity</w:t>
      </w:r>
      <w:r w:rsidR="00607A27">
        <w:rPr>
          <w:b w:val="0"/>
          <w:bCs w:val="0"/>
          <w:caps w:val="0"/>
        </w:rPr>
        <w:noBreakHyphen/>
      </w:r>
      <w:r w:rsidRPr="007604B4">
        <w:rPr>
          <w:b w:val="0"/>
          <w:bCs w:val="0"/>
          <w:caps w:val="0"/>
        </w:rPr>
        <w:t xml:space="preserve">building activities, and </w:t>
      </w:r>
      <w:r w:rsidRPr="00BF048B">
        <w:rPr>
          <w:b w:val="0"/>
          <w:bCs w:val="0"/>
          <w:caps w:val="0"/>
        </w:rPr>
        <w:t xml:space="preserve">recognizes </w:t>
      </w:r>
      <w:r w:rsidRPr="007604B4">
        <w:rPr>
          <w:b w:val="0"/>
          <w:bCs w:val="0"/>
          <w:caps w:val="0"/>
        </w:rPr>
        <w:t>that some of these activities are directed primarily at Partie</w:t>
      </w:r>
      <w:r>
        <w:rPr>
          <w:b w:val="0"/>
          <w:bCs w:val="0"/>
          <w:caps w:val="0"/>
        </w:rPr>
        <w:t xml:space="preserve">s to the Nagoya </w:t>
      </w:r>
      <w:r>
        <w:rPr>
          <w:b w:val="0"/>
          <w:bCs w:val="0"/>
          <w:iCs/>
          <w:caps w:val="0"/>
        </w:rPr>
        <w:t xml:space="preserve">– </w:t>
      </w:r>
      <w:r>
        <w:rPr>
          <w:b w:val="0"/>
          <w:bCs w:val="0"/>
          <w:caps w:val="0"/>
        </w:rPr>
        <w:t xml:space="preserve">Kuala Lumpur Supplementary Protocol on Liability and </w:t>
      </w:r>
      <w:proofErr w:type="gramStart"/>
      <w:r>
        <w:rPr>
          <w:b w:val="0"/>
          <w:bCs w:val="0"/>
          <w:caps w:val="0"/>
        </w:rPr>
        <w:t>Redress</w:t>
      </w:r>
      <w:r w:rsidRPr="002A6AE2">
        <w:rPr>
          <w:b w:val="0"/>
          <w:bCs w:val="0"/>
          <w:caps w:val="0"/>
        </w:rPr>
        <w:t>;</w:t>
      </w:r>
      <w:proofErr w:type="gramEnd"/>
    </w:p>
    <w:p w14:paraId="5EC2B7E3" w14:textId="77777777" w:rsidR="002D7597" w:rsidRPr="002A6AE2" w:rsidRDefault="002D7597" w:rsidP="002D7597">
      <w:pPr>
        <w:pStyle w:val="HEADING"/>
        <w:keepNext w:val="0"/>
        <w:shd w:val="clear" w:color="auto" w:fill="FFFFFF" w:themeFill="background1"/>
        <w:spacing w:before="120"/>
        <w:ind w:firstLine="720"/>
        <w:jc w:val="both"/>
        <w:rPr>
          <w:b w:val="0"/>
          <w:bCs w:val="0"/>
          <w:caps w:val="0"/>
        </w:rPr>
      </w:pPr>
      <w:r>
        <w:rPr>
          <w:b w:val="0"/>
          <w:bCs w:val="0"/>
          <w:kern w:val="22"/>
          <w:szCs w:val="22"/>
        </w:rPr>
        <w:t>6</w:t>
      </w:r>
      <w:r w:rsidRPr="002A6AE2">
        <w:rPr>
          <w:b w:val="0"/>
          <w:bCs w:val="0"/>
          <w:kern w:val="22"/>
          <w:szCs w:val="22"/>
        </w:rPr>
        <w:t>.</w:t>
      </w:r>
      <w:r w:rsidRPr="002A6AE2">
        <w:rPr>
          <w:b w:val="0"/>
          <w:bCs w:val="0"/>
          <w:kern w:val="22"/>
          <w:szCs w:val="22"/>
        </w:rPr>
        <w:tab/>
      </w:r>
      <w:r w:rsidRPr="002A6AE2">
        <w:rPr>
          <w:b w:val="0"/>
          <w:bCs w:val="0"/>
          <w:i/>
          <w:caps w:val="0"/>
          <w:lang w:val="en-US"/>
        </w:rPr>
        <w:t xml:space="preserve">Reminds </w:t>
      </w:r>
      <w:r w:rsidRPr="002A6AE2">
        <w:rPr>
          <w:b w:val="0"/>
          <w:bCs w:val="0"/>
          <w:caps w:val="0"/>
          <w:lang w:val="en-US"/>
        </w:rPr>
        <w:t xml:space="preserve">Parties to the </w:t>
      </w:r>
      <w:r w:rsidRPr="00BB4EE9">
        <w:rPr>
          <w:b w:val="0"/>
          <w:bCs w:val="0"/>
          <w:iCs/>
          <w:caps w:val="0"/>
        </w:rPr>
        <w:t>Nagoya</w:t>
      </w:r>
      <w:r>
        <w:rPr>
          <w:b w:val="0"/>
          <w:bCs w:val="0"/>
          <w:iCs/>
          <w:caps w:val="0"/>
        </w:rPr>
        <w:t xml:space="preserve"> – </w:t>
      </w:r>
      <w:r w:rsidRPr="00BB4EE9">
        <w:rPr>
          <w:b w:val="0"/>
          <w:bCs w:val="0"/>
          <w:iCs/>
          <w:caps w:val="0"/>
        </w:rPr>
        <w:t>Kuala Lumpur</w:t>
      </w:r>
      <w:r w:rsidRPr="00BB4EE9">
        <w:rPr>
          <w:caps w:val="0"/>
          <w:lang w:val="en-US"/>
        </w:rPr>
        <w:t xml:space="preserve"> </w:t>
      </w:r>
      <w:r w:rsidRPr="002A6AE2">
        <w:rPr>
          <w:b w:val="0"/>
          <w:bCs w:val="0"/>
          <w:caps w:val="0"/>
          <w:lang w:val="en-US"/>
        </w:rPr>
        <w:t>Supplementary Protocol</w:t>
      </w:r>
      <w:r>
        <w:rPr>
          <w:b w:val="0"/>
          <w:bCs w:val="0"/>
          <w:caps w:val="0"/>
          <w:lang w:val="en-US"/>
        </w:rPr>
        <w:t xml:space="preserve"> on Liability and Redress</w:t>
      </w:r>
      <w:r w:rsidRPr="002A6AE2">
        <w:rPr>
          <w:b w:val="0"/>
          <w:bCs w:val="0"/>
          <w:caps w:val="0"/>
          <w:lang w:val="en-US"/>
        </w:rPr>
        <w:t xml:space="preserve"> </w:t>
      </w:r>
      <w:r w:rsidRPr="002A6AE2">
        <w:rPr>
          <w:b w:val="0"/>
          <w:bCs w:val="0"/>
          <w:caps w:val="0"/>
        </w:rPr>
        <w:t>to designate a competent authority to perform the functions set out in Article 5 of the Supplementary Protocol and to publish information on these competent authorities using the common format available for this purpose in the Biosafety Clearing-House;</w:t>
      </w:r>
    </w:p>
    <w:p w14:paraId="6F1570E7" w14:textId="77777777" w:rsidR="002D7597" w:rsidRPr="004842EF" w:rsidRDefault="002D7597" w:rsidP="002D7597">
      <w:pPr>
        <w:shd w:val="clear" w:color="auto" w:fill="FFFFFF" w:themeFill="background1"/>
        <w:spacing w:before="120"/>
        <w:ind w:firstLine="720"/>
      </w:pPr>
      <w:r>
        <w:rPr>
          <w:kern w:val="22"/>
          <w:szCs w:val="22"/>
        </w:rPr>
        <w:t>7</w:t>
      </w:r>
      <w:r w:rsidRPr="002A6AE2">
        <w:rPr>
          <w:kern w:val="22"/>
          <w:szCs w:val="22"/>
        </w:rPr>
        <w:t>.</w:t>
      </w:r>
      <w:r w:rsidRPr="002A6AE2">
        <w:rPr>
          <w:kern w:val="22"/>
          <w:szCs w:val="22"/>
        </w:rPr>
        <w:tab/>
      </w:r>
      <w:r w:rsidRPr="004842EF">
        <w:rPr>
          <w:i/>
          <w:lang w:val="en-US"/>
        </w:rPr>
        <w:t xml:space="preserve">Welcomes </w:t>
      </w:r>
      <w:r w:rsidRPr="004842EF">
        <w:rPr>
          <w:iCs/>
          <w:lang w:val="en-US"/>
        </w:rPr>
        <w:t>the</w:t>
      </w:r>
      <w:r w:rsidRPr="004842EF">
        <w:rPr>
          <w:iCs/>
        </w:rPr>
        <w:t xml:space="preserve"> </w:t>
      </w:r>
      <w:r w:rsidRPr="004842EF">
        <w:t>study on financial security mechanisms (Article 10 of the Nagoya – Kuala Lumpur Supplementary Protocol);</w:t>
      </w:r>
      <w:r w:rsidRPr="004842EF">
        <w:rPr>
          <w:rStyle w:val="FootnoteReference"/>
          <w:kern w:val="22"/>
          <w:szCs w:val="22"/>
        </w:rPr>
        <w:footnoteReference w:id="5"/>
      </w:r>
    </w:p>
    <w:p w14:paraId="24994E46" w14:textId="77777777" w:rsidR="002D7597" w:rsidRPr="001C1DB2" w:rsidRDefault="002D7597" w:rsidP="002D7597">
      <w:pPr>
        <w:shd w:val="clear" w:color="auto" w:fill="FFFFFF" w:themeFill="background1"/>
        <w:spacing w:before="120"/>
        <w:ind w:firstLine="720"/>
        <w:rPr>
          <w:iCs/>
        </w:rPr>
      </w:pPr>
      <w:r w:rsidRPr="004842EF">
        <w:t>8.</w:t>
      </w:r>
      <w:r w:rsidRPr="004842EF">
        <w:tab/>
      </w:r>
      <w:r w:rsidRPr="004842EF">
        <w:rPr>
          <w:i/>
          <w:iCs/>
        </w:rPr>
        <w:t xml:space="preserve">Reminds </w:t>
      </w:r>
      <w:r w:rsidRPr="004842EF">
        <w:t xml:space="preserve">Parties to the </w:t>
      </w:r>
      <w:r w:rsidRPr="004842EF">
        <w:rPr>
          <w:iCs/>
        </w:rPr>
        <w:t>Nagoya</w:t>
      </w:r>
      <w:r>
        <w:rPr>
          <w:iCs/>
        </w:rPr>
        <w:t xml:space="preserve"> </w:t>
      </w:r>
      <w:r>
        <w:rPr>
          <w:b/>
          <w:bCs/>
          <w:iCs/>
          <w:caps/>
        </w:rPr>
        <w:t>–</w:t>
      </w:r>
      <w:r w:rsidRPr="00BF048B">
        <w:rPr>
          <w:iCs/>
          <w:caps/>
        </w:rPr>
        <w:t xml:space="preserve"> </w:t>
      </w:r>
      <w:r w:rsidRPr="00D72909">
        <w:rPr>
          <w:iCs/>
        </w:rPr>
        <w:t xml:space="preserve">Kuala Lumpur Supplementary Protocol on Liability and </w:t>
      </w:r>
      <w:r w:rsidRPr="001C1DB2">
        <w:rPr>
          <w:iCs/>
        </w:rPr>
        <w:t xml:space="preserve">Redress of the polluter pays principle and </w:t>
      </w:r>
      <w:r w:rsidRPr="00BF048B">
        <w:rPr>
          <w:iCs/>
        </w:rPr>
        <w:t>encourages</w:t>
      </w:r>
      <w:r w:rsidRPr="001C1DB2">
        <w:rPr>
          <w:i/>
        </w:rPr>
        <w:t xml:space="preserve"> </w:t>
      </w:r>
      <w:r w:rsidRPr="001C1DB2">
        <w:rPr>
          <w:iCs/>
        </w:rPr>
        <w:t xml:space="preserve">them to take this principle into account, where applicable, when further developing financial security </w:t>
      </w:r>
      <w:proofErr w:type="gramStart"/>
      <w:r w:rsidRPr="001C1DB2">
        <w:rPr>
          <w:iCs/>
        </w:rPr>
        <w:t>mechanisms;</w:t>
      </w:r>
      <w:proofErr w:type="gramEnd"/>
    </w:p>
    <w:p w14:paraId="285C8CC0" w14:textId="3A1C2AEF" w:rsidR="002D7597" w:rsidRPr="001C1DB2" w:rsidRDefault="002D7597" w:rsidP="002D7597">
      <w:pPr>
        <w:shd w:val="clear" w:color="auto" w:fill="FFFFFF" w:themeFill="background1"/>
        <w:spacing w:before="120" w:after="120"/>
        <w:ind w:firstLine="720"/>
        <w:rPr>
          <w:i/>
        </w:rPr>
      </w:pPr>
      <w:r w:rsidRPr="001C1DB2">
        <w:rPr>
          <w:kern w:val="22"/>
          <w:szCs w:val="22"/>
        </w:rPr>
        <w:t>9.</w:t>
      </w:r>
      <w:r w:rsidRPr="001C1DB2">
        <w:rPr>
          <w:kern w:val="22"/>
          <w:szCs w:val="22"/>
        </w:rPr>
        <w:tab/>
      </w:r>
      <w:r w:rsidRPr="001C1DB2">
        <w:rPr>
          <w:i/>
          <w:iCs/>
        </w:rPr>
        <w:t>Requests</w:t>
      </w:r>
      <w:r w:rsidRPr="001C1DB2">
        <w:t xml:space="preserve"> Parties to the Supplementary Protocol and </w:t>
      </w:r>
      <w:r w:rsidRPr="00BF048B">
        <w:t>invites</w:t>
      </w:r>
      <w:r w:rsidRPr="001C1DB2">
        <w:t xml:space="preserve"> other Governments to submit information to the Executive Secretary on the measures they have in place to provide for financial security for damage from living modified organisms, in particular where they have reported having such measures in place in their fourth national </w:t>
      </w:r>
      <w:proofErr w:type="gramStart"/>
      <w:r w:rsidRPr="001C1DB2">
        <w:t>reports;</w:t>
      </w:r>
      <w:proofErr w:type="gramEnd"/>
      <w:r w:rsidRPr="001C1DB2">
        <w:t xml:space="preserve"> </w:t>
      </w:r>
    </w:p>
    <w:p w14:paraId="019079DF" w14:textId="0F4B0EC3" w:rsidR="002D7597" w:rsidRPr="00007E2D" w:rsidRDefault="002D7597" w:rsidP="002D7597">
      <w:pPr>
        <w:shd w:val="clear" w:color="auto" w:fill="FFFFFF" w:themeFill="background1"/>
        <w:spacing w:before="120" w:after="120"/>
        <w:ind w:firstLine="720"/>
        <w:rPr>
          <w:i/>
        </w:rPr>
      </w:pPr>
      <w:r w:rsidRPr="001C1DB2">
        <w:rPr>
          <w:kern w:val="22"/>
          <w:szCs w:val="22"/>
        </w:rPr>
        <w:t>10.</w:t>
      </w:r>
      <w:r w:rsidRPr="001C1DB2">
        <w:rPr>
          <w:kern w:val="22"/>
          <w:szCs w:val="22"/>
        </w:rPr>
        <w:tab/>
      </w:r>
      <w:r w:rsidRPr="001C1DB2">
        <w:rPr>
          <w:i/>
        </w:rPr>
        <w:t>Req</w:t>
      </w:r>
      <w:r w:rsidRPr="00007E2D">
        <w:rPr>
          <w:i/>
        </w:rPr>
        <w:t xml:space="preserve">uests </w:t>
      </w:r>
      <w:r w:rsidRPr="00007E2D">
        <w:rPr>
          <w:lang w:val="en-US"/>
        </w:rPr>
        <w:t>the Executive Secretary</w:t>
      </w:r>
      <w:r w:rsidRPr="00007E2D">
        <w:rPr>
          <w:iCs/>
        </w:rPr>
        <w:t xml:space="preserve"> to compile the information submitted further to paragraph </w:t>
      </w:r>
      <w:r w:rsidR="001C1DB2" w:rsidRPr="00BF048B">
        <w:rPr>
          <w:iCs/>
        </w:rPr>
        <w:t>9</w:t>
      </w:r>
      <w:r w:rsidRPr="00007E2D">
        <w:rPr>
          <w:iCs/>
        </w:rPr>
        <w:t xml:space="preserve"> and submit it for consideration by the Conference of the Parties serving as the meeting of the Parties to the Protocol at its eleventh </w:t>
      </w:r>
      <w:proofErr w:type="gramStart"/>
      <w:r w:rsidRPr="00007E2D">
        <w:rPr>
          <w:iCs/>
        </w:rPr>
        <w:t>meeting;</w:t>
      </w:r>
      <w:proofErr w:type="gramEnd"/>
    </w:p>
    <w:p w14:paraId="1EA00481" w14:textId="0E351D07" w:rsidR="002D7597" w:rsidRPr="00212041" w:rsidRDefault="002D7597" w:rsidP="002D7597">
      <w:pPr>
        <w:shd w:val="clear" w:color="auto" w:fill="FFFFFF" w:themeFill="background1"/>
        <w:spacing w:before="120" w:after="120"/>
        <w:ind w:firstLine="720"/>
        <w:rPr>
          <w:iCs/>
          <w:lang w:val="en-US"/>
        </w:rPr>
      </w:pPr>
      <w:r w:rsidRPr="00007E2D">
        <w:rPr>
          <w:kern w:val="22"/>
          <w:szCs w:val="22"/>
        </w:rPr>
        <w:t>11.</w:t>
      </w:r>
      <w:r w:rsidRPr="00007E2D">
        <w:rPr>
          <w:kern w:val="22"/>
          <w:szCs w:val="22"/>
        </w:rPr>
        <w:tab/>
      </w:r>
      <w:r w:rsidRPr="00007E2D">
        <w:rPr>
          <w:i/>
        </w:rPr>
        <w:t>Welcomes</w:t>
      </w:r>
      <w:r w:rsidRPr="00007E2D">
        <w:rPr>
          <w:iCs/>
        </w:rPr>
        <w:t xml:space="preserve"> the inclusion of questions on the Supplementary Protocol in the format for the fifth national report,</w:t>
      </w:r>
      <w:r w:rsidR="00007E2D" w:rsidRPr="00007E2D">
        <w:rPr>
          <w:iCs/>
          <w:vertAlign w:val="superscript"/>
        </w:rPr>
        <w:footnoteReference w:id="6"/>
      </w:r>
      <w:r w:rsidRPr="00007E2D">
        <w:rPr>
          <w:iCs/>
        </w:rPr>
        <w:t xml:space="preserve"> a</w:t>
      </w:r>
      <w:r w:rsidRPr="00212041">
        <w:rPr>
          <w:iCs/>
        </w:rPr>
        <w:t>nd</w:t>
      </w:r>
      <w:r w:rsidRPr="009F1839">
        <w:rPr>
          <w:iCs/>
        </w:rPr>
        <w:t xml:space="preserve"> </w:t>
      </w:r>
      <w:r w:rsidRPr="00BF048B">
        <w:rPr>
          <w:iCs/>
        </w:rPr>
        <w:t>requests</w:t>
      </w:r>
      <w:r w:rsidRPr="00212041">
        <w:rPr>
          <w:iCs/>
        </w:rPr>
        <w:t xml:space="preserve"> Parties to the Supplementary Protocol and</w:t>
      </w:r>
      <w:r w:rsidRPr="009F1839">
        <w:rPr>
          <w:iCs/>
        </w:rPr>
        <w:t xml:space="preserve"> </w:t>
      </w:r>
      <w:r w:rsidRPr="00BF048B">
        <w:rPr>
          <w:iCs/>
        </w:rPr>
        <w:t>invites</w:t>
      </w:r>
      <w:r w:rsidRPr="00212041">
        <w:rPr>
          <w:iCs/>
        </w:rPr>
        <w:t xml:space="preserve"> other Governments to respond to these </w:t>
      </w:r>
      <w:proofErr w:type="gramStart"/>
      <w:r w:rsidRPr="00212041">
        <w:rPr>
          <w:iCs/>
        </w:rPr>
        <w:t>questions;</w:t>
      </w:r>
      <w:proofErr w:type="gramEnd"/>
    </w:p>
    <w:p w14:paraId="7BD98DF2" w14:textId="77777777" w:rsidR="002D7597" w:rsidRPr="00B91EE0" w:rsidRDefault="002D7597" w:rsidP="002D7597">
      <w:pPr>
        <w:shd w:val="clear" w:color="auto" w:fill="FFFFFF" w:themeFill="background1"/>
        <w:spacing w:before="120" w:after="120"/>
        <w:ind w:firstLine="720"/>
        <w:rPr>
          <w:iCs/>
        </w:rPr>
      </w:pPr>
      <w:r w:rsidRPr="00212041">
        <w:rPr>
          <w:kern w:val="22"/>
          <w:szCs w:val="22"/>
        </w:rPr>
        <w:t>1</w:t>
      </w:r>
      <w:r>
        <w:rPr>
          <w:kern w:val="22"/>
          <w:szCs w:val="22"/>
        </w:rPr>
        <w:t>2</w:t>
      </w:r>
      <w:r w:rsidRPr="00212041">
        <w:rPr>
          <w:kern w:val="22"/>
          <w:szCs w:val="22"/>
        </w:rPr>
        <w:t>.</w:t>
      </w:r>
      <w:r w:rsidRPr="00212041">
        <w:rPr>
          <w:kern w:val="22"/>
          <w:szCs w:val="22"/>
        </w:rPr>
        <w:tab/>
      </w:r>
      <w:r w:rsidRPr="00212041">
        <w:rPr>
          <w:i/>
        </w:rPr>
        <w:t xml:space="preserve">Recalls </w:t>
      </w:r>
      <w:r w:rsidRPr="00212041">
        <w:rPr>
          <w:iCs/>
        </w:rPr>
        <w:t>Article 13 of the</w:t>
      </w:r>
      <w:r w:rsidRPr="00212041">
        <w:rPr>
          <w:i/>
        </w:rPr>
        <w:t xml:space="preserve"> </w:t>
      </w:r>
      <w:r w:rsidRPr="00484B68">
        <w:t>Nagoya</w:t>
      </w:r>
      <w:r>
        <w:t xml:space="preserve"> </w:t>
      </w:r>
      <w:r w:rsidRPr="00467946">
        <w:t>–</w:t>
      </w:r>
      <w:r>
        <w:t xml:space="preserve"> </w:t>
      </w:r>
      <w:r w:rsidRPr="00484B68">
        <w:t>Kuala Lumpur Supplementary Protocol on Liability and Redress and</w:t>
      </w:r>
      <w:r w:rsidRPr="00BF048B">
        <w:rPr>
          <w:iCs/>
        </w:rPr>
        <w:t xml:space="preserve"> decides</w:t>
      </w:r>
      <w:r w:rsidRPr="00212041">
        <w:rPr>
          <w:i/>
        </w:rPr>
        <w:t xml:space="preserve"> </w:t>
      </w:r>
      <w:r w:rsidRPr="00212041">
        <w:rPr>
          <w:iCs/>
        </w:rPr>
        <w:t xml:space="preserve">that the first assessment and review of the effectiveness of the Supplementary Protocol shall be undertaken in the context of the fifth assessment and review of the effectiveness of the Cartagena </w:t>
      </w:r>
      <w:r w:rsidRPr="00B91EE0">
        <w:rPr>
          <w:iCs/>
        </w:rPr>
        <w:t>Protocol.</w:t>
      </w:r>
    </w:p>
    <w:p w14:paraId="0D4B0CD0" w14:textId="77777777" w:rsidR="00BF4D15" w:rsidRPr="00BF048B" w:rsidRDefault="00BF4D15" w:rsidP="00BF048B">
      <w:pPr>
        <w:shd w:val="clear" w:color="auto" w:fill="FFFFFF" w:themeFill="background1"/>
        <w:spacing w:before="120" w:after="120"/>
        <w:rPr>
          <w:rFonts w:asciiTheme="majorBidi" w:hAnsiTheme="majorBidi" w:cstheme="majorBidi"/>
          <w:snapToGrid w:val="0"/>
          <w:kern w:val="22"/>
        </w:rPr>
      </w:pPr>
    </w:p>
    <w:p w14:paraId="3093D971" w14:textId="43350144" w:rsidR="00B3369F" w:rsidRPr="00C9161D" w:rsidRDefault="00C9161D" w:rsidP="00BF048B">
      <w:pPr>
        <w:jc w:val="center"/>
      </w:pPr>
      <w:r w:rsidRPr="00B91EE0">
        <w:t>______</w:t>
      </w:r>
      <w:r w:rsidR="00F01042" w:rsidRPr="00B91EE0">
        <w:t>____</w:t>
      </w:r>
    </w:p>
    <w:sectPr w:rsidR="00B3369F" w:rsidRPr="00C9161D" w:rsidSect="00FB5618">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2042" w14:textId="77777777" w:rsidR="00704582" w:rsidRDefault="00704582" w:rsidP="00CF1848">
      <w:r>
        <w:separator/>
      </w:r>
    </w:p>
  </w:endnote>
  <w:endnote w:type="continuationSeparator" w:id="0">
    <w:p w14:paraId="63D468EB" w14:textId="77777777" w:rsidR="00704582" w:rsidRDefault="00704582" w:rsidP="00CF1848">
      <w:r>
        <w:continuationSeparator/>
      </w:r>
    </w:p>
  </w:endnote>
  <w:endnote w:type="continuationNotice" w:id="1">
    <w:p w14:paraId="6B92BC46" w14:textId="77777777" w:rsidR="00704582" w:rsidRDefault="00704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37C" w14:textId="77777777" w:rsidR="008670C8" w:rsidRDefault="0086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BFEA" w14:textId="77777777" w:rsidR="008670C8" w:rsidRDefault="0086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A79E" w14:textId="77777777" w:rsidR="008670C8" w:rsidRDefault="0086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73ED" w14:textId="77777777" w:rsidR="00704582" w:rsidRDefault="00704582" w:rsidP="00CF1848">
      <w:r>
        <w:separator/>
      </w:r>
    </w:p>
  </w:footnote>
  <w:footnote w:type="continuationSeparator" w:id="0">
    <w:p w14:paraId="326FB37A" w14:textId="77777777" w:rsidR="00704582" w:rsidRDefault="00704582" w:rsidP="00CF1848">
      <w:r>
        <w:continuationSeparator/>
      </w:r>
    </w:p>
  </w:footnote>
  <w:footnote w:type="continuationNotice" w:id="1">
    <w:p w14:paraId="300FB52D" w14:textId="77777777" w:rsidR="00704582" w:rsidRDefault="00704582"/>
  </w:footnote>
  <w:footnote w:id="2">
    <w:p w14:paraId="64277463" w14:textId="77777777" w:rsidR="002D7597" w:rsidRPr="00BF01D5" w:rsidRDefault="002D7597" w:rsidP="002D7597">
      <w:pPr>
        <w:pStyle w:val="FootnoteText"/>
        <w:suppressLineNumbers/>
        <w:suppressAutoHyphens/>
        <w:spacing w:before="60"/>
        <w:ind w:firstLine="0"/>
        <w:jc w:val="left"/>
        <w:rPr>
          <w:szCs w:val="18"/>
          <w:lang w:val="en-CA"/>
        </w:rPr>
      </w:pPr>
      <w:r w:rsidRPr="00057512">
        <w:rPr>
          <w:rStyle w:val="FootnoteReference"/>
          <w:kern w:val="22"/>
          <w:sz w:val="18"/>
          <w:szCs w:val="18"/>
        </w:rPr>
        <w:footnoteRef/>
      </w:r>
      <w:r w:rsidRPr="00BF01D5">
        <w:rPr>
          <w:szCs w:val="18"/>
        </w:rPr>
        <w:t xml:space="preserve"> In accordance with Article 14, paragraph 1, of the Supplementary Protocol and subject to paragraph 2 of Article 32 of the Convention, the Conference of the Parties serving as the meeting of the Parties to the Protocol shall serve as the meeting of the Parties to the Supplementary Protocol. Consequently, the present decision has been taken by Parties to the Supplementary Protocol.</w:t>
      </w:r>
    </w:p>
  </w:footnote>
  <w:footnote w:id="3">
    <w:p w14:paraId="5099F3D4" w14:textId="4E9588A8" w:rsidR="00990EF2" w:rsidRPr="00990EF2" w:rsidRDefault="00990EF2" w:rsidP="001A2FEF">
      <w:pPr>
        <w:pStyle w:val="FootnoteText"/>
        <w:ind w:firstLine="0"/>
        <w:rPr>
          <w:szCs w:val="18"/>
          <w:lang w:val="en-US"/>
        </w:rPr>
      </w:pPr>
      <w:r w:rsidRPr="00990EF2">
        <w:rPr>
          <w:rStyle w:val="FootnoteReference"/>
          <w:sz w:val="18"/>
          <w:szCs w:val="18"/>
        </w:rPr>
        <w:footnoteRef/>
      </w:r>
      <w:r w:rsidRPr="00990EF2">
        <w:rPr>
          <w:szCs w:val="18"/>
        </w:rPr>
        <w:t xml:space="preserve"> </w:t>
      </w:r>
      <w:r w:rsidRPr="00990EF2">
        <w:rPr>
          <w:szCs w:val="18"/>
          <w:lang w:val="en-US"/>
        </w:rPr>
        <w:t>Decision CP-10/3, annex.</w:t>
      </w:r>
    </w:p>
  </w:footnote>
  <w:footnote w:id="4">
    <w:p w14:paraId="18E36FBB" w14:textId="2E339CB4" w:rsidR="00990EF2" w:rsidRPr="00990EF2" w:rsidRDefault="00990EF2" w:rsidP="001A2FEF">
      <w:pPr>
        <w:pStyle w:val="FootnoteText"/>
        <w:ind w:firstLine="0"/>
        <w:rPr>
          <w:szCs w:val="18"/>
          <w:lang w:val="en-US"/>
        </w:rPr>
      </w:pPr>
      <w:r w:rsidRPr="00990EF2">
        <w:rPr>
          <w:rStyle w:val="FootnoteReference"/>
          <w:sz w:val="18"/>
          <w:szCs w:val="18"/>
        </w:rPr>
        <w:footnoteRef/>
      </w:r>
      <w:r w:rsidRPr="00990EF2">
        <w:rPr>
          <w:szCs w:val="18"/>
        </w:rPr>
        <w:t xml:space="preserve"> </w:t>
      </w:r>
      <w:r w:rsidRPr="00990EF2">
        <w:rPr>
          <w:szCs w:val="18"/>
          <w:lang w:val="en-US"/>
        </w:rPr>
        <w:t>Decision CP-10/4, annex.</w:t>
      </w:r>
    </w:p>
  </w:footnote>
  <w:footnote w:id="5">
    <w:p w14:paraId="58A8D8BF" w14:textId="2C9FFF02" w:rsidR="002D7597" w:rsidRPr="00BF01D5" w:rsidRDefault="002D7597" w:rsidP="00BF048B">
      <w:pPr>
        <w:pStyle w:val="FootnoteText"/>
        <w:ind w:firstLine="0"/>
        <w:jc w:val="left"/>
        <w:rPr>
          <w:szCs w:val="18"/>
          <w:lang w:val="en-US"/>
        </w:rPr>
      </w:pPr>
      <w:r w:rsidRPr="00B52C64">
        <w:rPr>
          <w:rStyle w:val="FootnoteReference"/>
          <w:kern w:val="22"/>
          <w:sz w:val="18"/>
          <w:szCs w:val="18"/>
        </w:rPr>
        <w:footnoteRef/>
      </w:r>
      <w:r w:rsidRPr="00B52C64">
        <w:rPr>
          <w:rStyle w:val="FootnoteReference"/>
          <w:kern w:val="22"/>
          <w:sz w:val="18"/>
          <w:szCs w:val="18"/>
          <w:vertAlign w:val="baseline"/>
        </w:rPr>
        <w:t xml:space="preserve"> </w:t>
      </w:r>
      <w:r w:rsidRPr="00F56AD0">
        <w:rPr>
          <w:szCs w:val="18"/>
        </w:rPr>
        <w:t xml:space="preserve">Made available in </w:t>
      </w:r>
      <w:r w:rsidRPr="00C12879">
        <w:rPr>
          <w:szCs w:val="18"/>
        </w:rPr>
        <w:t xml:space="preserve">document </w:t>
      </w:r>
      <w:r w:rsidR="00D64387" w:rsidRPr="00BF048B">
        <w:t>CBD/CP/MOP/10/INF/1</w:t>
      </w:r>
      <w:r w:rsidRPr="00C12879">
        <w:rPr>
          <w:szCs w:val="18"/>
          <w:lang w:val="en-US"/>
        </w:rPr>
        <w:t>. The executive summary of the study is available in the six official languages of the United Nations in the annex to document CBD/CP/MOP</w:t>
      </w:r>
      <w:r w:rsidRPr="00F56AD0">
        <w:rPr>
          <w:szCs w:val="18"/>
          <w:lang w:val="en-US"/>
        </w:rPr>
        <w:t>/10/9.</w:t>
      </w:r>
    </w:p>
  </w:footnote>
  <w:footnote w:id="6">
    <w:p w14:paraId="22F80E2A" w14:textId="77777777" w:rsidR="00007E2D" w:rsidRPr="00812A3B" w:rsidRDefault="00007E2D" w:rsidP="001A2FEF">
      <w:pPr>
        <w:pStyle w:val="FootnoteText"/>
        <w:ind w:firstLine="0"/>
        <w:rPr>
          <w:lang w:val="en-US"/>
        </w:rPr>
      </w:pPr>
      <w:r>
        <w:rPr>
          <w:rStyle w:val="FootnoteReference"/>
        </w:rPr>
        <w:footnoteRef/>
      </w:r>
      <w:r>
        <w:t xml:space="preserve"> </w:t>
      </w:r>
      <w:r>
        <w:rPr>
          <w:lang w:val="en-US"/>
        </w:rPr>
        <w:t xml:space="preserve">See </w:t>
      </w:r>
      <w:r w:rsidRPr="00AE4935">
        <w:rPr>
          <w:lang w:val="en-US"/>
        </w:rPr>
        <w:t>decision CP-10/9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637E62BF" w:rsidR="00534681" w:rsidRPr="00134846" w:rsidRDefault="00F01042" w:rsidP="00534681">
        <w:pPr>
          <w:pStyle w:val="Header"/>
          <w:rPr>
            <w:lang w:val="fr-FR"/>
          </w:rPr>
        </w:pPr>
        <w:r>
          <w:rPr>
            <w:lang w:val="fr-FR"/>
          </w:rPr>
          <w:t>CBD/CP/MOP/DEC/10/13</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29F1973" w:rsidR="009505C9" w:rsidRPr="00134846" w:rsidRDefault="00F01042" w:rsidP="009505C9">
        <w:pPr>
          <w:pStyle w:val="Header"/>
          <w:jc w:val="right"/>
          <w:rPr>
            <w:lang w:val="fr-FR"/>
          </w:rPr>
        </w:pPr>
        <w:r>
          <w:rPr>
            <w:lang w:val="fr-FR"/>
          </w:rPr>
          <w:t>CBD/CP/MOP/DEC/10/13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61CA" w14:textId="77777777" w:rsidR="00D0046A" w:rsidRDefault="00D00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059479">
    <w:abstractNumId w:val="3"/>
  </w:num>
  <w:num w:numId="2" w16cid:durableId="1780562416">
    <w:abstractNumId w:val="6"/>
  </w:num>
  <w:num w:numId="3" w16cid:durableId="360785763">
    <w:abstractNumId w:val="4"/>
  </w:num>
  <w:num w:numId="4" w16cid:durableId="614098124">
    <w:abstractNumId w:val="6"/>
  </w:num>
  <w:num w:numId="5" w16cid:durableId="210074374">
    <w:abstractNumId w:val="5"/>
  </w:num>
  <w:num w:numId="6" w16cid:durableId="1204830891">
    <w:abstractNumId w:val="0"/>
  </w:num>
  <w:num w:numId="7" w16cid:durableId="690493000">
    <w:abstractNumId w:val="2"/>
  </w:num>
  <w:num w:numId="8" w16cid:durableId="1221406453">
    <w:abstractNumId w:val="4"/>
    <w:lvlOverride w:ilvl="0">
      <w:startOverride w:val="1"/>
    </w:lvlOverride>
  </w:num>
  <w:num w:numId="9" w16cid:durableId="392847581">
    <w:abstractNumId w:val="9"/>
  </w:num>
  <w:num w:numId="10" w16cid:durableId="1704138508">
    <w:abstractNumId w:val="4"/>
    <w:lvlOverride w:ilvl="0">
      <w:startOverride w:val="1"/>
    </w:lvlOverride>
  </w:num>
  <w:num w:numId="11" w16cid:durableId="1160538413">
    <w:abstractNumId w:val="4"/>
    <w:lvlOverride w:ilvl="0">
      <w:startOverride w:val="1"/>
    </w:lvlOverride>
  </w:num>
  <w:num w:numId="12" w16cid:durableId="1238128525">
    <w:abstractNumId w:val="4"/>
    <w:lvlOverride w:ilvl="0">
      <w:startOverride w:val="1"/>
    </w:lvlOverride>
  </w:num>
  <w:num w:numId="13" w16cid:durableId="1236819815">
    <w:abstractNumId w:val="4"/>
    <w:lvlOverride w:ilvl="0">
      <w:startOverride w:val="1"/>
    </w:lvlOverride>
  </w:num>
  <w:num w:numId="14" w16cid:durableId="61223958">
    <w:abstractNumId w:val="8"/>
  </w:num>
  <w:num w:numId="15" w16cid:durableId="1895701283">
    <w:abstractNumId w:val="7"/>
  </w:num>
  <w:num w:numId="16" w16cid:durableId="2085251336">
    <w:abstractNumId w:val="1"/>
  </w:num>
  <w:num w:numId="17" w16cid:durableId="1449620304">
    <w:abstractNumId w:val="10"/>
  </w:num>
  <w:num w:numId="18" w16cid:durableId="735590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7E2D"/>
    <w:rsid w:val="00020A25"/>
    <w:rsid w:val="00027E8E"/>
    <w:rsid w:val="00045E91"/>
    <w:rsid w:val="00057512"/>
    <w:rsid w:val="0007171B"/>
    <w:rsid w:val="0008309B"/>
    <w:rsid w:val="00086D5C"/>
    <w:rsid w:val="000C64C2"/>
    <w:rsid w:val="000E673A"/>
    <w:rsid w:val="000F74F5"/>
    <w:rsid w:val="00105372"/>
    <w:rsid w:val="001312AD"/>
    <w:rsid w:val="00131E7A"/>
    <w:rsid w:val="00134846"/>
    <w:rsid w:val="00172AF6"/>
    <w:rsid w:val="00176CEE"/>
    <w:rsid w:val="00186DD8"/>
    <w:rsid w:val="0019697D"/>
    <w:rsid w:val="001A2FEF"/>
    <w:rsid w:val="001B13FE"/>
    <w:rsid w:val="001C1DB2"/>
    <w:rsid w:val="00201591"/>
    <w:rsid w:val="002134F8"/>
    <w:rsid w:val="002668E3"/>
    <w:rsid w:val="002B7861"/>
    <w:rsid w:val="002D319E"/>
    <w:rsid w:val="002D7597"/>
    <w:rsid w:val="0030169D"/>
    <w:rsid w:val="003060EB"/>
    <w:rsid w:val="00306B36"/>
    <w:rsid w:val="003153EB"/>
    <w:rsid w:val="00321985"/>
    <w:rsid w:val="00351205"/>
    <w:rsid w:val="00363641"/>
    <w:rsid w:val="00367964"/>
    <w:rsid w:val="00372F74"/>
    <w:rsid w:val="00376B79"/>
    <w:rsid w:val="003B7BB2"/>
    <w:rsid w:val="003D07B7"/>
    <w:rsid w:val="003E43E3"/>
    <w:rsid w:val="003E53B1"/>
    <w:rsid w:val="003F2339"/>
    <w:rsid w:val="003F7224"/>
    <w:rsid w:val="00424BD8"/>
    <w:rsid w:val="00427D21"/>
    <w:rsid w:val="00434FA1"/>
    <w:rsid w:val="00442B3F"/>
    <w:rsid w:val="00456FF9"/>
    <w:rsid w:val="0046038D"/>
    <w:rsid w:val="004644C2"/>
    <w:rsid w:val="00467F9C"/>
    <w:rsid w:val="00480AB0"/>
    <w:rsid w:val="004842EF"/>
    <w:rsid w:val="004B3992"/>
    <w:rsid w:val="004C4541"/>
    <w:rsid w:val="004C779D"/>
    <w:rsid w:val="004C7B02"/>
    <w:rsid w:val="00525641"/>
    <w:rsid w:val="00532898"/>
    <w:rsid w:val="00534681"/>
    <w:rsid w:val="00541D99"/>
    <w:rsid w:val="00563442"/>
    <w:rsid w:val="00565B42"/>
    <w:rsid w:val="00572EA2"/>
    <w:rsid w:val="005975AD"/>
    <w:rsid w:val="005B4ADC"/>
    <w:rsid w:val="005C4CE6"/>
    <w:rsid w:val="005C724A"/>
    <w:rsid w:val="005D4E74"/>
    <w:rsid w:val="005E0ED3"/>
    <w:rsid w:val="00607A27"/>
    <w:rsid w:val="006122BA"/>
    <w:rsid w:val="006136A9"/>
    <w:rsid w:val="0063588C"/>
    <w:rsid w:val="00645957"/>
    <w:rsid w:val="00651848"/>
    <w:rsid w:val="00661690"/>
    <w:rsid w:val="00664067"/>
    <w:rsid w:val="00692A7B"/>
    <w:rsid w:val="006A6F5B"/>
    <w:rsid w:val="006B2290"/>
    <w:rsid w:val="00704582"/>
    <w:rsid w:val="00707EA0"/>
    <w:rsid w:val="00717D88"/>
    <w:rsid w:val="00752481"/>
    <w:rsid w:val="007552CE"/>
    <w:rsid w:val="007604B4"/>
    <w:rsid w:val="007720FB"/>
    <w:rsid w:val="007740BA"/>
    <w:rsid w:val="007762BB"/>
    <w:rsid w:val="00786056"/>
    <w:rsid w:val="007942D3"/>
    <w:rsid w:val="007A5BF2"/>
    <w:rsid w:val="007B2099"/>
    <w:rsid w:val="007B6C09"/>
    <w:rsid w:val="007B7741"/>
    <w:rsid w:val="007E09DA"/>
    <w:rsid w:val="008178B6"/>
    <w:rsid w:val="00847EAF"/>
    <w:rsid w:val="00850CCC"/>
    <w:rsid w:val="00865B74"/>
    <w:rsid w:val="00866300"/>
    <w:rsid w:val="008670C8"/>
    <w:rsid w:val="00892B39"/>
    <w:rsid w:val="008974F0"/>
    <w:rsid w:val="0089765F"/>
    <w:rsid w:val="008B00F4"/>
    <w:rsid w:val="008B012A"/>
    <w:rsid w:val="008B40E7"/>
    <w:rsid w:val="008D6D79"/>
    <w:rsid w:val="008D6F79"/>
    <w:rsid w:val="009006AB"/>
    <w:rsid w:val="00906E17"/>
    <w:rsid w:val="00930BA1"/>
    <w:rsid w:val="0093169E"/>
    <w:rsid w:val="009324C3"/>
    <w:rsid w:val="00937130"/>
    <w:rsid w:val="009505C9"/>
    <w:rsid w:val="00950752"/>
    <w:rsid w:val="00956FB6"/>
    <w:rsid w:val="00966424"/>
    <w:rsid w:val="00990EF2"/>
    <w:rsid w:val="009C2DE6"/>
    <w:rsid w:val="009E36D1"/>
    <w:rsid w:val="009F1839"/>
    <w:rsid w:val="00A1252A"/>
    <w:rsid w:val="00A1686B"/>
    <w:rsid w:val="00A376E3"/>
    <w:rsid w:val="00A7738A"/>
    <w:rsid w:val="00A83624"/>
    <w:rsid w:val="00A84986"/>
    <w:rsid w:val="00A97873"/>
    <w:rsid w:val="00AA5A24"/>
    <w:rsid w:val="00AA6F92"/>
    <w:rsid w:val="00AB6934"/>
    <w:rsid w:val="00AC62CE"/>
    <w:rsid w:val="00AD41A8"/>
    <w:rsid w:val="00AD739E"/>
    <w:rsid w:val="00AD7FFC"/>
    <w:rsid w:val="00AE3143"/>
    <w:rsid w:val="00AF42DE"/>
    <w:rsid w:val="00B26ACD"/>
    <w:rsid w:val="00B3369F"/>
    <w:rsid w:val="00B52C64"/>
    <w:rsid w:val="00B56346"/>
    <w:rsid w:val="00B66AFC"/>
    <w:rsid w:val="00B872C4"/>
    <w:rsid w:val="00B91EE0"/>
    <w:rsid w:val="00B94E6C"/>
    <w:rsid w:val="00B97F8D"/>
    <w:rsid w:val="00BB4606"/>
    <w:rsid w:val="00BC73FB"/>
    <w:rsid w:val="00BE24F0"/>
    <w:rsid w:val="00BF01D5"/>
    <w:rsid w:val="00BF048B"/>
    <w:rsid w:val="00BF11F9"/>
    <w:rsid w:val="00BF2F18"/>
    <w:rsid w:val="00BF4D15"/>
    <w:rsid w:val="00C07811"/>
    <w:rsid w:val="00C12879"/>
    <w:rsid w:val="00C23D2F"/>
    <w:rsid w:val="00C2471A"/>
    <w:rsid w:val="00C414E6"/>
    <w:rsid w:val="00C443BD"/>
    <w:rsid w:val="00C451C5"/>
    <w:rsid w:val="00C64B6C"/>
    <w:rsid w:val="00C811F3"/>
    <w:rsid w:val="00C910B1"/>
    <w:rsid w:val="00C9161D"/>
    <w:rsid w:val="00CA0C1D"/>
    <w:rsid w:val="00CB79BB"/>
    <w:rsid w:val="00CF1848"/>
    <w:rsid w:val="00CF5390"/>
    <w:rsid w:val="00D0046A"/>
    <w:rsid w:val="00D10531"/>
    <w:rsid w:val="00D12044"/>
    <w:rsid w:val="00D30264"/>
    <w:rsid w:val="00D33EFC"/>
    <w:rsid w:val="00D34719"/>
    <w:rsid w:val="00D40DBC"/>
    <w:rsid w:val="00D4163F"/>
    <w:rsid w:val="00D46991"/>
    <w:rsid w:val="00D505EC"/>
    <w:rsid w:val="00D64387"/>
    <w:rsid w:val="00D67904"/>
    <w:rsid w:val="00D76A18"/>
    <w:rsid w:val="00D80849"/>
    <w:rsid w:val="00D82E8F"/>
    <w:rsid w:val="00DA6BEF"/>
    <w:rsid w:val="00DC4564"/>
    <w:rsid w:val="00DD118C"/>
    <w:rsid w:val="00DD61C4"/>
    <w:rsid w:val="00E06ABB"/>
    <w:rsid w:val="00E2455A"/>
    <w:rsid w:val="00E66235"/>
    <w:rsid w:val="00E83C24"/>
    <w:rsid w:val="00E86884"/>
    <w:rsid w:val="00E9318D"/>
    <w:rsid w:val="00EC1F46"/>
    <w:rsid w:val="00ED1939"/>
    <w:rsid w:val="00EE182C"/>
    <w:rsid w:val="00F01042"/>
    <w:rsid w:val="00F420D5"/>
    <w:rsid w:val="00F528FA"/>
    <w:rsid w:val="00F53193"/>
    <w:rsid w:val="00F5357E"/>
    <w:rsid w:val="00F56AD0"/>
    <w:rsid w:val="00F6586C"/>
    <w:rsid w:val="00F66CC1"/>
    <w:rsid w:val="00F94774"/>
    <w:rsid w:val="00FA0E9A"/>
    <w:rsid w:val="00FA663B"/>
    <w:rsid w:val="00FB009E"/>
    <w:rsid w:val="00FB5618"/>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2D7597"/>
    <w:pPr>
      <w:spacing w:before="120" w:after="160" w:line="240" w:lineRule="exact"/>
    </w:pPr>
    <w:rPr>
      <w:rFonts w:asciiTheme="minorHAnsi" w:eastAsiaTheme="minorEastAsia" w:hAnsiTheme="minorHAnsi" w:cstheme="minorBidi"/>
      <w:vertAlign w:val="superscript"/>
      <w:lang w:val="fr-CA"/>
    </w:rPr>
  </w:style>
  <w:style w:type="paragraph" w:styleId="Revision">
    <w:name w:val="Revision"/>
    <w:hidden/>
    <w:uiPriority w:val="99"/>
    <w:semiHidden/>
    <w:rsid w:val="00D0046A"/>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FB009E"/>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B009E"/>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C1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740E"/>
    <w:rsid w:val="0016789F"/>
    <w:rsid w:val="00350344"/>
    <w:rsid w:val="003B374D"/>
    <w:rsid w:val="003E786A"/>
    <w:rsid w:val="0046422C"/>
    <w:rsid w:val="004760CF"/>
    <w:rsid w:val="004E092F"/>
    <w:rsid w:val="00500A2B"/>
    <w:rsid w:val="0058288D"/>
    <w:rsid w:val="00665C6B"/>
    <w:rsid w:val="006801B3"/>
    <w:rsid w:val="00741A83"/>
    <w:rsid w:val="007B330B"/>
    <w:rsid w:val="00810A55"/>
    <w:rsid w:val="008C6619"/>
    <w:rsid w:val="008D420E"/>
    <w:rsid w:val="008E7B77"/>
    <w:rsid w:val="00910615"/>
    <w:rsid w:val="0098642F"/>
    <w:rsid w:val="00993ADE"/>
    <w:rsid w:val="00A44F2A"/>
    <w:rsid w:val="00AD2130"/>
    <w:rsid w:val="00B27D2C"/>
    <w:rsid w:val="00B72A22"/>
    <w:rsid w:val="00B8627F"/>
    <w:rsid w:val="00C5677D"/>
    <w:rsid w:val="00C8104B"/>
    <w:rsid w:val="00CC18A3"/>
    <w:rsid w:val="00CC289F"/>
    <w:rsid w:val="00D31D12"/>
    <w:rsid w:val="00D5560E"/>
    <w:rsid w:val="00E406D9"/>
    <w:rsid w:val="00EA7653"/>
    <w:rsid w:val="00FF2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1B6592A5-57BF-415A-B1ED-306F2F3CA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CP-10/13.	Nagoya – Kuala Lumpur Supplementary Protocol on Liability and Redress</vt:lpstr>
    </vt:vector>
  </TitlesOfParts>
  <Company>SCBD</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CP-10/13.	Nagoya – Kuala Lumpur Supplementary Protocol on Liability and Redress</dc:title>
  <dc:subject>CBD/CP/MOP/DEC/10/13</dc:subject>
  <dc:creator>SCBD</dc:creator>
  <cp:keywords>Decision adopted by the Parties to the Cartagena Protocol on Biosafety</cp:keywords>
  <cp:lastModifiedBy>Veronique Lefebvre</cp:lastModifiedBy>
  <cp:revision>6</cp:revision>
  <cp:lastPrinted>2020-01-21T16:56:00Z</cp:lastPrinted>
  <dcterms:created xsi:type="dcterms:W3CDTF">2023-02-15T14:05:00Z</dcterms:created>
  <dcterms:modified xsi:type="dcterms:W3CDTF">2023-02-15T15:32:00Z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