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8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5141"/>
        <w:gridCol w:w="4371"/>
      </w:tblGrid>
      <w:tr w:rsidR="00C9161D" w14:paraId="07F6750D" w14:textId="77777777" w:rsidTr="00BF048B">
        <w:trPr>
          <w:trHeight w:val="851"/>
        </w:trPr>
        <w:tc>
          <w:tcPr>
            <w:tcW w:w="976" w:type="dxa"/>
            <w:tcBorders>
              <w:bottom w:val="single" w:sz="12" w:space="0" w:color="auto"/>
            </w:tcBorders>
          </w:tcPr>
          <w:p w14:paraId="1DEFF495" w14:textId="77777777" w:rsidR="00C9161D" w:rsidRPr="00321985" w:rsidRDefault="00C9161D" w:rsidP="00321985">
            <w:r>
              <w:rPr>
                <w:noProof/>
                <w:lang w:val="fr-FR" w:eastAsia="fr-FR"/>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4888A792" w:rsidR="00FA663B" w:rsidRPr="00321985" w:rsidRDefault="00BB1856" w:rsidP="00321985">
            <w:r w:rsidRPr="00BB1856">
              <w:rPr>
                <w:noProof/>
                <w:lang w:val="fr-FR" w:eastAsia="fr-FR"/>
              </w:rPr>
              <w:drawing>
                <wp:inline distT="0" distB="0" distL="0" distR="0" wp14:anchorId="3D915A90" wp14:editId="0C4C2DF1">
                  <wp:extent cx="593725" cy="340995"/>
                  <wp:effectExtent l="0" t="0" r="0" b="1905"/>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4371"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BF048B">
        <w:tc>
          <w:tcPr>
            <w:tcW w:w="6117" w:type="dxa"/>
            <w:gridSpan w:val="2"/>
            <w:tcBorders>
              <w:top w:val="single" w:sz="12" w:space="0" w:color="auto"/>
              <w:bottom w:val="single" w:sz="36" w:space="0" w:color="auto"/>
            </w:tcBorders>
            <w:vAlign w:val="center"/>
          </w:tcPr>
          <w:p w14:paraId="14F52A6C" w14:textId="6904143D" w:rsidR="00C9161D" w:rsidRDefault="00A17DE4" w:rsidP="00C9161D">
            <w:r w:rsidRPr="00F32592">
              <w:rPr>
                <w:bCs/>
                <w:noProof/>
                <w:szCs w:val="22"/>
                <w:lang w:val="fr-FR" w:eastAsia="fr-FR"/>
              </w:rPr>
              <w:drawing>
                <wp:inline distT="0" distB="0" distL="0" distR="0" wp14:anchorId="5C8966F0" wp14:editId="1E3EEBEB">
                  <wp:extent cx="2857500" cy="1076325"/>
                  <wp:effectExtent l="0" t="0" r="0" b="9525"/>
                  <wp:docPr id="5"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371"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43322F01" w:rsidR="00C9161D" w:rsidRPr="00C9161D" w:rsidRDefault="00C976D0" w:rsidP="00176CEE">
            <w:pPr>
              <w:ind w:left="1215"/>
              <w:rPr>
                <w:szCs w:val="22"/>
              </w:rPr>
            </w:pPr>
            <w:r>
              <w:rPr>
                <w:caps/>
                <w:szCs w:val="22"/>
              </w:rPr>
              <w:t>GÉnÉ</w:t>
            </w:r>
            <w:r w:rsidR="00F01042">
              <w:rPr>
                <w:caps/>
                <w:szCs w:val="22"/>
              </w:rPr>
              <w:t>ral</w:t>
            </w:r>
            <w:r>
              <w:rPr>
                <w:caps/>
                <w:szCs w:val="22"/>
              </w:rPr>
              <w:t>E</w:t>
            </w:r>
          </w:p>
          <w:p w14:paraId="06715052" w14:textId="77777777" w:rsidR="00C9161D" w:rsidRPr="00C9161D" w:rsidRDefault="00C9161D" w:rsidP="00176CEE">
            <w:pPr>
              <w:ind w:left="1215"/>
              <w:rPr>
                <w:szCs w:val="22"/>
              </w:rPr>
            </w:pPr>
          </w:p>
          <w:p w14:paraId="44230134" w14:textId="04F5CA5F" w:rsidR="00C9161D" w:rsidRPr="00C9161D" w:rsidRDefault="0007723D"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F01042">
                  <w:rPr>
                    <w:lang w:val="en-US"/>
                  </w:rPr>
                  <w:t>CBD/CP/MOP/DEC/10/13</w:t>
                </w:r>
              </w:sdtContent>
            </w:sdt>
          </w:p>
          <w:p w14:paraId="0DF1F033" w14:textId="14376544" w:rsidR="00C9161D" w:rsidRPr="00C9161D" w:rsidRDefault="00F01042" w:rsidP="00176CEE">
            <w:pPr>
              <w:ind w:left="1215"/>
              <w:rPr>
                <w:szCs w:val="22"/>
              </w:rPr>
            </w:pPr>
            <w:r>
              <w:rPr>
                <w:szCs w:val="22"/>
                <w:lang w:val="en-US"/>
              </w:rPr>
              <w:t>1</w:t>
            </w:r>
            <w:r w:rsidR="00C976D0">
              <w:rPr>
                <w:szCs w:val="22"/>
                <w:lang w:val="en-US"/>
              </w:rPr>
              <w:t>9 décemb</w:t>
            </w:r>
            <w:r w:rsidR="002D7597">
              <w:rPr>
                <w:szCs w:val="22"/>
                <w:lang w:val="en-US"/>
              </w:rPr>
              <w:t>r</w:t>
            </w:r>
            <w:r w:rsidR="00C976D0">
              <w:rPr>
                <w:szCs w:val="22"/>
                <w:lang w:val="en-US"/>
              </w:rPr>
              <w:t>e</w:t>
            </w:r>
            <w:r w:rsidR="00F6586C">
              <w:rPr>
                <w:szCs w:val="22"/>
                <w:lang w:val="en-US"/>
              </w:rPr>
              <w:t xml:space="preserve"> 20</w:t>
            </w:r>
            <w:r w:rsidR="00FC25F8">
              <w:rPr>
                <w:szCs w:val="22"/>
                <w:lang w:val="en-US"/>
              </w:rPr>
              <w:t>2</w:t>
            </w:r>
            <w:r w:rsidR="00B26ACD">
              <w:rPr>
                <w:szCs w:val="22"/>
                <w:lang w:val="en-US"/>
              </w:rPr>
              <w:t>2</w:t>
            </w:r>
          </w:p>
          <w:p w14:paraId="159892DF" w14:textId="77777777" w:rsidR="00C9161D" w:rsidRDefault="00C9161D" w:rsidP="00176CEE">
            <w:pPr>
              <w:ind w:left="1215"/>
              <w:rPr>
                <w:szCs w:val="22"/>
              </w:rPr>
            </w:pPr>
          </w:p>
          <w:p w14:paraId="2C3492B5" w14:textId="6204FD86" w:rsidR="00C976D0" w:rsidRPr="00C9161D" w:rsidRDefault="00C976D0" w:rsidP="00176CEE">
            <w:pPr>
              <w:ind w:left="1215"/>
              <w:rPr>
                <w:szCs w:val="22"/>
              </w:rPr>
            </w:pPr>
            <w:r>
              <w:rPr>
                <w:szCs w:val="22"/>
              </w:rPr>
              <w:t>FRANÇAIS</w:t>
            </w:r>
          </w:p>
          <w:p w14:paraId="5AA10CCE" w14:textId="58D1257F" w:rsidR="00C9161D" w:rsidRDefault="006B2290" w:rsidP="00BF048B">
            <w:pPr>
              <w:spacing w:after="120"/>
              <w:ind w:left="1215"/>
            </w:pPr>
            <w:r>
              <w:rPr>
                <w:szCs w:val="22"/>
              </w:rPr>
              <w:t>ORIGINAL</w:t>
            </w:r>
            <w:r w:rsidR="00C976D0">
              <w:rPr>
                <w:szCs w:val="22"/>
              </w:rPr>
              <w:t xml:space="preserve"> </w:t>
            </w:r>
            <w:r>
              <w:rPr>
                <w:szCs w:val="22"/>
              </w:rPr>
              <w:t xml:space="preserve">: </w:t>
            </w:r>
            <w:r w:rsidR="00C976D0">
              <w:rPr>
                <w:szCs w:val="22"/>
              </w:rPr>
              <w:t>A</w:t>
            </w:r>
            <w:r w:rsidR="00C9161D" w:rsidRPr="00C9161D">
              <w:rPr>
                <w:szCs w:val="22"/>
              </w:rPr>
              <w:t>NGL</w:t>
            </w:r>
            <w:r w:rsidR="00C976D0">
              <w:rPr>
                <w:szCs w:val="22"/>
              </w:rPr>
              <w:t>AIS</w:t>
            </w:r>
          </w:p>
        </w:tc>
      </w:tr>
    </w:tbl>
    <w:p w14:paraId="231357DE" w14:textId="77777777" w:rsidR="00F81499" w:rsidRPr="00147180" w:rsidRDefault="00F81499" w:rsidP="00C976D0">
      <w:pPr>
        <w:pStyle w:val="Cornernotation"/>
        <w:kinsoku w:val="0"/>
        <w:overflowPunct w:val="0"/>
        <w:autoSpaceDE w:val="0"/>
        <w:autoSpaceDN w:val="0"/>
        <w:spacing w:before="60"/>
        <w:ind w:left="142" w:right="4115" w:hanging="142"/>
        <w:rPr>
          <w:snapToGrid w:val="0"/>
          <w:kern w:val="22"/>
          <w:lang w:val="fr-CA"/>
        </w:rPr>
      </w:pPr>
      <w:r>
        <w:rPr>
          <w:snapToGrid w:val="0"/>
          <w:kern w:val="22"/>
          <w:lang w:val="fr-CA"/>
        </w:rPr>
        <w:t>CONFÉRENCE DES PARTIES SIÉGEANT EN TANT QUE RÉUNION DES PARTIES AU PROTOCOLE DE CARTAGENA SUR LA PRÉVENTION DES RISQUES BIOTECHNOLOGIQUES</w:t>
      </w:r>
    </w:p>
    <w:p w14:paraId="381EB6CA" w14:textId="77777777" w:rsidR="00F81499" w:rsidRPr="00147180" w:rsidRDefault="00F81499" w:rsidP="00F81499">
      <w:pPr>
        <w:pStyle w:val="Cornernotation"/>
        <w:ind w:right="4115"/>
        <w:rPr>
          <w:lang w:val="fr-CA"/>
        </w:rPr>
      </w:pPr>
      <w:r>
        <w:rPr>
          <w:lang w:val="fr-CA"/>
        </w:rPr>
        <w:t>Dixième réunion, deuxième partie</w:t>
      </w:r>
    </w:p>
    <w:p w14:paraId="0D5746BE" w14:textId="36FC3BBE" w:rsidR="00F81499" w:rsidRPr="00147180" w:rsidRDefault="00F81499" w:rsidP="00F81499">
      <w:pPr>
        <w:pStyle w:val="Cornernotation"/>
        <w:kinsoku w:val="0"/>
        <w:overflowPunct w:val="0"/>
        <w:autoSpaceDE w:val="0"/>
        <w:autoSpaceDN w:val="0"/>
        <w:ind w:left="227" w:right="4075" w:hanging="227"/>
        <w:rPr>
          <w:snapToGrid w:val="0"/>
          <w:kern w:val="22"/>
          <w:szCs w:val="22"/>
          <w:lang w:val="fr-CA" w:eastAsia="nb-NO"/>
        </w:rPr>
      </w:pPr>
      <w:r w:rsidRPr="00147180">
        <w:rPr>
          <w:snapToGrid w:val="0"/>
          <w:kern w:val="22"/>
          <w:szCs w:val="22"/>
          <w:lang w:val="fr-CA" w:eastAsia="nb-NO"/>
        </w:rPr>
        <w:t>Montr</w:t>
      </w:r>
      <w:r>
        <w:rPr>
          <w:snapToGrid w:val="0"/>
          <w:kern w:val="22"/>
          <w:szCs w:val="22"/>
          <w:lang w:val="fr-CA" w:eastAsia="nb-NO"/>
        </w:rPr>
        <w:t>é</w:t>
      </w:r>
      <w:r w:rsidRPr="00147180">
        <w:rPr>
          <w:snapToGrid w:val="0"/>
          <w:kern w:val="22"/>
          <w:szCs w:val="22"/>
          <w:lang w:val="fr-CA" w:eastAsia="nb-NO"/>
        </w:rPr>
        <w:t>al</w:t>
      </w:r>
      <w:r>
        <w:rPr>
          <w:snapToGrid w:val="0"/>
          <w:kern w:val="22"/>
          <w:szCs w:val="22"/>
          <w:lang w:val="fr-CA" w:eastAsia="nb-NO"/>
        </w:rPr>
        <w:t>, Canada</w:t>
      </w:r>
      <w:r>
        <w:rPr>
          <w:snapToGrid w:val="0"/>
          <w:kern w:val="22"/>
          <w:szCs w:val="22"/>
          <w:lang w:val="fr-CA" w:eastAsia="nb-NO"/>
        </w:rPr>
        <w:t>,</w:t>
      </w:r>
      <w:r w:rsidRPr="00147180">
        <w:rPr>
          <w:snapToGrid w:val="0"/>
          <w:kern w:val="22"/>
          <w:szCs w:val="22"/>
          <w:lang w:val="fr-CA" w:eastAsia="nb-NO"/>
        </w:rPr>
        <w:t xml:space="preserve"> 7-19 </w:t>
      </w:r>
      <w:r>
        <w:rPr>
          <w:snapToGrid w:val="0"/>
          <w:kern w:val="22"/>
          <w:szCs w:val="22"/>
          <w:lang w:val="fr-CA" w:eastAsia="nb-NO"/>
        </w:rPr>
        <w:t>décembre</w:t>
      </w:r>
      <w:r w:rsidRPr="00147180">
        <w:rPr>
          <w:snapToGrid w:val="0"/>
          <w:kern w:val="22"/>
          <w:szCs w:val="22"/>
          <w:lang w:val="fr-CA" w:eastAsia="nb-NO"/>
        </w:rPr>
        <w:t xml:space="preserve"> 2022</w:t>
      </w:r>
    </w:p>
    <w:p w14:paraId="684194F4" w14:textId="77777777" w:rsidR="00F81499" w:rsidRPr="00F81499" w:rsidRDefault="00F81499" w:rsidP="00F81499">
      <w:pPr>
        <w:pStyle w:val="Cornernotation"/>
        <w:ind w:right="4784"/>
        <w:rPr>
          <w:lang w:val="en-AU"/>
        </w:rPr>
      </w:pPr>
      <w:r w:rsidRPr="00F81499">
        <w:rPr>
          <w:lang w:val="en-AU"/>
        </w:rPr>
        <w:t>Point 17 de l’ordre du jour</w:t>
      </w:r>
    </w:p>
    <w:p w14:paraId="79F4441A" w14:textId="5F38CC78" w:rsidR="00532898" w:rsidRPr="00C976D0" w:rsidRDefault="00C976D0" w:rsidP="00BF048B">
      <w:pPr>
        <w:spacing w:before="240" w:after="240"/>
        <w:ind w:left="-144" w:right="-288"/>
        <w:jc w:val="center"/>
        <w:rPr>
          <w:rFonts w:ascii="Times New Roman Bold" w:hAnsi="Times New Roman Bold"/>
          <w:b/>
          <w:caps/>
          <w:lang w:val="fr-FR"/>
        </w:rPr>
      </w:pPr>
      <w:r w:rsidRPr="00C976D0">
        <w:rPr>
          <w:rFonts w:ascii="Times New Roman Bold" w:hAnsi="Times New Roman Bold"/>
          <w:b/>
          <w:caps/>
          <w:lang w:val="fr-FR"/>
        </w:rPr>
        <w:t>DÉ</w:t>
      </w:r>
      <w:r w:rsidR="00AA5A24" w:rsidRPr="00C976D0">
        <w:rPr>
          <w:rFonts w:ascii="Times New Roman Bold" w:hAnsi="Times New Roman Bold"/>
          <w:b/>
          <w:caps/>
          <w:lang w:val="fr-FR"/>
        </w:rPr>
        <w:t>cision adopt</w:t>
      </w:r>
      <w:r w:rsidRPr="00C976D0">
        <w:rPr>
          <w:rFonts w:ascii="Times New Roman Bold" w:hAnsi="Times New Roman Bold"/>
          <w:b/>
          <w:caps/>
          <w:lang w:val="fr-FR"/>
        </w:rPr>
        <w:t>É</w:t>
      </w:r>
      <w:r>
        <w:rPr>
          <w:rFonts w:ascii="Times New Roman Bold" w:hAnsi="Times New Roman Bold"/>
          <w:b/>
          <w:caps/>
          <w:lang w:val="fr-FR"/>
        </w:rPr>
        <w:t>e PAR LES Parties AU PROTOCOLE DE Cartagena SUR LA PRÉVENTION des risques biotechnologiques</w:t>
      </w:r>
    </w:p>
    <w:p w14:paraId="57F6B7A1" w14:textId="474565B9" w:rsidR="00C9161D" w:rsidRPr="00C976D0" w:rsidRDefault="0007723D" w:rsidP="00C976D0">
      <w:pPr>
        <w:keepNext/>
        <w:spacing w:before="120" w:after="240"/>
        <w:ind w:left="1276" w:hanging="1134"/>
        <w:jc w:val="left"/>
        <w:outlineLvl w:val="1"/>
        <w:rPr>
          <w:b/>
          <w:caps/>
          <w:lang w:val="fr-FR"/>
        </w:rPr>
      </w:pPr>
      <w:sdt>
        <w:sdtPr>
          <w:rPr>
            <w:b/>
            <w:lang w:val="fr-F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F01042" w:rsidRPr="00C976D0">
            <w:rPr>
              <w:b/>
              <w:lang w:val="fr-FR"/>
            </w:rPr>
            <w:t>CP-10/13.</w:t>
          </w:r>
          <w:r w:rsidR="00F01042" w:rsidRPr="00C976D0">
            <w:rPr>
              <w:b/>
              <w:lang w:val="fr-FR"/>
            </w:rPr>
            <w:tab/>
          </w:r>
          <w:r w:rsidR="00C976D0" w:rsidRPr="00C976D0">
            <w:rPr>
              <w:b/>
              <w:lang w:val="fr-FR"/>
            </w:rPr>
            <w:t xml:space="preserve">Protocole additionnel de </w:t>
          </w:r>
          <w:r w:rsidR="00F01042" w:rsidRPr="00C976D0">
            <w:rPr>
              <w:b/>
              <w:lang w:val="fr-FR"/>
            </w:rPr>
            <w:t>Nagoya – Kuala L</w:t>
          </w:r>
          <w:r w:rsidR="00C976D0" w:rsidRPr="00C976D0">
            <w:rPr>
              <w:b/>
              <w:lang w:val="fr-FR"/>
            </w:rPr>
            <w:t xml:space="preserve">umpur </w:t>
          </w:r>
          <w:r w:rsidR="00F01042" w:rsidRPr="00C976D0">
            <w:rPr>
              <w:b/>
              <w:lang w:val="fr-FR"/>
            </w:rPr>
            <w:t>s</w:t>
          </w:r>
          <w:r w:rsidR="00C976D0">
            <w:rPr>
              <w:b/>
              <w:lang w:val="fr-FR"/>
            </w:rPr>
            <w:t>ur la responsabilité et la réparation</w:t>
          </w:r>
        </w:sdtContent>
      </w:sdt>
      <w:r w:rsidR="00105372" w:rsidRPr="00C976D0">
        <w:rPr>
          <w:b/>
          <w:caps/>
          <w:lang w:val="fr-FR"/>
        </w:rPr>
        <w:t xml:space="preserve"> </w:t>
      </w:r>
    </w:p>
    <w:p w14:paraId="2DDC21AB" w14:textId="659AAD27" w:rsidR="00F81499" w:rsidRPr="00641BA8" w:rsidRDefault="00F81499" w:rsidP="00F81499">
      <w:pPr>
        <w:rPr>
          <w:i/>
          <w:lang w:val="fr-CA"/>
        </w:rPr>
      </w:pPr>
      <w:r w:rsidRPr="00641BA8">
        <w:rPr>
          <w:i/>
          <w:lang w:val="fr-CA"/>
        </w:rPr>
        <w:t>La Conférence des Parties siégeant en tant que réunion des Parties au Protocole de Cartagena sur la prévention des risques biotechnologiques et siégeant en tant que réunion des Parties au</w:t>
      </w:r>
      <w:r w:rsidRPr="005136CC">
        <w:rPr>
          <w:i/>
          <w:lang w:val="fr-CA"/>
        </w:rPr>
        <w:t xml:space="preserve"> Protocole additionnel </w:t>
      </w:r>
      <w:r w:rsidRPr="005136CC">
        <w:rPr>
          <w:i/>
          <w:noProof/>
          <w:lang w:val="fr-CA"/>
        </w:rPr>
        <w:t>de Nagoya</w:t>
      </w:r>
      <w:r w:rsidR="00C976D0">
        <w:rPr>
          <w:i/>
          <w:noProof/>
          <w:lang w:val="fr-CA"/>
        </w:rPr>
        <w:t xml:space="preserve"> </w:t>
      </w:r>
      <w:r w:rsidR="00C976D0" w:rsidRPr="00C976D0">
        <w:rPr>
          <w:b/>
          <w:lang w:val="fr-FR"/>
        </w:rPr>
        <w:t>–</w:t>
      </w:r>
      <w:r w:rsidR="00C976D0">
        <w:rPr>
          <w:b/>
          <w:lang w:val="fr-FR"/>
        </w:rPr>
        <w:t xml:space="preserve"> </w:t>
      </w:r>
      <w:r w:rsidRPr="005136CC">
        <w:rPr>
          <w:i/>
          <w:noProof/>
          <w:lang w:val="fr-CA"/>
        </w:rPr>
        <w:t>Kuala Lumpur sur la responsabilité</w:t>
      </w:r>
      <w:r w:rsidRPr="005136CC">
        <w:rPr>
          <w:i/>
          <w:lang w:val="fr-CA"/>
        </w:rPr>
        <w:t xml:space="preserve"> et la réparation</w:t>
      </w:r>
      <w:r w:rsidRPr="00641BA8">
        <w:rPr>
          <w:i/>
          <w:vertAlign w:val="superscript"/>
          <w:lang w:val="fr-CA"/>
        </w:rPr>
        <w:footnoteReference w:id="2"/>
      </w:r>
    </w:p>
    <w:p w14:paraId="71046846" w14:textId="36E21333" w:rsidR="00F81499" w:rsidRPr="00641BA8" w:rsidRDefault="00F81499" w:rsidP="00F81499">
      <w:pPr>
        <w:pStyle w:val="HEADING"/>
        <w:shd w:val="clear" w:color="auto" w:fill="FFFFFF" w:themeFill="background1"/>
        <w:ind w:firstLine="720"/>
        <w:jc w:val="both"/>
        <w:rPr>
          <w:b w:val="0"/>
          <w:bCs w:val="0"/>
          <w:iCs/>
          <w:caps w:val="0"/>
          <w:lang w:val="fr-CA"/>
        </w:rPr>
      </w:pPr>
      <w:r w:rsidRPr="00641BA8">
        <w:rPr>
          <w:b w:val="0"/>
          <w:bCs w:val="0"/>
          <w:i/>
          <w:caps w:val="0"/>
          <w:lang w:val="fr-CA"/>
        </w:rPr>
        <w:t xml:space="preserve">Rappelant </w:t>
      </w:r>
      <w:r w:rsidRPr="00F34722">
        <w:rPr>
          <w:b w:val="0"/>
          <w:bCs w:val="0"/>
          <w:caps w:val="0"/>
          <w:lang w:val="fr-CA"/>
        </w:rPr>
        <w:t>la</w:t>
      </w:r>
      <w:r w:rsidR="00F34722" w:rsidRPr="00F34722">
        <w:rPr>
          <w:b w:val="0"/>
          <w:bCs w:val="0"/>
          <w:caps w:val="0"/>
          <w:lang w:val="fr-CA"/>
        </w:rPr>
        <w:t xml:space="preserve"> </w:t>
      </w:r>
      <w:r w:rsidR="00F34722" w:rsidRPr="00F34722">
        <w:rPr>
          <w:b w:val="0"/>
          <w:bCs w:val="0"/>
          <w:iCs/>
          <w:caps w:val="0"/>
          <w:lang w:val="fr-CA"/>
        </w:rPr>
        <w:t>déc</w:t>
      </w:r>
      <w:r w:rsidRPr="00F34722">
        <w:rPr>
          <w:b w:val="0"/>
          <w:bCs w:val="0"/>
          <w:iCs/>
          <w:caps w:val="0"/>
          <w:lang w:val="fr-CA"/>
        </w:rPr>
        <w:t>ision</w:t>
      </w:r>
      <w:r w:rsidRPr="00641BA8">
        <w:rPr>
          <w:b w:val="0"/>
          <w:bCs w:val="0"/>
          <w:iCs/>
          <w:caps w:val="0"/>
          <w:lang w:val="fr-CA"/>
        </w:rPr>
        <w:t> CP</w:t>
      </w:r>
      <w:r>
        <w:rPr>
          <w:b w:val="0"/>
          <w:bCs w:val="0"/>
          <w:iCs/>
          <w:caps w:val="0"/>
          <w:lang w:val="fr-CA"/>
        </w:rPr>
        <w:noBreakHyphen/>
      </w:r>
      <w:r w:rsidRPr="00641BA8">
        <w:rPr>
          <w:b w:val="0"/>
          <w:bCs w:val="0"/>
          <w:iCs/>
          <w:caps w:val="0"/>
          <w:lang w:val="fr-CA"/>
        </w:rPr>
        <w:t>9/15,</w:t>
      </w:r>
    </w:p>
    <w:p w14:paraId="51212663" w14:textId="6A4024D2" w:rsidR="00F81499" w:rsidRPr="00641BA8" w:rsidRDefault="00F81499" w:rsidP="00C976D0">
      <w:pPr>
        <w:pStyle w:val="HEADING"/>
        <w:shd w:val="clear" w:color="auto" w:fill="FFFFFF" w:themeFill="background1"/>
        <w:spacing w:before="0"/>
        <w:ind w:firstLine="720"/>
        <w:jc w:val="both"/>
        <w:rPr>
          <w:b w:val="0"/>
          <w:bCs w:val="0"/>
          <w:iCs/>
          <w:caps w:val="0"/>
          <w:noProof/>
          <w:lang w:val="fr-CA"/>
        </w:rPr>
      </w:pPr>
      <w:r w:rsidRPr="00641BA8">
        <w:rPr>
          <w:b w:val="0"/>
          <w:bCs w:val="0"/>
          <w:i/>
          <w:caps w:val="0"/>
          <w:lang w:val="fr-CA"/>
        </w:rPr>
        <w:t xml:space="preserve">Prenant note </w:t>
      </w:r>
      <w:r w:rsidRPr="00641BA8">
        <w:rPr>
          <w:b w:val="0"/>
          <w:bCs w:val="0"/>
          <w:caps w:val="0"/>
          <w:lang w:val="fr-CA"/>
        </w:rPr>
        <w:t xml:space="preserve">des </w:t>
      </w:r>
      <w:r w:rsidRPr="00641BA8">
        <w:rPr>
          <w:b w:val="0"/>
          <w:bCs w:val="0"/>
          <w:caps w:val="0"/>
          <w:noProof/>
          <w:lang w:val="fr-CA"/>
        </w:rPr>
        <w:t>informations fournies par les Parties dans leur quatrième</w:t>
      </w:r>
      <w:r>
        <w:rPr>
          <w:b w:val="0"/>
          <w:bCs w:val="0"/>
          <w:caps w:val="0"/>
          <w:noProof/>
          <w:lang w:val="fr-CA"/>
        </w:rPr>
        <w:t xml:space="preserve"> rapport national</w:t>
      </w:r>
      <w:r w:rsidRPr="00641BA8">
        <w:rPr>
          <w:b w:val="0"/>
          <w:bCs w:val="0"/>
          <w:caps w:val="0"/>
          <w:noProof/>
          <w:lang w:val="fr-CA"/>
        </w:rPr>
        <w:t xml:space="preserve"> </w:t>
      </w:r>
      <w:r>
        <w:rPr>
          <w:b w:val="0"/>
          <w:bCs w:val="0"/>
          <w:caps w:val="0"/>
          <w:noProof/>
          <w:lang w:val="fr-CA"/>
        </w:rPr>
        <w:t xml:space="preserve">relativement au </w:t>
      </w:r>
      <w:r w:rsidRPr="005136CC">
        <w:rPr>
          <w:b w:val="0"/>
          <w:bCs w:val="0"/>
          <w:caps w:val="0"/>
          <w:noProof/>
          <w:lang w:val="fr-CA"/>
        </w:rPr>
        <w:t>Protocole additionnel de Nagoya</w:t>
      </w:r>
      <w:r w:rsidR="00717DD1">
        <w:rPr>
          <w:b w:val="0"/>
          <w:bCs w:val="0"/>
          <w:caps w:val="0"/>
          <w:noProof/>
          <w:lang w:val="fr-CA"/>
        </w:rPr>
        <w:t xml:space="preserve"> </w:t>
      </w:r>
      <w:r w:rsidR="00717DD1" w:rsidRPr="00C976D0">
        <w:rPr>
          <w:lang w:val="fr-FR"/>
        </w:rPr>
        <w:t>–</w:t>
      </w:r>
      <w:r w:rsidR="00717DD1">
        <w:rPr>
          <w:lang w:val="fr-FR"/>
        </w:rPr>
        <w:t xml:space="preserve"> </w:t>
      </w:r>
      <w:r w:rsidRPr="005136CC">
        <w:rPr>
          <w:b w:val="0"/>
          <w:bCs w:val="0"/>
          <w:caps w:val="0"/>
          <w:noProof/>
          <w:lang w:val="fr-CA"/>
        </w:rPr>
        <w:t>Kuala Lumpur sur la responsabilité et la réparation</w:t>
      </w:r>
      <w:r>
        <w:rPr>
          <w:b w:val="0"/>
          <w:bCs w:val="0"/>
          <w:caps w:val="0"/>
          <w:noProof/>
          <w:lang w:val="fr-CA"/>
        </w:rPr>
        <w:t>,</w:t>
      </w:r>
      <w:r w:rsidRPr="00641BA8">
        <w:rPr>
          <w:b w:val="0"/>
          <w:bCs w:val="0"/>
          <w:iCs/>
          <w:caps w:val="0"/>
          <w:noProof/>
          <w:lang w:val="fr-CA"/>
        </w:rPr>
        <w:t xml:space="preserve"> </w:t>
      </w:r>
    </w:p>
    <w:p w14:paraId="7FCA7F99" w14:textId="299AF1E8" w:rsidR="00F81499" w:rsidRPr="00641BA8" w:rsidRDefault="00F81499" w:rsidP="00F81499">
      <w:pPr>
        <w:pStyle w:val="HEADING"/>
        <w:keepNext w:val="0"/>
        <w:shd w:val="clear" w:color="auto" w:fill="FFFFFF" w:themeFill="background1"/>
        <w:spacing w:before="120"/>
        <w:ind w:firstLine="720"/>
        <w:jc w:val="both"/>
        <w:rPr>
          <w:b w:val="0"/>
          <w:bCs w:val="0"/>
          <w:caps w:val="0"/>
          <w:noProof/>
          <w:lang w:val="fr-CA"/>
        </w:rPr>
      </w:pPr>
      <w:r w:rsidRPr="00641BA8">
        <w:rPr>
          <w:b w:val="0"/>
          <w:bCs w:val="0"/>
          <w:noProof/>
          <w:kern w:val="22"/>
          <w:szCs w:val="22"/>
          <w:lang w:val="fr-CA"/>
        </w:rPr>
        <w:t>1.</w:t>
      </w:r>
      <w:r w:rsidRPr="00641BA8">
        <w:rPr>
          <w:b w:val="0"/>
          <w:bCs w:val="0"/>
          <w:noProof/>
          <w:kern w:val="22"/>
          <w:szCs w:val="22"/>
          <w:lang w:val="fr-CA"/>
        </w:rPr>
        <w:tab/>
      </w:r>
      <w:r w:rsidRPr="007422A3">
        <w:rPr>
          <w:b w:val="0"/>
          <w:bCs w:val="0"/>
          <w:i/>
          <w:iCs/>
          <w:caps w:val="0"/>
          <w:noProof/>
          <w:lang w:val="fr-CA"/>
        </w:rPr>
        <w:t>Se félicite</w:t>
      </w:r>
      <w:r w:rsidRPr="007422A3">
        <w:rPr>
          <w:b w:val="0"/>
          <w:bCs w:val="0"/>
          <w:caps w:val="0"/>
          <w:noProof/>
          <w:lang w:val="fr-CA"/>
        </w:rPr>
        <w:t xml:space="preserve"> des instruments supplémentaires de ratification, d</w:t>
      </w:r>
      <w:r>
        <w:rPr>
          <w:b w:val="0"/>
          <w:bCs w:val="0"/>
          <w:caps w:val="0"/>
          <w:noProof/>
          <w:lang w:val="fr-CA"/>
        </w:rPr>
        <w:t>’</w:t>
      </w:r>
      <w:r w:rsidRPr="007422A3">
        <w:rPr>
          <w:b w:val="0"/>
          <w:bCs w:val="0"/>
          <w:caps w:val="0"/>
          <w:noProof/>
          <w:lang w:val="fr-CA"/>
        </w:rPr>
        <w:t>acceptation, d</w:t>
      </w:r>
      <w:r>
        <w:rPr>
          <w:b w:val="0"/>
          <w:bCs w:val="0"/>
          <w:caps w:val="0"/>
          <w:noProof/>
          <w:lang w:val="fr-CA"/>
        </w:rPr>
        <w:t>’</w:t>
      </w:r>
      <w:r w:rsidRPr="007422A3">
        <w:rPr>
          <w:b w:val="0"/>
          <w:bCs w:val="0"/>
          <w:caps w:val="0"/>
          <w:noProof/>
          <w:lang w:val="fr-CA"/>
        </w:rPr>
        <w:t>approbation ou d</w:t>
      </w:r>
      <w:r>
        <w:rPr>
          <w:b w:val="0"/>
          <w:bCs w:val="0"/>
          <w:caps w:val="0"/>
          <w:noProof/>
          <w:lang w:val="fr-CA"/>
        </w:rPr>
        <w:t>’</w:t>
      </w:r>
      <w:r w:rsidRPr="007422A3">
        <w:rPr>
          <w:b w:val="0"/>
          <w:bCs w:val="0"/>
          <w:caps w:val="0"/>
          <w:noProof/>
          <w:lang w:val="fr-CA"/>
        </w:rPr>
        <w:t>adhésion au Protocole additionnel de Nagoya</w:t>
      </w:r>
      <w:r w:rsidR="00C976D0">
        <w:rPr>
          <w:b w:val="0"/>
          <w:bCs w:val="0"/>
          <w:caps w:val="0"/>
          <w:noProof/>
          <w:lang w:val="fr-CA"/>
        </w:rPr>
        <w:t xml:space="preserve"> </w:t>
      </w:r>
      <w:r w:rsidR="00C976D0" w:rsidRPr="00C976D0">
        <w:rPr>
          <w:lang w:val="fr-FR"/>
        </w:rPr>
        <w:t>–</w:t>
      </w:r>
      <w:r w:rsidR="00C976D0">
        <w:rPr>
          <w:lang w:val="fr-FR"/>
        </w:rPr>
        <w:t xml:space="preserve"> </w:t>
      </w:r>
      <w:r w:rsidRPr="007422A3">
        <w:rPr>
          <w:b w:val="0"/>
          <w:bCs w:val="0"/>
          <w:caps w:val="0"/>
          <w:noProof/>
          <w:lang w:val="fr-CA"/>
        </w:rPr>
        <w:t>Kuala Lumpur sur la responsabilité et la réparation relatif au Protocole de Cartagena sur la prévention des risques biotechnologiques qui ont été déposés</w:t>
      </w:r>
      <w:r>
        <w:rPr>
          <w:b w:val="0"/>
          <w:bCs w:val="0"/>
          <w:caps w:val="0"/>
          <w:noProof/>
          <w:lang w:val="fr-CA"/>
        </w:rPr>
        <w:t>;</w:t>
      </w:r>
    </w:p>
    <w:p w14:paraId="168E1668" w14:textId="7B677385" w:rsidR="00F81499" w:rsidRPr="00641BA8" w:rsidRDefault="00F81499" w:rsidP="00F81499">
      <w:pPr>
        <w:pStyle w:val="HEADING"/>
        <w:keepNext w:val="0"/>
        <w:shd w:val="clear" w:color="auto" w:fill="FFFFFF" w:themeFill="background1"/>
        <w:spacing w:before="120"/>
        <w:ind w:firstLine="720"/>
        <w:jc w:val="both"/>
        <w:rPr>
          <w:b w:val="0"/>
          <w:bCs w:val="0"/>
          <w:caps w:val="0"/>
          <w:noProof/>
          <w:lang w:val="fr-CA"/>
        </w:rPr>
      </w:pPr>
      <w:r w:rsidRPr="00641BA8">
        <w:rPr>
          <w:b w:val="0"/>
          <w:bCs w:val="0"/>
          <w:caps w:val="0"/>
          <w:noProof/>
          <w:lang w:val="fr-CA"/>
        </w:rPr>
        <w:t>2.</w:t>
      </w:r>
      <w:r w:rsidRPr="00641BA8">
        <w:rPr>
          <w:b w:val="0"/>
          <w:bCs w:val="0"/>
          <w:caps w:val="0"/>
          <w:noProof/>
          <w:lang w:val="fr-CA"/>
        </w:rPr>
        <w:tab/>
      </w:r>
      <w:r>
        <w:rPr>
          <w:b w:val="0"/>
          <w:bCs w:val="0"/>
          <w:i/>
          <w:caps w:val="0"/>
          <w:noProof/>
          <w:lang w:val="fr-CA"/>
        </w:rPr>
        <w:t xml:space="preserve">Prend note avec regret </w:t>
      </w:r>
      <w:r>
        <w:rPr>
          <w:b w:val="0"/>
          <w:bCs w:val="0"/>
          <w:caps w:val="0"/>
          <w:noProof/>
          <w:lang w:val="fr-CA"/>
        </w:rPr>
        <w:t xml:space="preserve">du nombre limité de Parties au Protocole de Cartagena sur la prévention des risque biotechnologiques qui ont ratifié le </w:t>
      </w:r>
      <w:r w:rsidRPr="005136CC">
        <w:rPr>
          <w:b w:val="0"/>
          <w:bCs w:val="0"/>
          <w:caps w:val="0"/>
          <w:noProof/>
          <w:lang w:val="fr-CA"/>
        </w:rPr>
        <w:t>Protocole additionnel de Nagoya</w:t>
      </w:r>
      <w:r w:rsidR="00C976D0">
        <w:rPr>
          <w:b w:val="0"/>
          <w:bCs w:val="0"/>
          <w:caps w:val="0"/>
          <w:noProof/>
          <w:lang w:val="fr-CA"/>
        </w:rPr>
        <w:t xml:space="preserve"> </w:t>
      </w:r>
      <w:r w:rsidR="00C976D0" w:rsidRPr="00C976D0">
        <w:rPr>
          <w:lang w:val="fr-FR"/>
        </w:rPr>
        <w:t>–</w:t>
      </w:r>
      <w:r w:rsidR="00C976D0">
        <w:rPr>
          <w:lang w:val="fr-FR"/>
        </w:rPr>
        <w:t xml:space="preserve"> </w:t>
      </w:r>
      <w:r w:rsidRPr="005136CC">
        <w:rPr>
          <w:b w:val="0"/>
          <w:bCs w:val="0"/>
          <w:caps w:val="0"/>
          <w:noProof/>
          <w:lang w:val="fr-CA"/>
        </w:rPr>
        <w:t>Kuala Lumpur sur la responsabilité et la réparation</w:t>
      </w:r>
      <w:r>
        <w:rPr>
          <w:b w:val="0"/>
          <w:bCs w:val="0"/>
          <w:caps w:val="0"/>
          <w:noProof/>
          <w:lang w:val="fr-CA"/>
        </w:rPr>
        <w:t xml:space="preserve">, </w:t>
      </w:r>
      <w:r w:rsidRPr="00C976D0">
        <w:rPr>
          <w:b w:val="0"/>
          <w:bCs w:val="0"/>
          <w:caps w:val="0"/>
          <w:noProof/>
          <w:lang w:val="fr-CA"/>
        </w:rPr>
        <w:t>et invite</w:t>
      </w:r>
      <w:r>
        <w:rPr>
          <w:b w:val="0"/>
          <w:bCs w:val="0"/>
          <w:caps w:val="0"/>
          <w:noProof/>
          <w:lang w:val="fr-CA"/>
        </w:rPr>
        <w:t xml:space="preserve"> </w:t>
      </w:r>
      <w:r w:rsidRPr="007422A3">
        <w:rPr>
          <w:b w:val="0"/>
          <w:bCs w:val="0"/>
          <w:caps w:val="0"/>
          <w:noProof/>
          <w:lang w:val="fr-CA"/>
        </w:rPr>
        <w:t>toutes les Parties au Protocole de Cartagena sur la prévention des risques biotechnologiques qui ne l</w:t>
      </w:r>
      <w:r>
        <w:rPr>
          <w:b w:val="0"/>
          <w:bCs w:val="0"/>
          <w:caps w:val="0"/>
          <w:noProof/>
          <w:lang w:val="fr-CA"/>
        </w:rPr>
        <w:t>’</w:t>
      </w:r>
      <w:r w:rsidRPr="007422A3">
        <w:rPr>
          <w:b w:val="0"/>
          <w:bCs w:val="0"/>
          <w:caps w:val="0"/>
          <w:noProof/>
          <w:lang w:val="fr-CA"/>
        </w:rPr>
        <w:t>ont pas encore fait à déposer dès que possible leur instrument de ratification, d</w:t>
      </w:r>
      <w:r>
        <w:rPr>
          <w:b w:val="0"/>
          <w:bCs w:val="0"/>
          <w:caps w:val="0"/>
          <w:noProof/>
          <w:lang w:val="fr-CA"/>
        </w:rPr>
        <w:t>’</w:t>
      </w:r>
      <w:r w:rsidRPr="007422A3">
        <w:rPr>
          <w:b w:val="0"/>
          <w:bCs w:val="0"/>
          <w:caps w:val="0"/>
          <w:noProof/>
          <w:lang w:val="fr-CA"/>
        </w:rPr>
        <w:t>acceptation, d</w:t>
      </w:r>
      <w:r>
        <w:rPr>
          <w:b w:val="0"/>
          <w:bCs w:val="0"/>
          <w:caps w:val="0"/>
          <w:noProof/>
          <w:lang w:val="fr-CA"/>
        </w:rPr>
        <w:t>’</w:t>
      </w:r>
      <w:r w:rsidRPr="007422A3">
        <w:rPr>
          <w:b w:val="0"/>
          <w:bCs w:val="0"/>
          <w:caps w:val="0"/>
          <w:noProof/>
          <w:lang w:val="fr-CA"/>
        </w:rPr>
        <w:t>approbation ou d</w:t>
      </w:r>
      <w:r>
        <w:rPr>
          <w:b w:val="0"/>
          <w:bCs w:val="0"/>
          <w:caps w:val="0"/>
          <w:noProof/>
          <w:lang w:val="fr-CA"/>
        </w:rPr>
        <w:t>’</w:t>
      </w:r>
      <w:r w:rsidRPr="007422A3">
        <w:rPr>
          <w:b w:val="0"/>
          <w:bCs w:val="0"/>
          <w:caps w:val="0"/>
          <w:noProof/>
          <w:lang w:val="fr-CA"/>
        </w:rPr>
        <w:t>adhésion au Protocole additionnel de Nagoya</w:t>
      </w:r>
      <w:r w:rsidR="00717DD1">
        <w:rPr>
          <w:b w:val="0"/>
          <w:bCs w:val="0"/>
          <w:caps w:val="0"/>
          <w:noProof/>
          <w:lang w:val="fr-CA"/>
        </w:rPr>
        <w:t xml:space="preserve"> </w:t>
      </w:r>
      <w:r w:rsidR="00717DD1" w:rsidRPr="00C976D0">
        <w:rPr>
          <w:lang w:val="fr-FR"/>
        </w:rPr>
        <w:t>–</w:t>
      </w:r>
      <w:r w:rsidR="00717DD1">
        <w:rPr>
          <w:lang w:val="fr-FR"/>
        </w:rPr>
        <w:t xml:space="preserve"> </w:t>
      </w:r>
      <w:r w:rsidRPr="007422A3">
        <w:rPr>
          <w:b w:val="0"/>
          <w:bCs w:val="0"/>
          <w:caps w:val="0"/>
          <w:noProof/>
          <w:lang w:val="fr-CA"/>
        </w:rPr>
        <w:t>Kuala Lumpur sur la responsabilité et la réparation</w:t>
      </w:r>
      <w:r>
        <w:rPr>
          <w:b w:val="0"/>
          <w:bCs w:val="0"/>
          <w:caps w:val="0"/>
          <w:noProof/>
          <w:lang w:val="fr-CA"/>
        </w:rPr>
        <w:t>;</w:t>
      </w:r>
    </w:p>
    <w:p w14:paraId="63FE5724" w14:textId="38C2E300" w:rsidR="00F81499" w:rsidRPr="00641BA8" w:rsidRDefault="00F81499" w:rsidP="00F81499">
      <w:pPr>
        <w:pStyle w:val="HEADING"/>
        <w:keepNext w:val="0"/>
        <w:shd w:val="clear" w:color="auto" w:fill="FFFFFF" w:themeFill="background1"/>
        <w:spacing w:before="120"/>
        <w:ind w:firstLine="720"/>
        <w:jc w:val="both"/>
        <w:rPr>
          <w:b w:val="0"/>
          <w:bCs w:val="0"/>
          <w:caps w:val="0"/>
          <w:lang w:val="fr-CA"/>
        </w:rPr>
      </w:pPr>
      <w:r w:rsidRPr="00641BA8">
        <w:rPr>
          <w:b w:val="0"/>
          <w:bCs w:val="0"/>
          <w:noProof/>
          <w:kern w:val="22"/>
          <w:szCs w:val="22"/>
          <w:lang w:val="fr-CA"/>
        </w:rPr>
        <w:t>3.</w:t>
      </w:r>
      <w:r w:rsidRPr="00641BA8">
        <w:rPr>
          <w:b w:val="0"/>
          <w:bCs w:val="0"/>
          <w:noProof/>
          <w:kern w:val="22"/>
          <w:szCs w:val="22"/>
          <w:lang w:val="fr-CA"/>
        </w:rPr>
        <w:tab/>
      </w:r>
      <w:r w:rsidRPr="007422A3">
        <w:rPr>
          <w:b w:val="0"/>
          <w:bCs w:val="0"/>
          <w:i/>
          <w:iCs/>
          <w:caps w:val="0"/>
          <w:noProof/>
          <w:lang w:val="fr-CA"/>
        </w:rPr>
        <w:t xml:space="preserve">Se félicite </w:t>
      </w:r>
      <w:r w:rsidRPr="007422A3">
        <w:rPr>
          <w:b w:val="0"/>
          <w:bCs w:val="0"/>
          <w:caps w:val="0"/>
          <w:noProof/>
          <w:lang w:val="fr-CA"/>
        </w:rPr>
        <w:t>des progrès réalisés par de nombreuses Pa</w:t>
      </w:r>
      <w:r w:rsidR="00C976D0">
        <w:rPr>
          <w:b w:val="0"/>
          <w:bCs w:val="0"/>
          <w:caps w:val="0"/>
          <w:noProof/>
          <w:lang w:val="fr-CA"/>
        </w:rPr>
        <w:t>rties dans la mise en œuvre du P</w:t>
      </w:r>
      <w:r w:rsidRPr="007422A3">
        <w:rPr>
          <w:b w:val="0"/>
          <w:bCs w:val="0"/>
          <w:caps w:val="0"/>
          <w:noProof/>
          <w:lang w:val="fr-CA"/>
        </w:rPr>
        <w:t xml:space="preserve">rotocole additionnel de Nagoya </w:t>
      </w:r>
      <w:r w:rsidR="00717DD1" w:rsidRPr="00C976D0">
        <w:rPr>
          <w:lang w:val="fr-FR"/>
        </w:rPr>
        <w:t>–</w:t>
      </w:r>
      <w:r w:rsidRPr="007422A3">
        <w:rPr>
          <w:b w:val="0"/>
          <w:bCs w:val="0"/>
          <w:caps w:val="0"/>
          <w:noProof/>
          <w:lang w:val="fr-CA"/>
        </w:rPr>
        <w:t xml:space="preserve"> Kuala Lumpur sur la responsabilité et la réparation et in</w:t>
      </w:r>
      <w:r w:rsidR="00C976D0">
        <w:rPr>
          <w:b w:val="0"/>
          <w:bCs w:val="0"/>
          <w:caps w:val="0"/>
          <w:noProof/>
          <w:lang w:val="fr-CA"/>
        </w:rPr>
        <w:t>vite instamment les Parties au P</w:t>
      </w:r>
      <w:r w:rsidRPr="007422A3">
        <w:rPr>
          <w:b w:val="0"/>
          <w:bCs w:val="0"/>
          <w:caps w:val="0"/>
          <w:noProof/>
          <w:lang w:val="fr-CA"/>
        </w:rPr>
        <w:t>roto</w:t>
      </w:r>
      <w:r w:rsidR="00793F85">
        <w:rPr>
          <w:b w:val="0"/>
          <w:bCs w:val="0"/>
          <w:caps w:val="0"/>
          <w:noProof/>
          <w:lang w:val="fr-CA"/>
        </w:rPr>
        <w:t xml:space="preserve">cole additionnel à prendre les mesures </w:t>
      </w:r>
      <w:r w:rsidRPr="007422A3">
        <w:rPr>
          <w:b w:val="0"/>
          <w:bCs w:val="0"/>
          <w:caps w:val="0"/>
          <w:lang w:val="fr-CA"/>
        </w:rPr>
        <w:t>supplémentaires nécessaires à sa mise en œuvre complète et effective</w:t>
      </w:r>
      <w:r>
        <w:rPr>
          <w:b w:val="0"/>
          <w:bCs w:val="0"/>
          <w:caps w:val="0"/>
          <w:lang w:val="fr-CA"/>
        </w:rPr>
        <w:t>;</w:t>
      </w:r>
    </w:p>
    <w:p w14:paraId="2F61E53C" w14:textId="52343FA2" w:rsidR="00F81499" w:rsidRPr="00641BA8" w:rsidRDefault="00F81499" w:rsidP="00F81499">
      <w:pPr>
        <w:pStyle w:val="HEADING"/>
        <w:keepNext w:val="0"/>
        <w:shd w:val="clear" w:color="auto" w:fill="FFFFFF" w:themeFill="background1"/>
        <w:spacing w:before="120"/>
        <w:ind w:firstLine="720"/>
        <w:jc w:val="both"/>
        <w:rPr>
          <w:b w:val="0"/>
          <w:bCs w:val="0"/>
          <w:caps w:val="0"/>
          <w:lang w:val="fr-CA"/>
        </w:rPr>
      </w:pPr>
      <w:r w:rsidRPr="00641BA8">
        <w:rPr>
          <w:b w:val="0"/>
          <w:bCs w:val="0"/>
          <w:kern w:val="22"/>
          <w:szCs w:val="22"/>
          <w:lang w:val="fr-CA"/>
        </w:rPr>
        <w:lastRenderedPageBreak/>
        <w:t>4.</w:t>
      </w:r>
      <w:r w:rsidRPr="00641BA8">
        <w:rPr>
          <w:b w:val="0"/>
          <w:bCs w:val="0"/>
          <w:kern w:val="22"/>
          <w:szCs w:val="22"/>
          <w:lang w:val="fr-CA"/>
        </w:rPr>
        <w:tab/>
      </w:r>
      <w:r w:rsidRPr="007422A3">
        <w:rPr>
          <w:b w:val="0"/>
          <w:bCs w:val="0"/>
          <w:i/>
          <w:iCs/>
          <w:caps w:val="0"/>
          <w:lang w:val="fr-CA"/>
        </w:rPr>
        <w:t>Souligne</w:t>
      </w:r>
      <w:r w:rsidRPr="007422A3">
        <w:rPr>
          <w:b w:val="0"/>
          <w:bCs w:val="0"/>
          <w:caps w:val="0"/>
          <w:lang w:val="fr-CA"/>
        </w:rPr>
        <w:t xml:space="preserve"> l</w:t>
      </w:r>
      <w:r>
        <w:rPr>
          <w:b w:val="0"/>
          <w:bCs w:val="0"/>
          <w:caps w:val="0"/>
          <w:lang w:val="fr-CA"/>
        </w:rPr>
        <w:t>’</w:t>
      </w:r>
      <w:r w:rsidRPr="007422A3">
        <w:rPr>
          <w:b w:val="0"/>
          <w:bCs w:val="0"/>
          <w:caps w:val="0"/>
          <w:lang w:val="fr-CA"/>
        </w:rPr>
        <w:t>importance des activités de sensibilisation et de renforcement des capacités pour soutenir de nouvelles ratifications et la mise en œuvre du Protocole additionnel, comme le reconnaît la décision CP</w:t>
      </w:r>
      <w:r>
        <w:rPr>
          <w:b w:val="0"/>
          <w:bCs w:val="0"/>
          <w:caps w:val="0"/>
          <w:lang w:val="fr-CA"/>
        </w:rPr>
        <w:noBreakHyphen/>
      </w:r>
      <w:r w:rsidRPr="007422A3">
        <w:rPr>
          <w:b w:val="0"/>
          <w:bCs w:val="0"/>
          <w:caps w:val="0"/>
          <w:lang w:val="fr-CA"/>
        </w:rPr>
        <w:t>10/</w:t>
      </w:r>
      <w:r w:rsidR="00717DD1">
        <w:rPr>
          <w:b w:val="0"/>
          <w:bCs w:val="0"/>
          <w:caps w:val="0"/>
          <w:lang w:val="fr-CA"/>
        </w:rPr>
        <w:t>7</w:t>
      </w:r>
      <w:r w:rsidR="00111EB9">
        <w:rPr>
          <w:b w:val="0"/>
          <w:bCs w:val="0"/>
          <w:caps w:val="0"/>
          <w:lang w:val="fr-CA"/>
        </w:rPr>
        <w:t xml:space="preserve"> sur</w:t>
      </w:r>
      <w:r w:rsidRPr="007422A3">
        <w:rPr>
          <w:b w:val="0"/>
          <w:bCs w:val="0"/>
          <w:caps w:val="0"/>
          <w:lang w:val="fr-CA"/>
        </w:rPr>
        <w:t xml:space="preserve"> la </w:t>
      </w:r>
      <w:r w:rsidR="00717DD1">
        <w:rPr>
          <w:b w:val="0"/>
          <w:bCs w:val="0"/>
          <w:caps w:val="0"/>
          <w:lang w:val="fr-CA"/>
        </w:rPr>
        <w:t>quatrième évaluation et examen</w:t>
      </w:r>
      <w:r w:rsidRPr="007422A3">
        <w:rPr>
          <w:b w:val="0"/>
          <w:bCs w:val="0"/>
          <w:caps w:val="0"/>
          <w:lang w:val="fr-CA"/>
        </w:rPr>
        <w:t xml:space="preserve"> </w:t>
      </w:r>
      <w:r w:rsidR="00717DD1">
        <w:rPr>
          <w:b w:val="0"/>
          <w:bCs w:val="0"/>
          <w:caps w:val="0"/>
          <w:lang w:val="fr-CA"/>
        </w:rPr>
        <w:t xml:space="preserve">de l’efficacité </w:t>
      </w:r>
      <w:r w:rsidRPr="007422A3">
        <w:rPr>
          <w:b w:val="0"/>
          <w:bCs w:val="0"/>
          <w:caps w:val="0"/>
          <w:lang w:val="fr-CA"/>
        </w:rPr>
        <w:t>du Protocole de Cartagena</w:t>
      </w:r>
      <w:r w:rsidR="00717DD1">
        <w:rPr>
          <w:b w:val="0"/>
          <w:bCs w:val="0"/>
          <w:caps w:val="0"/>
          <w:lang w:val="fr-CA"/>
        </w:rPr>
        <w:t xml:space="preserve"> et l’évaluation finale du Plan stratégique du Protocole de Cartagena sur la prévention des risques biotechnologiques pour la période 2011-2020</w:t>
      </w:r>
      <w:r w:rsidRPr="00641BA8">
        <w:rPr>
          <w:b w:val="0"/>
          <w:bCs w:val="0"/>
          <w:caps w:val="0"/>
          <w:lang w:val="fr-CA"/>
        </w:rPr>
        <w:t>;</w:t>
      </w:r>
    </w:p>
    <w:p w14:paraId="59A3EA83" w14:textId="092123D3" w:rsidR="00F81499" w:rsidRPr="00641BA8" w:rsidRDefault="00F81499" w:rsidP="00F81499">
      <w:pPr>
        <w:pStyle w:val="HEADING"/>
        <w:keepNext w:val="0"/>
        <w:shd w:val="clear" w:color="auto" w:fill="FFFFFF" w:themeFill="background1"/>
        <w:spacing w:before="120"/>
        <w:ind w:firstLine="720"/>
        <w:jc w:val="both"/>
        <w:rPr>
          <w:b w:val="0"/>
          <w:bCs w:val="0"/>
          <w:caps w:val="0"/>
          <w:noProof/>
          <w:lang w:val="fr-CA"/>
        </w:rPr>
      </w:pPr>
      <w:r w:rsidRPr="00641BA8">
        <w:rPr>
          <w:b w:val="0"/>
          <w:bCs w:val="0"/>
          <w:kern w:val="22"/>
          <w:szCs w:val="22"/>
          <w:lang w:val="fr-CA"/>
        </w:rPr>
        <w:t>5.</w:t>
      </w:r>
      <w:r w:rsidRPr="00641BA8">
        <w:rPr>
          <w:b w:val="0"/>
          <w:bCs w:val="0"/>
          <w:kern w:val="22"/>
          <w:szCs w:val="22"/>
          <w:lang w:val="fr-CA"/>
        </w:rPr>
        <w:tab/>
      </w:r>
      <w:r w:rsidRPr="007422A3">
        <w:rPr>
          <w:b w:val="0"/>
          <w:bCs w:val="0"/>
          <w:i/>
          <w:iCs/>
          <w:caps w:val="0"/>
          <w:lang w:val="fr-CA"/>
        </w:rPr>
        <w:t>Se félicite</w:t>
      </w:r>
      <w:r w:rsidRPr="007422A3">
        <w:rPr>
          <w:b w:val="0"/>
          <w:bCs w:val="0"/>
          <w:caps w:val="0"/>
          <w:lang w:val="fr-CA"/>
        </w:rPr>
        <w:t xml:space="preserve"> de l</w:t>
      </w:r>
      <w:r>
        <w:rPr>
          <w:b w:val="0"/>
          <w:bCs w:val="0"/>
          <w:caps w:val="0"/>
          <w:lang w:val="fr-CA"/>
        </w:rPr>
        <w:t>’</w:t>
      </w:r>
      <w:r w:rsidRPr="007422A3">
        <w:rPr>
          <w:b w:val="0"/>
          <w:bCs w:val="0"/>
          <w:caps w:val="0"/>
          <w:lang w:val="fr-CA"/>
        </w:rPr>
        <w:t xml:space="preserve">objectif relatif au Protocole </w:t>
      </w:r>
      <w:r w:rsidRPr="007422A3">
        <w:rPr>
          <w:b w:val="0"/>
          <w:bCs w:val="0"/>
          <w:caps w:val="0"/>
          <w:noProof/>
          <w:lang w:val="fr-CA"/>
        </w:rPr>
        <w:t>additionnel de Nagoya</w:t>
      </w:r>
      <w:r w:rsidR="00111EB9" w:rsidRPr="007422A3">
        <w:rPr>
          <w:b w:val="0"/>
          <w:bCs w:val="0"/>
          <w:caps w:val="0"/>
          <w:noProof/>
          <w:lang w:val="fr-CA"/>
        </w:rPr>
        <w:t xml:space="preserve"> </w:t>
      </w:r>
      <w:r w:rsidR="00111EB9" w:rsidRPr="00C976D0">
        <w:rPr>
          <w:lang w:val="fr-FR"/>
        </w:rPr>
        <w:t>–</w:t>
      </w:r>
      <w:r w:rsidR="00111EB9" w:rsidRPr="007422A3">
        <w:rPr>
          <w:b w:val="0"/>
          <w:bCs w:val="0"/>
          <w:caps w:val="0"/>
          <w:noProof/>
          <w:lang w:val="fr-CA"/>
        </w:rPr>
        <w:t xml:space="preserve"> </w:t>
      </w:r>
      <w:r w:rsidRPr="007422A3">
        <w:rPr>
          <w:b w:val="0"/>
          <w:bCs w:val="0"/>
          <w:caps w:val="0"/>
          <w:noProof/>
          <w:lang w:val="fr-CA"/>
        </w:rPr>
        <w:t>Kuala Lumpur sur la responsab</w:t>
      </w:r>
      <w:r w:rsidR="00111EB9">
        <w:rPr>
          <w:b w:val="0"/>
          <w:bCs w:val="0"/>
          <w:caps w:val="0"/>
          <w:noProof/>
          <w:lang w:val="fr-CA"/>
        </w:rPr>
        <w:t>ilité et la réparation dans le P</w:t>
      </w:r>
      <w:r w:rsidRPr="007422A3">
        <w:rPr>
          <w:b w:val="0"/>
          <w:bCs w:val="0"/>
          <w:caps w:val="0"/>
          <w:noProof/>
          <w:lang w:val="fr-CA"/>
        </w:rPr>
        <w:t>lan de mise en œuvre du Protocole de Cartagena</w:t>
      </w:r>
      <w:r w:rsidR="00111EB9">
        <w:rPr>
          <w:b w:val="0"/>
          <w:bCs w:val="0"/>
          <w:caps w:val="0"/>
          <w:noProof/>
          <w:lang w:val="fr-CA"/>
        </w:rPr>
        <w:t xml:space="preserve"> sur la prévention des risques biotechnologiques</w:t>
      </w:r>
      <w:r w:rsidR="00111EB9">
        <w:rPr>
          <w:rStyle w:val="FootnoteReference"/>
          <w:b w:val="0"/>
          <w:bCs w:val="0"/>
          <w:caps w:val="0"/>
          <w:noProof/>
          <w:lang w:val="fr-CA"/>
        </w:rPr>
        <w:footnoteReference w:id="3"/>
      </w:r>
      <w:r w:rsidR="00F23DE7">
        <w:rPr>
          <w:b w:val="0"/>
          <w:bCs w:val="0"/>
          <w:caps w:val="0"/>
          <w:noProof/>
          <w:lang w:val="fr-CA"/>
        </w:rPr>
        <w:t xml:space="preserve"> et dans le Plan d’action pour le renforcement des capacités du Protocole de Cartagena sur la prévention des risques biotechnologiques</w:t>
      </w:r>
      <w:r w:rsidR="00F23DE7">
        <w:rPr>
          <w:rStyle w:val="FootnoteReference"/>
          <w:b w:val="0"/>
          <w:bCs w:val="0"/>
          <w:caps w:val="0"/>
          <w:noProof/>
          <w:lang w:val="fr-CA"/>
        </w:rPr>
        <w:footnoteReference w:id="4"/>
      </w:r>
      <w:r>
        <w:rPr>
          <w:b w:val="0"/>
          <w:bCs w:val="0"/>
          <w:caps w:val="0"/>
          <w:noProof/>
          <w:lang w:val="fr-CA"/>
        </w:rPr>
        <w:t>, ai</w:t>
      </w:r>
      <w:r w:rsidR="00F04B50">
        <w:rPr>
          <w:b w:val="0"/>
          <w:bCs w:val="0"/>
          <w:caps w:val="0"/>
          <w:noProof/>
          <w:lang w:val="fr-CA"/>
        </w:rPr>
        <w:t xml:space="preserve">nsi que des activités </w:t>
      </w:r>
      <w:r>
        <w:rPr>
          <w:b w:val="0"/>
          <w:bCs w:val="0"/>
          <w:caps w:val="0"/>
          <w:noProof/>
          <w:lang w:val="fr-CA"/>
        </w:rPr>
        <w:t>de renforcement des capacités</w:t>
      </w:r>
      <w:r w:rsidR="00F04B50">
        <w:rPr>
          <w:b w:val="0"/>
          <w:bCs w:val="0"/>
          <w:caps w:val="0"/>
          <w:noProof/>
          <w:lang w:val="fr-CA"/>
        </w:rPr>
        <w:t xml:space="preserve"> connexes</w:t>
      </w:r>
      <w:r>
        <w:rPr>
          <w:b w:val="0"/>
          <w:bCs w:val="0"/>
          <w:caps w:val="0"/>
          <w:noProof/>
          <w:lang w:val="fr-CA"/>
        </w:rPr>
        <w:t xml:space="preserve">, et </w:t>
      </w:r>
      <w:r w:rsidRPr="0005201A">
        <w:rPr>
          <w:b w:val="0"/>
          <w:bCs w:val="0"/>
          <w:caps w:val="0"/>
          <w:noProof/>
          <w:lang w:val="fr-CA"/>
        </w:rPr>
        <w:t xml:space="preserve">reconnaît </w:t>
      </w:r>
      <w:r>
        <w:rPr>
          <w:b w:val="0"/>
          <w:bCs w:val="0"/>
          <w:caps w:val="0"/>
          <w:noProof/>
          <w:lang w:val="fr-CA"/>
        </w:rPr>
        <w:t xml:space="preserve">que certaines de ces activités visent principalement les Parties au </w:t>
      </w:r>
      <w:r w:rsidRPr="00D85D2F">
        <w:rPr>
          <w:b w:val="0"/>
          <w:bCs w:val="0"/>
          <w:caps w:val="0"/>
          <w:noProof/>
          <w:lang w:val="fr-CA"/>
        </w:rPr>
        <w:t>Protocole additionnel de Nagoya</w:t>
      </w:r>
      <w:r w:rsidR="0005201A" w:rsidRPr="007422A3">
        <w:rPr>
          <w:b w:val="0"/>
          <w:bCs w:val="0"/>
          <w:caps w:val="0"/>
          <w:noProof/>
          <w:lang w:val="fr-CA"/>
        </w:rPr>
        <w:t xml:space="preserve"> </w:t>
      </w:r>
      <w:r w:rsidR="0005201A" w:rsidRPr="00C976D0">
        <w:rPr>
          <w:lang w:val="fr-FR"/>
        </w:rPr>
        <w:t>–</w:t>
      </w:r>
      <w:r w:rsidR="0005201A" w:rsidRPr="007422A3">
        <w:rPr>
          <w:b w:val="0"/>
          <w:bCs w:val="0"/>
          <w:caps w:val="0"/>
          <w:noProof/>
          <w:lang w:val="fr-CA"/>
        </w:rPr>
        <w:t xml:space="preserve"> </w:t>
      </w:r>
      <w:r w:rsidRPr="00D85D2F">
        <w:rPr>
          <w:b w:val="0"/>
          <w:bCs w:val="0"/>
          <w:caps w:val="0"/>
          <w:noProof/>
          <w:lang w:val="fr-CA"/>
        </w:rPr>
        <w:t>Kuala Lumpur sur la responsabilité et la réparation</w:t>
      </w:r>
      <w:r>
        <w:rPr>
          <w:b w:val="0"/>
          <w:bCs w:val="0"/>
          <w:caps w:val="0"/>
          <w:noProof/>
          <w:lang w:val="fr-CA"/>
        </w:rPr>
        <w:t>;</w:t>
      </w:r>
    </w:p>
    <w:p w14:paraId="00689AE1" w14:textId="21674D89" w:rsidR="00F81499" w:rsidRPr="00641BA8" w:rsidRDefault="00F81499" w:rsidP="00F81499">
      <w:pPr>
        <w:pStyle w:val="HEADING"/>
        <w:keepNext w:val="0"/>
        <w:shd w:val="clear" w:color="auto" w:fill="FFFFFF" w:themeFill="background1"/>
        <w:spacing w:before="120"/>
        <w:ind w:firstLine="720"/>
        <w:jc w:val="both"/>
        <w:rPr>
          <w:b w:val="0"/>
          <w:bCs w:val="0"/>
          <w:caps w:val="0"/>
          <w:noProof/>
          <w:lang w:val="fr-CA"/>
        </w:rPr>
      </w:pPr>
      <w:r w:rsidRPr="00641BA8">
        <w:rPr>
          <w:b w:val="0"/>
          <w:bCs w:val="0"/>
          <w:kern w:val="22"/>
          <w:szCs w:val="22"/>
          <w:lang w:val="fr-CA"/>
        </w:rPr>
        <w:t>6.</w:t>
      </w:r>
      <w:r w:rsidRPr="00641BA8">
        <w:rPr>
          <w:b w:val="0"/>
          <w:bCs w:val="0"/>
          <w:kern w:val="22"/>
          <w:szCs w:val="22"/>
          <w:lang w:val="fr-CA"/>
        </w:rPr>
        <w:tab/>
      </w:r>
      <w:r w:rsidRPr="007422A3">
        <w:rPr>
          <w:b w:val="0"/>
          <w:bCs w:val="0"/>
          <w:i/>
          <w:iCs/>
          <w:caps w:val="0"/>
          <w:lang w:val="fr-CA"/>
        </w:rPr>
        <w:t>Rappelle</w:t>
      </w:r>
      <w:r w:rsidRPr="007422A3">
        <w:rPr>
          <w:b w:val="0"/>
          <w:bCs w:val="0"/>
          <w:caps w:val="0"/>
          <w:lang w:val="fr-CA"/>
        </w:rPr>
        <w:t xml:space="preserve"> aux Parties au </w:t>
      </w:r>
      <w:r w:rsidRPr="00497A26">
        <w:rPr>
          <w:b w:val="0"/>
          <w:bCs w:val="0"/>
          <w:caps w:val="0"/>
          <w:lang w:val="fr-CA"/>
        </w:rPr>
        <w:t xml:space="preserve">Protocole </w:t>
      </w:r>
      <w:r w:rsidRPr="00497A26">
        <w:rPr>
          <w:b w:val="0"/>
          <w:bCs w:val="0"/>
          <w:caps w:val="0"/>
          <w:noProof/>
          <w:lang w:val="fr-CA"/>
        </w:rPr>
        <w:t>additionnel de Nagoya</w:t>
      </w:r>
      <w:r w:rsidR="0005201A" w:rsidRPr="007422A3">
        <w:rPr>
          <w:b w:val="0"/>
          <w:bCs w:val="0"/>
          <w:caps w:val="0"/>
          <w:noProof/>
          <w:lang w:val="fr-CA"/>
        </w:rPr>
        <w:t xml:space="preserve"> </w:t>
      </w:r>
      <w:r w:rsidR="0005201A" w:rsidRPr="00C976D0">
        <w:rPr>
          <w:lang w:val="fr-FR"/>
        </w:rPr>
        <w:t>–</w:t>
      </w:r>
      <w:r w:rsidR="0005201A" w:rsidRPr="007422A3">
        <w:rPr>
          <w:b w:val="0"/>
          <w:bCs w:val="0"/>
          <w:caps w:val="0"/>
          <w:noProof/>
          <w:lang w:val="fr-CA"/>
        </w:rPr>
        <w:t xml:space="preserve"> </w:t>
      </w:r>
      <w:r w:rsidRPr="00497A26">
        <w:rPr>
          <w:b w:val="0"/>
          <w:bCs w:val="0"/>
          <w:caps w:val="0"/>
          <w:noProof/>
          <w:lang w:val="fr-CA"/>
        </w:rPr>
        <w:t>Kuala Lumpur sur la responsabilité et la réparation</w:t>
      </w:r>
      <w:r>
        <w:rPr>
          <w:b w:val="0"/>
          <w:bCs w:val="0"/>
          <w:caps w:val="0"/>
          <w:noProof/>
          <w:lang w:val="fr-CA"/>
        </w:rPr>
        <w:t xml:space="preserve"> </w:t>
      </w:r>
      <w:r w:rsidRPr="007422A3">
        <w:rPr>
          <w:b w:val="0"/>
          <w:bCs w:val="0"/>
          <w:caps w:val="0"/>
          <w:noProof/>
          <w:lang w:val="fr-CA"/>
        </w:rPr>
        <w:t>qu</w:t>
      </w:r>
      <w:r>
        <w:rPr>
          <w:b w:val="0"/>
          <w:bCs w:val="0"/>
          <w:caps w:val="0"/>
          <w:noProof/>
          <w:lang w:val="fr-CA"/>
        </w:rPr>
        <w:t>’</w:t>
      </w:r>
      <w:r w:rsidRPr="007422A3">
        <w:rPr>
          <w:b w:val="0"/>
          <w:bCs w:val="0"/>
          <w:caps w:val="0"/>
          <w:noProof/>
          <w:lang w:val="fr-CA"/>
        </w:rPr>
        <w:t>elles doivent désigner une autorité compétente pour exercer les</w:t>
      </w:r>
      <w:r>
        <w:rPr>
          <w:b w:val="0"/>
          <w:bCs w:val="0"/>
          <w:caps w:val="0"/>
          <w:noProof/>
          <w:lang w:val="fr-CA"/>
        </w:rPr>
        <w:t xml:space="preserve"> fonctions énoncées à l’article </w:t>
      </w:r>
      <w:r w:rsidRPr="007422A3">
        <w:rPr>
          <w:b w:val="0"/>
          <w:bCs w:val="0"/>
          <w:caps w:val="0"/>
          <w:noProof/>
          <w:lang w:val="fr-CA"/>
        </w:rPr>
        <w:t>5 du Protocole additionnel et publier des informations sur ces autorités co</w:t>
      </w:r>
      <w:r w:rsidR="00A7268E">
        <w:rPr>
          <w:b w:val="0"/>
          <w:bCs w:val="0"/>
          <w:caps w:val="0"/>
          <w:noProof/>
          <w:lang w:val="fr-CA"/>
        </w:rPr>
        <w:t>mpétentes en utilisant le modèle</w:t>
      </w:r>
      <w:r w:rsidRPr="007422A3">
        <w:rPr>
          <w:b w:val="0"/>
          <w:bCs w:val="0"/>
          <w:caps w:val="0"/>
          <w:noProof/>
          <w:lang w:val="fr-CA"/>
        </w:rPr>
        <w:t xml:space="preserve"> commun disponible à cette fin dans le Centre d</w:t>
      </w:r>
      <w:r>
        <w:rPr>
          <w:b w:val="0"/>
          <w:bCs w:val="0"/>
          <w:caps w:val="0"/>
          <w:noProof/>
          <w:lang w:val="fr-CA"/>
        </w:rPr>
        <w:t>’</w:t>
      </w:r>
      <w:r w:rsidRPr="007422A3">
        <w:rPr>
          <w:b w:val="0"/>
          <w:bCs w:val="0"/>
          <w:caps w:val="0"/>
          <w:noProof/>
          <w:lang w:val="fr-CA"/>
        </w:rPr>
        <w:t>échange pour la prévention des risques biotechnologiques</w:t>
      </w:r>
      <w:r>
        <w:rPr>
          <w:b w:val="0"/>
          <w:bCs w:val="0"/>
          <w:caps w:val="0"/>
          <w:noProof/>
          <w:lang w:val="fr-CA"/>
        </w:rPr>
        <w:t>;</w:t>
      </w:r>
    </w:p>
    <w:p w14:paraId="480A63CF" w14:textId="0D989A49" w:rsidR="00F81499" w:rsidRPr="00641BA8" w:rsidRDefault="00F81499" w:rsidP="00F81499">
      <w:pPr>
        <w:shd w:val="clear" w:color="auto" w:fill="FFFFFF" w:themeFill="background1"/>
        <w:spacing w:before="120"/>
        <w:ind w:firstLine="720"/>
        <w:rPr>
          <w:noProof/>
          <w:lang w:val="fr-CA"/>
        </w:rPr>
      </w:pPr>
      <w:r w:rsidRPr="00641BA8">
        <w:rPr>
          <w:noProof/>
          <w:kern w:val="22"/>
          <w:szCs w:val="22"/>
          <w:lang w:val="fr-CA"/>
        </w:rPr>
        <w:t>7.</w:t>
      </w:r>
      <w:r w:rsidRPr="00641BA8">
        <w:rPr>
          <w:noProof/>
          <w:kern w:val="22"/>
          <w:szCs w:val="22"/>
          <w:lang w:val="fr-CA"/>
        </w:rPr>
        <w:tab/>
      </w:r>
      <w:r w:rsidRPr="007422A3">
        <w:rPr>
          <w:i/>
          <w:iCs/>
          <w:noProof/>
          <w:lang w:val="fr-CA"/>
        </w:rPr>
        <w:t>Se félicite</w:t>
      </w:r>
      <w:r w:rsidRPr="007422A3">
        <w:rPr>
          <w:noProof/>
          <w:lang w:val="fr-CA"/>
        </w:rPr>
        <w:t xml:space="preserve"> de l</w:t>
      </w:r>
      <w:r>
        <w:rPr>
          <w:noProof/>
          <w:lang w:val="fr-CA"/>
        </w:rPr>
        <w:t>’</w:t>
      </w:r>
      <w:r w:rsidRPr="007422A3">
        <w:rPr>
          <w:noProof/>
          <w:lang w:val="fr-CA"/>
        </w:rPr>
        <w:t xml:space="preserve">étude sur les mécanismes de garantie financière (article 10 du </w:t>
      </w:r>
      <w:r w:rsidR="0005201A">
        <w:rPr>
          <w:noProof/>
          <w:lang w:val="fr-CA"/>
        </w:rPr>
        <w:t>Protocole additionnel de Nagoya</w:t>
      </w:r>
      <w:r w:rsidR="0005201A" w:rsidRPr="007422A3">
        <w:rPr>
          <w:noProof/>
          <w:lang w:val="fr-CA"/>
        </w:rPr>
        <w:t xml:space="preserve"> </w:t>
      </w:r>
      <w:r w:rsidR="0005201A" w:rsidRPr="00C976D0">
        <w:rPr>
          <w:b/>
          <w:lang w:val="fr-FR"/>
        </w:rPr>
        <w:t>–</w:t>
      </w:r>
      <w:r w:rsidR="0005201A" w:rsidRPr="007422A3">
        <w:rPr>
          <w:noProof/>
          <w:lang w:val="fr-CA"/>
        </w:rPr>
        <w:t xml:space="preserve"> </w:t>
      </w:r>
      <w:r w:rsidRPr="007422A3">
        <w:rPr>
          <w:noProof/>
          <w:lang w:val="fr-CA"/>
        </w:rPr>
        <w:t>Kuala Lumpur)</w:t>
      </w:r>
      <w:r w:rsidRPr="007422A3">
        <w:rPr>
          <w:rStyle w:val="FootnoteReference"/>
          <w:noProof/>
          <w:lang w:val="fr-CA"/>
        </w:rPr>
        <w:footnoteReference w:id="5"/>
      </w:r>
      <w:r w:rsidR="0069136A">
        <w:rPr>
          <w:noProof/>
          <w:lang w:val="fr-CA"/>
        </w:rPr>
        <w:t>;</w:t>
      </w:r>
    </w:p>
    <w:p w14:paraId="51A3CD46" w14:textId="43C83C33" w:rsidR="00F81499" w:rsidRPr="00641BA8" w:rsidRDefault="00F81499" w:rsidP="00F81499">
      <w:pPr>
        <w:shd w:val="clear" w:color="auto" w:fill="FFFFFF" w:themeFill="background1"/>
        <w:spacing w:before="120"/>
        <w:ind w:firstLine="720"/>
        <w:rPr>
          <w:iCs/>
          <w:lang w:val="fr-CA"/>
        </w:rPr>
      </w:pPr>
      <w:r w:rsidRPr="00641BA8">
        <w:rPr>
          <w:noProof/>
          <w:lang w:val="fr-CA"/>
        </w:rPr>
        <w:t>8.</w:t>
      </w:r>
      <w:r w:rsidRPr="00641BA8">
        <w:rPr>
          <w:noProof/>
          <w:lang w:val="fr-CA"/>
        </w:rPr>
        <w:tab/>
      </w:r>
      <w:r>
        <w:rPr>
          <w:i/>
          <w:noProof/>
          <w:lang w:val="fr-CA"/>
        </w:rPr>
        <w:t xml:space="preserve">Rappelle </w:t>
      </w:r>
      <w:r>
        <w:rPr>
          <w:noProof/>
          <w:lang w:val="fr-CA"/>
        </w:rPr>
        <w:t xml:space="preserve">aux Parties au </w:t>
      </w:r>
      <w:r w:rsidRPr="00F1522E">
        <w:rPr>
          <w:noProof/>
          <w:lang w:val="fr-CA"/>
        </w:rPr>
        <w:t>Protocole additionnel de Nagoya</w:t>
      </w:r>
      <w:r w:rsidR="0005201A" w:rsidRPr="007422A3">
        <w:rPr>
          <w:noProof/>
          <w:lang w:val="fr-CA"/>
        </w:rPr>
        <w:t xml:space="preserve"> </w:t>
      </w:r>
      <w:r w:rsidR="0005201A" w:rsidRPr="00C976D0">
        <w:rPr>
          <w:b/>
          <w:lang w:val="fr-FR"/>
        </w:rPr>
        <w:t>–</w:t>
      </w:r>
      <w:r w:rsidR="0005201A" w:rsidRPr="007422A3">
        <w:rPr>
          <w:noProof/>
          <w:lang w:val="fr-CA"/>
        </w:rPr>
        <w:t xml:space="preserve"> </w:t>
      </w:r>
      <w:r w:rsidRPr="00F1522E">
        <w:rPr>
          <w:noProof/>
          <w:lang w:val="fr-CA"/>
        </w:rPr>
        <w:t>Kuala Lumpur sur la responsabilité et la réparation</w:t>
      </w:r>
      <w:r>
        <w:rPr>
          <w:noProof/>
          <w:lang w:val="fr-CA"/>
        </w:rPr>
        <w:t xml:space="preserve"> le pri</w:t>
      </w:r>
      <w:bookmarkStart w:id="0" w:name="_GoBack"/>
      <w:bookmarkEnd w:id="0"/>
      <w:r>
        <w:rPr>
          <w:noProof/>
          <w:lang w:val="fr-CA"/>
        </w:rPr>
        <w:t>ncipe pollueur</w:t>
      </w:r>
      <w:r>
        <w:rPr>
          <w:noProof/>
          <w:lang w:val="fr-CA"/>
        </w:rPr>
        <w:noBreakHyphen/>
        <w:t xml:space="preserve">payeur et </w:t>
      </w:r>
      <w:r w:rsidRPr="0005201A">
        <w:rPr>
          <w:noProof/>
          <w:lang w:val="fr-CA"/>
        </w:rPr>
        <w:t>encourage les</w:t>
      </w:r>
      <w:r>
        <w:rPr>
          <w:noProof/>
          <w:lang w:val="fr-CA"/>
        </w:rPr>
        <w:t xml:space="preserve"> Parties à tenir compte de ce principe, lorsqu’il y a lieu, lors de l’élaboration de mécanismes de garantie</w:t>
      </w:r>
      <w:r>
        <w:rPr>
          <w:lang w:val="fr-CA"/>
        </w:rPr>
        <w:t xml:space="preserve"> financière;</w:t>
      </w:r>
    </w:p>
    <w:p w14:paraId="1406CCD3" w14:textId="00A38FF5" w:rsidR="00F81499" w:rsidRPr="00641BA8" w:rsidRDefault="00F81499" w:rsidP="00F81499">
      <w:pPr>
        <w:shd w:val="clear" w:color="auto" w:fill="FFFFFF" w:themeFill="background1"/>
        <w:spacing w:before="120" w:after="120"/>
        <w:ind w:firstLine="720"/>
        <w:rPr>
          <w:i/>
          <w:lang w:val="fr-CA"/>
        </w:rPr>
      </w:pPr>
      <w:r w:rsidRPr="00641BA8">
        <w:rPr>
          <w:kern w:val="22"/>
          <w:szCs w:val="22"/>
          <w:lang w:val="fr-CA"/>
        </w:rPr>
        <w:t>9.</w:t>
      </w:r>
      <w:r w:rsidRPr="00641BA8">
        <w:rPr>
          <w:kern w:val="22"/>
          <w:szCs w:val="22"/>
          <w:lang w:val="fr-CA"/>
        </w:rPr>
        <w:tab/>
      </w:r>
      <w:r w:rsidRPr="007422A3">
        <w:rPr>
          <w:i/>
          <w:iCs/>
          <w:lang w:val="fr-CA"/>
        </w:rPr>
        <w:t>Demande</w:t>
      </w:r>
      <w:r w:rsidRPr="007422A3">
        <w:rPr>
          <w:lang w:val="fr-CA"/>
        </w:rPr>
        <w:t xml:space="preserve"> aux Parties au Protocole additionnel et </w:t>
      </w:r>
      <w:r w:rsidRPr="0005201A">
        <w:rPr>
          <w:lang w:val="fr-CA"/>
        </w:rPr>
        <w:t xml:space="preserve">invite </w:t>
      </w:r>
      <w:r w:rsidR="008E29E2">
        <w:rPr>
          <w:lang w:val="fr-CA"/>
        </w:rPr>
        <w:t xml:space="preserve">les autres gouvernements à </w:t>
      </w:r>
      <w:r w:rsidR="00055C7F">
        <w:rPr>
          <w:lang w:val="fr-CA"/>
        </w:rPr>
        <w:t>transmettre</w:t>
      </w:r>
      <w:r w:rsidRPr="007422A3">
        <w:rPr>
          <w:lang w:val="fr-CA"/>
        </w:rPr>
        <w:t xml:space="preserve"> à la Secrétaire exécutive des informations sur les mesures qu</w:t>
      </w:r>
      <w:r>
        <w:rPr>
          <w:lang w:val="fr-CA"/>
        </w:rPr>
        <w:t>’</w:t>
      </w:r>
      <w:r w:rsidRPr="007422A3">
        <w:rPr>
          <w:lang w:val="fr-CA"/>
        </w:rPr>
        <w:t>ils ont mises en place pour assurer une garantie financière en cas de dommages causés par des organismes vivants modifiés, en particulier lorsqu</w:t>
      </w:r>
      <w:r>
        <w:rPr>
          <w:lang w:val="fr-CA"/>
        </w:rPr>
        <w:t>’</w:t>
      </w:r>
      <w:r w:rsidRPr="007422A3">
        <w:rPr>
          <w:lang w:val="fr-CA"/>
        </w:rPr>
        <w:t>ils ont déclaré avoir mis en place de telles mesures dans leur quatrième rapport national</w:t>
      </w:r>
      <w:r>
        <w:rPr>
          <w:lang w:val="fr-CA"/>
        </w:rPr>
        <w:t>;</w:t>
      </w:r>
    </w:p>
    <w:p w14:paraId="63EC7EAF" w14:textId="4C40A405" w:rsidR="00F81499" w:rsidRPr="00641BA8" w:rsidRDefault="00F81499" w:rsidP="00F81499">
      <w:pPr>
        <w:shd w:val="clear" w:color="auto" w:fill="FFFFFF" w:themeFill="background1"/>
        <w:spacing w:before="120" w:after="120"/>
        <w:ind w:firstLine="720"/>
        <w:rPr>
          <w:i/>
          <w:lang w:val="fr-CA"/>
        </w:rPr>
      </w:pPr>
      <w:r w:rsidRPr="00641BA8">
        <w:rPr>
          <w:kern w:val="22"/>
          <w:szCs w:val="22"/>
          <w:lang w:val="fr-CA"/>
        </w:rPr>
        <w:t>10.</w:t>
      </w:r>
      <w:r w:rsidRPr="00641BA8">
        <w:rPr>
          <w:kern w:val="22"/>
          <w:szCs w:val="22"/>
          <w:lang w:val="fr-CA"/>
        </w:rPr>
        <w:tab/>
      </w:r>
      <w:r w:rsidRPr="007422A3">
        <w:rPr>
          <w:i/>
          <w:lang w:val="fr-CA"/>
        </w:rPr>
        <w:t>Prie</w:t>
      </w:r>
      <w:r w:rsidRPr="007422A3">
        <w:rPr>
          <w:iCs/>
          <w:lang w:val="fr-CA"/>
        </w:rPr>
        <w:t xml:space="preserve"> la Secrétaire exécutive de ra</w:t>
      </w:r>
      <w:r w:rsidR="008E29E2">
        <w:rPr>
          <w:iCs/>
          <w:lang w:val="fr-CA"/>
        </w:rPr>
        <w:t>ssembler les informations communiqué</w:t>
      </w:r>
      <w:r w:rsidRPr="007422A3">
        <w:rPr>
          <w:iCs/>
          <w:lang w:val="fr-CA"/>
        </w:rPr>
        <w:t>e</w:t>
      </w:r>
      <w:r w:rsidR="008E29E2">
        <w:rPr>
          <w:iCs/>
          <w:lang w:val="fr-CA"/>
        </w:rPr>
        <w:t>s en application du paragraphe 9</w:t>
      </w:r>
      <w:r w:rsidRPr="007422A3">
        <w:rPr>
          <w:iCs/>
          <w:lang w:val="fr-CA"/>
        </w:rPr>
        <w:t xml:space="preserve"> et de les soumettre à l</w:t>
      </w:r>
      <w:r>
        <w:rPr>
          <w:iCs/>
          <w:lang w:val="fr-CA"/>
        </w:rPr>
        <w:t>’</w:t>
      </w:r>
      <w:r w:rsidRPr="007422A3">
        <w:rPr>
          <w:iCs/>
          <w:lang w:val="fr-CA"/>
        </w:rPr>
        <w:t>examen de la Conférence des Parties siégeant en tant que réunion des Parties au Protocole à sa onzième réunion</w:t>
      </w:r>
      <w:r>
        <w:rPr>
          <w:iCs/>
          <w:lang w:val="fr-CA"/>
        </w:rPr>
        <w:t>;</w:t>
      </w:r>
    </w:p>
    <w:p w14:paraId="02C4FD15" w14:textId="42CA54FF" w:rsidR="00F81499" w:rsidRPr="00641BA8" w:rsidRDefault="00F81499" w:rsidP="00F81499">
      <w:pPr>
        <w:shd w:val="clear" w:color="auto" w:fill="FFFFFF" w:themeFill="background1"/>
        <w:spacing w:before="120" w:after="120"/>
        <w:ind w:firstLine="720"/>
        <w:rPr>
          <w:iCs/>
          <w:noProof/>
          <w:lang w:val="fr-CA"/>
        </w:rPr>
      </w:pPr>
      <w:r w:rsidRPr="00641BA8">
        <w:rPr>
          <w:kern w:val="22"/>
          <w:szCs w:val="22"/>
          <w:lang w:val="fr-CA"/>
        </w:rPr>
        <w:t>11.</w:t>
      </w:r>
      <w:r w:rsidRPr="00641BA8">
        <w:rPr>
          <w:kern w:val="22"/>
          <w:szCs w:val="22"/>
          <w:lang w:val="fr-CA"/>
        </w:rPr>
        <w:tab/>
      </w:r>
      <w:r w:rsidRPr="007422A3">
        <w:rPr>
          <w:i/>
          <w:lang w:val="fr-CA"/>
        </w:rPr>
        <w:t>Se félicite</w:t>
      </w:r>
      <w:r w:rsidRPr="007422A3">
        <w:rPr>
          <w:iCs/>
          <w:lang w:val="fr-CA"/>
        </w:rPr>
        <w:t xml:space="preserve"> de l</w:t>
      </w:r>
      <w:r>
        <w:rPr>
          <w:iCs/>
          <w:lang w:val="fr-CA"/>
        </w:rPr>
        <w:t>’</w:t>
      </w:r>
      <w:r w:rsidRPr="007422A3">
        <w:rPr>
          <w:iCs/>
          <w:lang w:val="fr-CA"/>
        </w:rPr>
        <w:t>inclusion de questions sur le Prot</w:t>
      </w:r>
      <w:r w:rsidR="00985316">
        <w:rPr>
          <w:iCs/>
          <w:lang w:val="fr-CA"/>
        </w:rPr>
        <w:t>ocole additionnel dans le modèle</w:t>
      </w:r>
      <w:r w:rsidR="00055C7F">
        <w:rPr>
          <w:iCs/>
          <w:lang w:val="fr-CA"/>
        </w:rPr>
        <w:t xml:space="preserve"> du</w:t>
      </w:r>
      <w:r w:rsidR="00985316">
        <w:rPr>
          <w:iCs/>
          <w:lang w:val="fr-CA"/>
        </w:rPr>
        <w:t xml:space="preserve"> cinquième rapport national</w:t>
      </w:r>
      <w:r w:rsidR="00985316">
        <w:rPr>
          <w:rStyle w:val="FootnoteReference"/>
          <w:iCs/>
          <w:lang w:val="fr-CA"/>
        </w:rPr>
        <w:footnoteReference w:id="6"/>
      </w:r>
      <w:r w:rsidRPr="007422A3">
        <w:rPr>
          <w:iCs/>
          <w:lang w:val="fr-CA"/>
        </w:rPr>
        <w:t xml:space="preserve">, et </w:t>
      </w:r>
      <w:r w:rsidRPr="0005201A">
        <w:rPr>
          <w:lang w:val="fr-CA"/>
        </w:rPr>
        <w:t>demande</w:t>
      </w:r>
      <w:r w:rsidRPr="0005201A">
        <w:rPr>
          <w:iCs/>
          <w:lang w:val="fr-CA"/>
        </w:rPr>
        <w:t xml:space="preserve"> aux</w:t>
      </w:r>
      <w:r w:rsidRPr="007422A3">
        <w:rPr>
          <w:iCs/>
          <w:lang w:val="fr-CA"/>
        </w:rPr>
        <w:t xml:space="preserve"> Parties au Protocole additionnel et</w:t>
      </w:r>
      <w:r w:rsidRPr="007422A3">
        <w:rPr>
          <w:i/>
          <w:lang w:val="fr-CA"/>
        </w:rPr>
        <w:t xml:space="preserve"> </w:t>
      </w:r>
      <w:r w:rsidRPr="0005201A">
        <w:rPr>
          <w:lang w:val="fr-CA"/>
        </w:rPr>
        <w:t>invite</w:t>
      </w:r>
      <w:r w:rsidRPr="0005201A">
        <w:rPr>
          <w:iCs/>
          <w:lang w:val="fr-CA"/>
        </w:rPr>
        <w:t xml:space="preserve"> les</w:t>
      </w:r>
      <w:r w:rsidRPr="007422A3">
        <w:rPr>
          <w:iCs/>
          <w:lang w:val="fr-CA"/>
        </w:rPr>
        <w:t xml:space="preserve"> autres </w:t>
      </w:r>
      <w:r w:rsidRPr="007422A3">
        <w:rPr>
          <w:iCs/>
          <w:noProof/>
          <w:lang w:val="fr-CA"/>
        </w:rPr>
        <w:t>gouvernements à répondre à ces questions</w:t>
      </w:r>
      <w:r w:rsidRPr="00641BA8">
        <w:rPr>
          <w:iCs/>
          <w:noProof/>
          <w:lang w:val="fr-CA"/>
        </w:rPr>
        <w:t>;</w:t>
      </w:r>
    </w:p>
    <w:p w14:paraId="5A2DCB9F" w14:textId="73D1C6D0" w:rsidR="00F81499" w:rsidRPr="00641BA8" w:rsidRDefault="00F81499" w:rsidP="00F81499">
      <w:pPr>
        <w:shd w:val="clear" w:color="auto" w:fill="FFFFFF" w:themeFill="background1"/>
        <w:spacing w:before="120" w:after="120"/>
        <w:ind w:firstLine="720"/>
        <w:rPr>
          <w:rFonts w:asciiTheme="majorBidi" w:hAnsiTheme="majorBidi" w:cstheme="majorBidi"/>
          <w:b/>
          <w:bCs/>
          <w:snapToGrid w:val="0"/>
          <w:kern w:val="22"/>
          <w:lang w:val="fr-CA"/>
        </w:rPr>
      </w:pPr>
      <w:r w:rsidRPr="00641BA8">
        <w:rPr>
          <w:noProof/>
          <w:kern w:val="22"/>
          <w:szCs w:val="22"/>
          <w:lang w:val="fr-CA"/>
        </w:rPr>
        <w:t>12.</w:t>
      </w:r>
      <w:r w:rsidRPr="00641BA8">
        <w:rPr>
          <w:noProof/>
          <w:kern w:val="22"/>
          <w:szCs w:val="22"/>
          <w:lang w:val="fr-CA"/>
        </w:rPr>
        <w:tab/>
      </w:r>
      <w:r w:rsidRPr="007422A3">
        <w:rPr>
          <w:i/>
          <w:noProof/>
          <w:lang w:val="fr-CA"/>
        </w:rPr>
        <w:t>Rappelle</w:t>
      </w:r>
      <w:r w:rsidRPr="007422A3">
        <w:rPr>
          <w:iCs/>
          <w:noProof/>
          <w:lang w:val="fr-CA"/>
        </w:rPr>
        <w:t xml:space="preserve"> l</w:t>
      </w:r>
      <w:r>
        <w:rPr>
          <w:iCs/>
          <w:noProof/>
          <w:lang w:val="fr-CA"/>
        </w:rPr>
        <w:t>’article </w:t>
      </w:r>
      <w:r w:rsidRPr="007422A3">
        <w:rPr>
          <w:iCs/>
          <w:noProof/>
          <w:lang w:val="fr-CA"/>
        </w:rPr>
        <w:t>13 du Protocole additionnel de Nagoya</w:t>
      </w:r>
      <w:r w:rsidR="0005201A" w:rsidRPr="007422A3">
        <w:rPr>
          <w:noProof/>
          <w:lang w:val="fr-CA"/>
        </w:rPr>
        <w:t xml:space="preserve"> </w:t>
      </w:r>
      <w:r w:rsidR="0005201A" w:rsidRPr="00C976D0">
        <w:rPr>
          <w:b/>
          <w:lang w:val="fr-FR"/>
        </w:rPr>
        <w:t>–</w:t>
      </w:r>
      <w:r w:rsidR="0005201A" w:rsidRPr="007422A3">
        <w:rPr>
          <w:noProof/>
          <w:lang w:val="fr-CA"/>
        </w:rPr>
        <w:t xml:space="preserve"> </w:t>
      </w:r>
      <w:r w:rsidRPr="007422A3">
        <w:rPr>
          <w:iCs/>
          <w:noProof/>
          <w:lang w:val="fr-CA"/>
        </w:rPr>
        <w:t>Kuala Lumpur sur la responsabilité et la réparation et décide que la pr</w:t>
      </w:r>
      <w:r w:rsidR="00F23DE7">
        <w:rPr>
          <w:iCs/>
          <w:noProof/>
          <w:lang w:val="fr-CA"/>
        </w:rPr>
        <w:t xml:space="preserve">emière évaluation et </w:t>
      </w:r>
      <w:r w:rsidRPr="007422A3">
        <w:rPr>
          <w:iCs/>
          <w:noProof/>
          <w:lang w:val="fr-CA"/>
        </w:rPr>
        <w:t>examen de l</w:t>
      </w:r>
      <w:r>
        <w:rPr>
          <w:iCs/>
          <w:noProof/>
          <w:lang w:val="fr-CA"/>
        </w:rPr>
        <w:t>’</w:t>
      </w:r>
      <w:r w:rsidRPr="007422A3">
        <w:rPr>
          <w:iCs/>
          <w:noProof/>
          <w:lang w:val="fr-CA"/>
        </w:rPr>
        <w:t>efficacité</w:t>
      </w:r>
      <w:r w:rsidR="00055C7F">
        <w:rPr>
          <w:iCs/>
          <w:noProof/>
          <w:lang w:val="fr-CA"/>
        </w:rPr>
        <w:t xml:space="preserve"> du Protocole additionnel sera</w:t>
      </w:r>
      <w:r w:rsidR="0006388F">
        <w:rPr>
          <w:iCs/>
          <w:noProof/>
          <w:lang w:val="fr-CA"/>
        </w:rPr>
        <w:t xml:space="preserve"> réalisée</w:t>
      </w:r>
      <w:r w:rsidRPr="007422A3">
        <w:rPr>
          <w:iCs/>
          <w:noProof/>
          <w:lang w:val="fr-CA"/>
        </w:rPr>
        <w:t xml:space="preserve"> dans le cadre de la cinquième évaluation</w:t>
      </w:r>
      <w:r w:rsidR="00F23DE7">
        <w:rPr>
          <w:iCs/>
          <w:lang w:val="fr-CA"/>
        </w:rPr>
        <w:t xml:space="preserve"> et </w:t>
      </w:r>
      <w:r w:rsidRPr="007422A3">
        <w:rPr>
          <w:iCs/>
          <w:lang w:val="fr-CA"/>
        </w:rPr>
        <w:t>examen de l</w:t>
      </w:r>
      <w:r>
        <w:rPr>
          <w:iCs/>
          <w:lang w:val="fr-CA"/>
        </w:rPr>
        <w:t>’</w:t>
      </w:r>
      <w:r w:rsidRPr="007422A3">
        <w:rPr>
          <w:iCs/>
          <w:lang w:val="fr-CA"/>
        </w:rPr>
        <w:t>efficacité du Protocole de Cartagena</w:t>
      </w:r>
      <w:r>
        <w:rPr>
          <w:iCs/>
          <w:lang w:val="fr-CA"/>
        </w:rPr>
        <w:t>.</w:t>
      </w:r>
    </w:p>
    <w:p w14:paraId="29E9670F" w14:textId="77777777" w:rsidR="00F81499" w:rsidRPr="006475C3" w:rsidRDefault="00F81499" w:rsidP="00F81499">
      <w:pPr>
        <w:shd w:val="clear" w:color="auto" w:fill="FFFFFF" w:themeFill="background1"/>
        <w:spacing w:before="120" w:after="120"/>
        <w:ind w:firstLine="720"/>
        <w:rPr>
          <w:rFonts w:asciiTheme="majorBidi" w:hAnsiTheme="majorBidi" w:cstheme="majorBidi"/>
          <w:b/>
          <w:bCs/>
          <w:snapToGrid w:val="0"/>
          <w:kern w:val="22"/>
          <w:lang w:val="fr-CA"/>
        </w:rPr>
      </w:pPr>
    </w:p>
    <w:p w14:paraId="7A238230" w14:textId="0E0561E8" w:rsidR="00F81499" w:rsidRPr="0006388F" w:rsidRDefault="0006388F" w:rsidP="00F81499">
      <w:pPr>
        <w:jc w:val="center"/>
        <w:rPr>
          <w:lang w:val="en-US"/>
        </w:rPr>
      </w:pPr>
      <w:r>
        <w:rPr>
          <w:lang w:val="en-US"/>
        </w:rPr>
        <w:t>_________</w:t>
      </w:r>
    </w:p>
    <w:p w14:paraId="3093D971" w14:textId="592DA469" w:rsidR="00B3369F" w:rsidRPr="00C9161D" w:rsidRDefault="00B3369F" w:rsidP="00BF048B">
      <w:pPr>
        <w:jc w:val="center"/>
      </w:pPr>
    </w:p>
    <w:sectPr w:rsidR="00B3369F" w:rsidRPr="00C9161D" w:rsidSect="00FB5618">
      <w:headerReference w:type="even" r:id="rId15"/>
      <w:headerReference w:type="default" r:id="rId16"/>
      <w:footerReference w:type="even" r:id="rId17"/>
      <w:footerReference w:type="default" r:id="rId18"/>
      <w:headerReference w:type="first" r:id="rId19"/>
      <w:footerReference w:type="first" r:id="rId20"/>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FF5F7" w14:textId="77777777" w:rsidR="0007723D" w:rsidRDefault="0007723D" w:rsidP="00CF1848">
      <w:r>
        <w:separator/>
      </w:r>
    </w:p>
  </w:endnote>
  <w:endnote w:type="continuationSeparator" w:id="0">
    <w:p w14:paraId="2718652F" w14:textId="77777777" w:rsidR="0007723D" w:rsidRDefault="0007723D" w:rsidP="00CF1848">
      <w:r>
        <w:continuationSeparator/>
      </w:r>
    </w:p>
  </w:endnote>
  <w:endnote w:type="continuationNotice" w:id="1">
    <w:p w14:paraId="73A3F311" w14:textId="77777777" w:rsidR="0007723D" w:rsidRDefault="00077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6B37C" w14:textId="77777777" w:rsidR="008670C8" w:rsidRDefault="008670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2BFEA" w14:textId="77777777" w:rsidR="008670C8" w:rsidRDefault="008670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BA79E" w14:textId="77777777" w:rsidR="008670C8" w:rsidRDefault="008670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55A4E" w14:textId="77777777" w:rsidR="0007723D" w:rsidRDefault="0007723D" w:rsidP="00CF1848">
      <w:r>
        <w:separator/>
      </w:r>
    </w:p>
  </w:footnote>
  <w:footnote w:type="continuationSeparator" w:id="0">
    <w:p w14:paraId="2DBDB54C" w14:textId="77777777" w:rsidR="0007723D" w:rsidRDefault="0007723D" w:rsidP="00CF1848">
      <w:r>
        <w:continuationSeparator/>
      </w:r>
    </w:p>
  </w:footnote>
  <w:footnote w:type="continuationNotice" w:id="1">
    <w:p w14:paraId="0F3AF734" w14:textId="77777777" w:rsidR="0007723D" w:rsidRDefault="0007723D"/>
  </w:footnote>
  <w:footnote w:id="2">
    <w:p w14:paraId="3F46602D" w14:textId="77777777" w:rsidR="00F81499" w:rsidRPr="000A593E" w:rsidRDefault="00F81499" w:rsidP="00F81499">
      <w:pPr>
        <w:pStyle w:val="FootnoteText"/>
        <w:ind w:firstLine="0"/>
        <w:rPr>
          <w:lang w:val="fr-CA"/>
        </w:rPr>
      </w:pPr>
      <w:r w:rsidRPr="000A593E">
        <w:rPr>
          <w:rStyle w:val="FootnoteReference"/>
          <w:lang w:val="fr-CA"/>
        </w:rPr>
        <w:footnoteRef/>
      </w:r>
      <w:r w:rsidRPr="000A593E">
        <w:rPr>
          <w:vertAlign w:val="superscript"/>
          <w:lang w:val="fr-CA"/>
        </w:rPr>
        <w:t xml:space="preserve"> </w:t>
      </w:r>
      <w:r w:rsidRPr="000A593E">
        <w:rPr>
          <w:lang w:val="fr-CA"/>
        </w:rPr>
        <w:t xml:space="preserve"> </w:t>
      </w:r>
      <w:r>
        <w:rPr>
          <w:lang w:val="fr-CA"/>
        </w:rPr>
        <w:t>Conformément au paragraphe </w:t>
      </w:r>
      <w:r w:rsidRPr="000A593E">
        <w:rPr>
          <w:lang w:val="fr-CA"/>
        </w:rPr>
        <w:t>1 de l</w:t>
      </w:r>
      <w:r>
        <w:rPr>
          <w:lang w:val="fr-CA"/>
        </w:rPr>
        <w:t>’article </w:t>
      </w:r>
      <w:r w:rsidRPr="000A593E">
        <w:rPr>
          <w:lang w:val="fr-CA"/>
        </w:rPr>
        <w:t>14 du Protocole additionne</w:t>
      </w:r>
      <w:r>
        <w:rPr>
          <w:lang w:val="fr-CA"/>
        </w:rPr>
        <w:t>l et sous réserve du paragraphe </w:t>
      </w:r>
      <w:r w:rsidRPr="000A593E">
        <w:rPr>
          <w:lang w:val="fr-CA"/>
        </w:rPr>
        <w:t>2 de l</w:t>
      </w:r>
      <w:r>
        <w:rPr>
          <w:lang w:val="fr-CA"/>
        </w:rPr>
        <w:t>’article </w:t>
      </w:r>
      <w:r w:rsidRPr="000A593E">
        <w:rPr>
          <w:lang w:val="fr-CA"/>
        </w:rPr>
        <w:t xml:space="preserve">32 de la Convention, la Conférence des Parties siégeant en tant que réunion des Parties au Protocole fait office de réunion des Parties au Protocole additionnel. En conséquence, la présente décision a été prise par les Parties au Protocole additionnel. </w:t>
      </w:r>
    </w:p>
  </w:footnote>
  <w:footnote w:id="3">
    <w:p w14:paraId="60DD77EB" w14:textId="2F6F5CCE" w:rsidR="00111EB9" w:rsidRPr="00111EB9" w:rsidRDefault="00111EB9" w:rsidP="00111EB9">
      <w:pPr>
        <w:pStyle w:val="FootnoteText"/>
        <w:ind w:firstLine="0"/>
        <w:rPr>
          <w:lang w:val="fr-FR"/>
        </w:rPr>
      </w:pPr>
      <w:r>
        <w:rPr>
          <w:rStyle w:val="FootnoteReference"/>
        </w:rPr>
        <w:footnoteRef/>
      </w:r>
      <w:r w:rsidRPr="00111EB9">
        <w:rPr>
          <w:lang w:val="fr-FR"/>
        </w:rPr>
        <w:t xml:space="preserve"> </w:t>
      </w:r>
      <w:r>
        <w:rPr>
          <w:lang w:val="fr-FR"/>
        </w:rPr>
        <w:t>Annexe à la décision CP-10/3.</w:t>
      </w:r>
    </w:p>
  </w:footnote>
  <w:footnote w:id="4">
    <w:p w14:paraId="57680947" w14:textId="5BB60CA6" w:rsidR="00F23DE7" w:rsidRPr="00F23DE7" w:rsidRDefault="00F23DE7" w:rsidP="0031392D">
      <w:pPr>
        <w:pStyle w:val="FootnoteText"/>
        <w:ind w:firstLine="0"/>
        <w:rPr>
          <w:lang w:val="fr-FR"/>
        </w:rPr>
      </w:pPr>
      <w:r>
        <w:rPr>
          <w:rStyle w:val="FootnoteReference"/>
        </w:rPr>
        <w:footnoteRef/>
      </w:r>
      <w:r w:rsidRPr="00F23DE7">
        <w:rPr>
          <w:lang w:val="fr-FR"/>
        </w:rPr>
        <w:t xml:space="preserve"> </w:t>
      </w:r>
      <w:r w:rsidR="0031392D">
        <w:rPr>
          <w:lang w:val="fr-FR"/>
        </w:rPr>
        <w:t>Annexe à la décision CP-10/4.</w:t>
      </w:r>
    </w:p>
  </w:footnote>
  <w:footnote w:id="5">
    <w:p w14:paraId="09E47831" w14:textId="6490E324" w:rsidR="00F81499" w:rsidRPr="000A593E" w:rsidRDefault="00F81499" w:rsidP="00F81499">
      <w:pPr>
        <w:pStyle w:val="FootnoteText"/>
        <w:ind w:firstLine="0"/>
        <w:rPr>
          <w:lang w:val="fr-CA"/>
        </w:rPr>
      </w:pPr>
      <w:r w:rsidRPr="000A593E">
        <w:rPr>
          <w:rStyle w:val="FootnoteReference"/>
          <w:lang w:val="fr-CA"/>
        </w:rPr>
        <w:footnoteRef/>
      </w:r>
      <w:r w:rsidRPr="000A593E">
        <w:rPr>
          <w:vertAlign w:val="superscript"/>
          <w:lang w:val="fr-CA"/>
        </w:rPr>
        <w:t xml:space="preserve">  </w:t>
      </w:r>
      <w:r w:rsidRPr="000A593E">
        <w:rPr>
          <w:lang w:val="fr-CA"/>
        </w:rPr>
        <w:t>Disponible dans le document</w:t>
      </w:r>
      <w:r w:rsidR="0069136A" w:rsidRPr="0069136A">
        <w:rPr>
          <w:lang w:val="fr-FR"/>
        </w:rPr>
        <w:t xml:space="preserve"> </w:t>
      </w:r>
      <w:r w:rsidR="0069136A" w:rsidRPr="0069136A">
        <w:rPr>
          <w:lang w:val="fr-FR"/>
        </w:rPr>
        <w:t>CBD/CP/MOP/10/INF/1</w:t>
      </w:r>
      <w:r w:rsidR="0069136A">
        <w:rPr>
          <w:lang w:val="fr-FR"/>
        </w:rPr>
        <w:t>.</w:t>
      </w:r>
      <w:r w:rsidRPr="000A593E">
        <w:rPr>
          <w:lang w:val="fr-CA"/>
        </w:rPr>
        <w:t xml:space="preserve"> Le résumé de l</w:t>
      </w:r>
      <w:r>
        <w:rPr>
          <w:lang w:val="fr-CA"/>
        </w:rPr>
        <w:t>’</w:t>
      </w:r>
      <w:r w:rsidRPr="000A593E">
        <w:rPr>
          <w:lang w:val="fr-CA"/>
        </w:rPr>
        <w:t>étude est disponible dans les six langues officielles des Nations Unies dans l</w:t>
      </w:r>
      <w:r>
        <w:rPr>
          <w:lang w:val="fr-CA"/>
        </w:rPr>
        <w:t>’</w:t>
      </w:r>
      <w:r w:rsidRPr="000A593E">
        <w:rPr>
          <w:lang w:val="fr-CA"/>
        </w:rPr>
        <w:t>annex</w:t>
      </w:r>
      <w:r w:rsidR="0069136A">
        <w:rPr>
          <w:lang w:val="fr-CA"/>
        </w:rPr>
        <w:t>e a</w:t>
      </w:r>
      <w:r>
        <w:rPr>
          <w:lang w:val="fr-CA"/>
        </w:rPr>
        <w:t>u document CBD/CP/MOP/10/9.</w:t>
      </w:r>
    </w:p>
  </w:footnote>
  <w:footnote w:id="6">
    <w:p w14:paraId="306DA7D7" w14:textId="3724E48E" w:rsidR="00985316" w:rsidRPr="00985316" w:rsidRDefault="00985316" w:rsidP="00985316">
      <w:pPr>
        <w:pStyle w:val="FootnoteText"/>
        <w:ind w:firstLine="0"/>
        <w:rPr>
          <w:lang w:val="fr-FR"/>
        </w:rPr>
      </w:pPr>
      <w:r>
        <w:rPr>
          <w:rStyle w:val="FootnoteReference"/>
        </w:rPr>
        <w:footnoteRef/>
      </w:r>
      <w:r>
        <w:t xml:space="preserve"> Voir la décision CP-10/9.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637E62BF" w:rsidR="00534681" w:rsidRPr="00134846" w:rsidRDefault="00F01042" w:rsidP="00534681">
        <w:pPr>
          <w:pStyle w:val="Header"/>
          <w:rPr>
            <w:lang w:val="fr-FR"/>
          </w:rPr>
        </w:pPr>
        <w:r>
          <w:rPr>
            <w:lang w:val="fr-FR"/>
          </w:rPr>
          <w:t>CBD/CP/MOP/DEC/10/13</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793F85">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029F1973" w:rsidR="009505C9" w:rsidRPr="00134846" w:rsidRDefault="00F01042" w:rsidP="009505C9">
        <w:pPr>
          <w:pStyle w:val="Header"/>
          <w:jc w:val="right"/>
          <w:rPr>
            <w:lang w:val="fr-FR"/>
          </w:rPr>
        </w:pPr>
        <w:r>
          <w:rPr>
            <w:lang w:val="fr-FR"/>
          </w:rPr>
          <w:t>CBD/CP/MOP/DEC/10/13</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81499">
      <w:rPr>
        <w:noProof/>
        <w:lang w:val="fr-FR"/>
      </w:rPr>
      <w:t>3</w:t>
    </w:r>
    <w:r>
      <w:rPr>
        <w:noProof/>
      </w:rPr>
      <w:fldChar w:fldCharType="end"/>
    </w:r>
  </w:p>
  <w:p w14:paraId="16137B8A" w14:textId="77777777" w:rsidR="009505C9" w:rsidRPr="00134846" w:rsidRDefault="009505C9">
    <w:pPr>
      <w:pStyle w:val="Header"/>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F61CA" w14:textId="77777777" w:rsidR="00D0046A" w:rsidRDefault="00D004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7E2D"/>
    <w:rsid w:val="00020A25"/>
    <w:rsid w:val="00027E8E"/>
    <w:rsid w:val="00045E91"/>
    <w:rsid w:val="0005201A"/>
    <w:rsid w:val="00055C7F"/>
    <w:rsid w:val="00057512"/>
    <w:rsid w:val="0006388F"/>
    <w:rsid w:val="0007171B"/>
    <w:rsid w:val="0007723D"/>
    <w:rsid w:val="0008309B"/>
    <w:rsid w:val="00086D5C"/>
    <w:rsid w:val="000C64C2"/>
    <w:rsid w:val="000E673A"/>
    <w:rsid w:val="000F74F5"/>
    <w:rsid w:val="00105372"/>
    <w:rsid w:val="00111EB9"/>
    <w:rsid w:val="001312AD"/>
    <w:rsid w:val="00131E7A"/>
    <w:rsid w:val="00134846"/>
    <w:rsid w:val="00172AF6"/>
    <w:rsid w:val="00176CEE"/>
    <w:rsid w:val="00186DD8"/>
    <w:rsid w:val="0019697D"/>
    <w:rsid w:val="001A2FEF"/>
    <w:rsid w:val="001B13FE"/>
    <w:rsid w:val="001C1DB2"/>
    <w:rsid w:val="00201591"/>
    <w:rsid w:val="002134F8"/>
    <w:rsid w:val="002668E3"/>
    <w:rsid w:val="002B7861"/>
    <w:rsid w:val="002D319E"/>
    <w:rsid w:val="002D7597"/>
    <w:rsid w:val="0030169D"/>
    <w:rsid w:val="003060EB"/>
    <w:rsid w:val="00306B36"/>
    <w:rsid w:val="0031392D"/>
    <w:rsid w:val="003153EB"/>
    <w:rsid w:val="00321985"/>
    <w:rsid w:val="00351205"/>
    <w:rsid w:val="00363641"/>
    <w:rsid w:val="00367964"/>
    <w:rsid w:val="00372F74"/>
    <w:rsid w:val="00376B79"/>
    <w:rsid w:val="003B7BB2"/>
    <w:rsid w:val="003D07B7"/>
    <w:rsid w:val="003E43E3"/>
    <w:rsid w:val="003E53B1"/>
    <w:rsid w:val="003F2339"/>
    <w:rsid w:val="003F7224"/>
    <w:rsid w:val="00424BD8"/>
    <w:rsid w:val="00427D21"/>
    <w:rsid w:val="00434FA1"/>
    <w:rsid w:val="00442B3F"/>
    <w:rsid w:val="00456FF9"/>
    <w:rsid w:val="0046038D"/>
    <w:rsid w:val="004644C2"/>
    <w:rsid w:val="00467F9C"/>
    <w:rsid w:val="00480AB0"/>
    <w:rsid w:val="004842EF"/>
    <w:rsid w:val="004C4541"/>
    <w:rsid w:val="004C779D"/>
    <w:rsid w:val="004C7B02"/>
    <w:rsid w:val="00525641"/>
    <w:rsid w:val="00532898"/>
    <w:rsid w:val="00534681"/>
    <w:rsid w:val="00541D99"/>
    <w:rsid w:val="00563442"/>
    <w:rsid w:val="00565B42"/>
    <w:rsid w:val="00572EA2"/>
    <w:rsid w:val="005975AD"/>
    <w:rsid w:val="005B4ADC"/>
    <w:rsid w:val="005C4CE6"/>
    <w:rsid w:val="005C724A"/>
    <w:rsid w:val="005D4E74"/>
    <w:rsid w:val="005E0ED3"/>
    <w:rsid w:val="00607A27"/>
    <w:rsid w:val="006122BA"/>
    <w:rsid w:val="006136A9"/>
    <w:rsid w:val="0063588C"/>
    <w:rsid w:val="00645957"/>
    <w:rsid w:val="00651848"/>
    <w:rsid w:val="00661690"/>
    <w:rsid w:val="00664067"/>
    <w:rsid w:val="0069136A"/>
    <w:rsid w:val="00692A7B"/>
    <w:rsid w:val="006A6F5B"/>
    <w:rsid w:val="006B2290"/>
    <w:rsid w:val="00707EA0"/>
    <w:rsid w:val="00717D88"/>
    <w:rsid w:val="00717DD1"/>
    <w:rsid w:val="00752481"/>
    <w:rsid w:val="007552CE"/>
    <w:rsid w:val="007604B4"/>
    <w:rsid w:val="007720FB"/>
    <w:rsid w:val="007740BA"/>
    <w:rsid w:val="007762BB"/>
    <w:rsid w:val="00786056"/>
    <w:rsid w:val="00793F85"/>
    <w:rsid w:val="007942D3"/>
    <w:rsid w:val="007A5BF2"/>
    <w:rsid w:val="007B2099"/>
    <w:rsid w:val="007B6C09"/>
    <w:rsid w:val="007B7741"/>
    <w:rsid w:val="007E09DA"/>
    <w:rsid w:val="008178B6"/>
    <w:rsid w:val="00847EAF"/>
    <w:rsid w:val="00850CCC"/>
    <w:rsid w:val="00865B74"/>
    <w:rsid w:val="00866300"/>
    <w:rsid w:val="008670C8"/>
    <w:rsid w:val="00892B39"/>
    <w:rsid w:val="008974F0"/>
    <w:rsid w:val="0089765F"/>
    <w:rsid w:val="008B00F4"/>
    <w:rsid w:val="008B012A"/>
    <w:rsid w:val="008B40E7"/>
    <w:rsid w:val="008D6D79"/>
    <w:rsid w:val="008D6F79"/>
    <w:rsid w:val="008E29E2"/>
    <w:rsid w:val="009006AB"/>
    <w:rsid w:val="00906E17"/>
    <w:rsid w:val="00930BA1"/>
    <w:rsid w:val="0093169E"/>
    <w:rsid w:val="009324C3"/>
    <w:rsid w:val="00937130"/>
    <w:rsid w:val="009505C9"/>
    <w:rsid w:val="00950752"/>
    <w:rsid w:val="00956FB6"/>
    <w:rsid w:val="00966424"/>
    <w:rsid w:val="00985316"/>
    <w:rsid w:val="00990EF2"/>
    <w:rsid w:val="009C2DE6"/>
    <w:rsid w:val="009E36D1"/>
    <w:rsid w:val="009F1839"/>
    <w:rsid w:val="00A1252A"/>
    <w:rsid w:val="00A1686B"/>
    <w:rsid w:val="00A17DE4"/>
    <w:rsid w:val="00A376E3"/>
    <w:rsid w:val="00A7268E"/>
    <w:rsid w:val="00A7738A"/>
    <w:rsid w:val="00A83624"/>
    <w:rsid w:val="00A84986"/>
    <w:rsid w:val="00A97873"/>
    <w:rsid w:val="00AA5A24"/>
    <w:rsid w:val="00AA6F92"/>
    <w:rsid w:val="00AB6934"/>
    <w:rsid w:val="00AC62CE"/>
    <w:rsid w:val="00AD41A8"/>
    <w:rsid w:val="00AD739E"/>
    <w:rsid w:val="00AD7FFC"/>
    <w:rsid w:val="00AE3143"/>
    <w:rsid w:val="00AF42DE"/>
    <w:rsid w:val="00B26ACD"/>
    <w:rsid w:val="00B3369F"/>
    <w:rsid w:val="00B52C64"/>
    <w:rsid w:val="00B56346"/>
    <w:rsid w:val="00B66AFC"/>
    <w:rsid w:val="00B872C4"/>
    <w:rsid w:val="00B91EE0"/>
    <w:rsid w:val="00B94E6C"/>
    <w:rsid w:val="00B97F8D"/>
    <w:rsid w:val="00BB1856"/>
    <w:rsid w:val="00BB4606"/>
    <w:rsid w:val="00BC73FB"/>
    <w:rsid w:val="00BE24F0"/>
    <w:rsid w:val="00BF01D5"/>
    <w:rsid w:val="00BF048B"/>
    <w:rsid w:val="00BF11F9"/>
    <w:rsid w:val="00BF2F18"/>
    <w:rsid w:val="00BF4D15"/>
    <w:rsid w:val="00C07811"/>
    <w:rsid w:val="00C12879"/>
    <w:rsid w:val="00C23D2F"/>
    <w:rsid w:val="00C2471A"/>
    <w:rsid w:val="00C414E6"/>
    <w:rsid w:val="00C443BD"/>
    <w:rsid w:val="00C451C5"/>
    <w:rsid w:val="00C64B6C"/>
    <w:rsid w:val="00C811F3"/>
    <w:rsid w:val="00C910B1"/>
    <w:rsid w:val="00C9161D"/>
    <w:rsid w:val="00C976D0"/>
    <w:rsid w:val="00CA0C1D"/>
    <w:rsid w:val="00CB79BB"/>
    <w:rsid w:val="00CF1848"/>
    <w:rsid w:val="00CF5390"/>
    <w:rsid w:val="00D0046A"/>
    <w:rsid w:val="00D10531"/>
    <w:rsid w:val="00D12044"/>
    <w:rsid w:val="00D30264"/>
    <w:rsid w:val="00D33EFC"/>
    <w:rsid w:val="00D34719"/>
    <w:rsid w:val="00D40DBC"/>
    <w:rsid w:val="00D4163F"/>
    <w:rsid w:val="00D46991"/>
    <w:rsid w:val="00D505EC"/>
    <w:rsid w:val="00D64387"/>
    <w:rsid w:val="00D67904"/>
    <w:rsid w:val="00D76A18"/>
    <w:rsid w:val="00D80849"/>
    <w:rsid w:val="00D82E8F"/>
    <w:rsid w:val="00DA6BEF"/>
    <w:rsid w:val="00DC4564"/>
    <w:rsid w:val="00DD118C"/>
    <w:rsid w:val="00DD61C4"/>
    <w:rsid w:val="00E06ABB"/>
    <w:rsid w:val="00E2455A"/>
    <w:rsid w:val="00E66235"/>
    <w:rsid w:val="00E83C24"/>
    <w:rsid w:val="00E86884"/>
    <w:rsid w:val="00E9318D"/>
    <w:rsid w:val="00EC1F46"/>
    <w:rsid w:val="00ED1939"/>
    <w:rsid w:val="00EE182C"/>
    <w:rsid w:val="00F01042"/>
    <w:rsid w:val="00F04B50"/>
    <w:rsid w:val="00F23DE7"/>
    <w:rsid w:val="00F34722"/>
    <w:rsid w:val="00F420D5"/>
    <w:rsid w:val="00F528FA"/>
    <w:rsid w:val="00F53193"/>
    <w:rsid w:val="00F5357E"/>
    <w:rsid w:val="00F56AD0"/>
    <w:rsid w:val="00F6586C"/>
    <w:rsid w:val="00F66CC1"/>
    <w:rsid w:val="00F81499"/>
    <w:rsid w:val="00F94774"/>
    <w:rsid w:val="00FA0E9A"/>
    <w:rsid w:val="00FA663B"/>
    <w:rsid w:val="00FB009E"/>
    <w:rsid w:val="00FB5618"/>
    <w:rsid w:val="00FC25F8"/>
    <w:rsid w:val="00FC53DB"/>
    <w:rsid w:val="00FE213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2D7597"/>
    <w:pPr>
      <w:spacing w:before="120" w:after="160" w:line="240" w:lineRule="exact"/>
    </w:pPr>
    <w:rPr>
      <w:rFonts w:asciiTheme="minorHAnsi" w:eastAsiaTheme="minorEastAsia" w:hAnsiTheme="minorHAnsi" w:cstheme="minorBidi"/>
      <w:vertAlign w:val="superscript"/>
      <w:lang w:val="fr-CA"/>
    </w:rPr>
  </w:style>
  <w:style w:type="paragraph" w:styleId="Revision">
    <w:name w:val="Revision"/>
    <w:hidden/>
    <w:uiPriority w:val="99"/>
    <w:semiHidden/>
    <w:rsid w:val="00D0046A"/>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FB009E"/>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FB009E"/>
    <w:rPr>
      <w:rFonts w:ascii="Times New Roman" w:eastAsia="Times New Roman" w:hAnsi="Times New Roman" w:cs="Times New Roman"/>
      <w:b/>
      <w:bCs/>
      <w:sz w:val="20"/>
      <w:szCs w:val="20"/>
      <w:lang w:val="en-GB"/>
    </w:rPr>
  </w:style>
  <w:style w:type="character" w:customStyle="1" w:styleId="UnresolvedMention">
    <w:name w:val="Unresolved Mention"/>
    <w:basedOn w:val="DefaultParagraphFont"/>
    <w:uiPriority w:val="99"/>
    <w:semiHidden/>
    <w:unhideWhenUsed/>
    <w:rsid w:val="00C12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2740E"/>
    <w:rsid w:val="0016789F"/>
    <w:rsid w:val="00350344"/>
    <w:rsid w:val="003B374D"/>
    <w:rsid w:val="003E786A"/>
    <w:rsid w:val="0046422C"/>
    <w:rsid w:val="004760CF"/>
    <w:rsid w:val="004E092F"/>
    <w:rsid w:val="00500A2B"/>
    <w:rsid w:val="0058288D"/>
    <w:rsid w:val="005B5A32"/>
    <w:rsid w:val="00665C6B"/>
    <w:rsid w:val="006801B3"/>
    <w:rsid w:val="00741A83"/>
    <w:rsid w:val="007B330B"/>
    <w:rsid w:val="00810A55"/>
    <w:rsid w:val="008C6619"/>
    <w:rsid w:val="008D420E"/>
    <w:rsid w:val="008E7B77"/>
    <w:rsid w:val="00910615"/>
    <w:rsid w:val="0098642F"/>
    <w:rsid w:val="00993ADE"/>
    <w:rsid w:val="00A44F2A"/>
    <w:rsid w:val="00AD2130"/>
    <w:rsid w:val="00B27D2C"/>
    <w:rsid w:val="00B72A22"/>
    <w:rsid w:val="00C5677D"/>
    <w:rsid w:val="00C8104B"/>
    <w:rsid w:val="00CC18A3"/>
    <w:rsid w:val="00CC289F"/>
    <w:rsid w:val="00D31D12"/>
    <w:rsid w:val="00D5560E"/>
    <w:rsid w:val="00E406D9"/>
    <w:rsid w:val="00EA7653"/>
    <w:rsid w:val="00FF20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C6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B6592A5-57BF-415A-B1ED-306F2F3CA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DCC268BE-3377-42DE-9181-1062AFF3E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813</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CP-10/13.	Nagoya – Kuala Lumpur Supplementary Protocol on Liability and Redress</vt:lpstr>
    </vt:vector>
  </TitlesOfParts>
  <Company>SCBD</Company>
  <LinksUpToDate>false</LinksUpToDate>
  <CharactersWithSpaces>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CP-10/13.	Protocole additionnel de Nagoya – Kuala Lumpur sur la responsabilité et la réparation</dc:title>
  <dc:subject>CBD/CP/MOP/DEC/10/13</dc:subject>
  <dc:creator>SCBD</dc:creator>
  <cp:keywords>Decision adopted by the Parties to the Cartagena Protocol on Biosafety</cp:keywords>
  <cp:lastModifiedBy>Finn Kinley</cp:lastModifiedBy>
  <cp:revision>19</cp:revision>
  <cp:lastPrinted>2020-01-21T16:56:00Z</cp:lastPrinted>
  <dcterms:created xsi:type="dcterms:W3CDTF">2023-02-15T14:05:00Z</dcterms:created>
  <dcterms:modified xsi:type="dcterms:W3CDTF">2023-02-17T00:09:00Z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