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
        <w:gridCol w:w="3890"/>
        <w:gridCol w:w="5648"/>
      </w:tblGrid>
      <w:tr w:rsidR="0006021E" w:rsidRPr="00094684" w14:paraId="15795224" w14:textId="77777777" w:rsidTr="00BD4E34">
        <w:trPr>
          <w:trHeight w:val="851"/>
        </w:trPr>
        <w:tc>
          <w:tcPr>
            <w:tcW w:w="454" w:type="pct"/>
            <w:tcBorders>
              <w:bottom w:val="single" w:sz="8" w:space="0" w:color="auto"/>
            </w:tcBorders>
            <w:vAlign w:val="bottom"/>
          </w:tcPr>
          <w:p w14:paraId="4CFADAB3" w14:textId="77777777" w:rsidR="0006021E" w:rsidRPr="00094684" w:rsidRDefault="0006021E" w:rsidP="00BD4E34">
            <w:pPr>
              <w:tabs>
                <w:tab w:val="clear" w:pos="567"/>
                <w:tab w:val="clear" w:pos="1134"/>
                <w:tab w:val="clear" w:pos="1701"/>
                <w:tab w:val="clear" w:pos="2268"/>
              </w:tabs>
              <w:spacing w:after="120"/>
              <w:rPr>
                <w:rFonts w:eastAsia="Times New Roman"/>
                <w:sz w:val="24"/>
                <w:szCs w:val="24"/>
                <w:lang w:val="en-GB"/>
              </w:rPr>
            </w:pPr>
            <w:bookmarkStart w:id="0" w:name="_Hlk143266149"/>
            <w:bookmarkStart w:id="1" w:name="_Hlk137044360"/>
            <w:bookmarkStart w:id="2" w:name="_Hlk137217151"/>
            <w:bookmarkEnd w:id="0"/>
            <w:r w:rsidRPr="00094684">
              <w:rPr>
                <w:rFonts w:eastAsia="Times New Roman"/>
                <w:noProof/>
                <w:sz w:val="24"/>
                <w:lang w:eastAsia="zh-CN"/>
              </w:rPr>
              <w:drawing>
                <wp:inline distT="0" distB="0" distL="0" distR="0" wp14:anchorId="45C9BED7" wp14:editId="67AB1D56">
                  <wp:extent cx="476494" cy="403200"/>
                  <wp:effectExtent l="0" t="0" r="6350" b="3810"/>
                  <wp:docPr id="1173017620" name="Picture 1173017620"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54" w:type="pct"/>
            <w:tcBorders>
              <w:top w:val="nil"/>
              <w:left w:val="nil"/>
              <w:bottom w:val="single" w:sz="6" w:space="0" w:color="auto"/>
              <w:right w:val="nil"/>
            </w:tcBorders>
          </w:tcPr>
          <w:p w14:paraId="4EA4EF33" w14:textId="77777777" w:rsidR="0006021E" w:rsidRPr="00094684" w:rsidRDefault="0006021E" w:rsidP="00BD4E34">
            <w:pPr>
              <w:tabs>
                <w:tab w:val="clear" w:pos="567"/>
                <w:tab w:val="clear" w:pos="1134"/>
                <w:tab w:val="clear" w:pos="1701"/>
                <w:tab w:val="clear" w:pos="2268"/>
              </w:tabs>
              <w:spacing w:before="60"/>
              <w:rPr>
                <w:rFonts w:eastAsia="SimHei"/>
                <w:sz w:val="24"/>
                <w:lang w:val="en-GB" w:eastAsia="zh-CN"/>
              </w:rPr>
            </w:pPr>
            <w:r w:rsidRPr="00094684">
              <w:rPr>
                <w:rFonts w:eastAsia="SimHei"/>
                <w:noProof/>
                <w:lang w:eastAsia="zh-CN"/>
              </w:rPr>
              <w:drawing>
                <wp:anchor distT="0" distB="0" distL="114300" distR="114300" simplePos="0" relativeHeight="251659264" behindDoc="0" locked="0" layoutInCell="1" allowOverlap="1" wp14:anchorId="2A916747" wp14:editId="2733CC03">
                  <wp:simplePos x="0" y="0"/>
                  <wp:positionH relativeFrom="column">
                    <wp:posOffset>465176</wp:posOffset>
                  </wp:positionH>
                  <wp:positionV relativeFrom="paragraph">
                    <wp:posOffset>43367</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094684">
              <w:rPr>
                <w:rFonts w:eastAsia="SimHei" w:hint="eastAsia"/>
                <w:sz w:val="24"/>
                <w:lang w:val="en-GB" w:eastAsia="zh-CN"/>
              </w:rPr>
              <w:t>联合国</w:t>
            </w:r>
          </w:p>
          <w:p w14:paraId="28796021" w14:textId="77777777" w:rsidR="0006021E" w:rsidRPr="00094684" w:rsidRDefault="0006021E" w:rsidP="00BD4E34">
            <w:pPr>
              <w:tabs>
                <w:tab w:val="clear" w:pos="567"/>
                <w:tab w:val="clear" w:pos="1134"/>
                <w:tab w:val="clear" w:pos="1701"/>
                <w:tab w:val="clear" w:pos="2268"/>
              </w:tabs>
              <w:rPr>
                <w:rFonts w:eastAsia="SimHei"/>
                <w:sz w:val="24"/>
                <w:lang w:val="en-GB" w:eastAsia="zh-CN"/>
              </w:rPr>
            </w:pPr>
            <w:r w:rsidRPr="00094684">
              <w:rPr>
                <w:rFonts w:eastAsia="SimHei" w:hint="eastAsia"/>
                <w:sz w:val="24"/>
                <w:lang w:val="en-GB" w:eastAsia="zh-CN"/>
              </w:rPr>
              <w:t>环境规划署</w:t>
            </w:r>
          </w:p>
        </w:tc>
        <w:tc>
          <w:tcPr>
            <w:tcW w:w="2692" w:type="pct"/>
            <w:tcBorders>
              <w:bottom w:val="single" w:sz="8" w:space="0" w:color="auto"/>
            </w:tcBorders>
            <w:vAlign w:val="bottom"/>
          </w:tcPr>
          <w:p w14:paraId="53699B58" w14:textId="0ED6D3CD" w:rsidR="0006021E" w:rsidRPr="00094684" w:rsidRDefault="00B97D25" w:rsidP="00BD4E34">
            <w:pPr>
              <w:tabs>
                <w:tab w:val="clear" w:pos="567"/>
                <w:tab w:val="clear" w:pos="1134"/>
                <w:tab w:val="clear" w:pos="1701"/>
                <w:tab w:val="clear" w:pos="2268"/>
              </w:tabs>
              <w:spacing w:after="120"/>
              <w:ind w:left="2021"/>
              <w:jc w:val="right"/>
              <w:rPr>
                <w:rFonts w:hint="eastAsia"/>
                <w:sz w:val="22"/>
                <w:lang w:val="en-GB" w:eastAsia="zh-CN"/>
              </w:rPr>
            </w:pPr>
            <w:r w:rsidRPr="00B97D25">
              <w:rPr>
                <w:sz w:val="36"/>
                <w:szCs w:val="36"/>
                <w:lang w:val="en-GB" w:eastAsia="zh-CN"/>
              </w:rPr>
              <w:t>CBD</w:t>
            </w:r>
            <w:r w:rsidRPr="00B97D25">
              <w:rPr>
                <w:sz w:val="24"/>
                <w:szCs w:val="24"/>
                <w:lang w:val="en-GB" w:eastAsia="zh-CN"/>
              </w:rPr>
              <w:t>/CP/MOP/DEC/11/1</w:t>
            </w:r>
          </w:p>
        </w:tc>
      </w:tr>
      <w:tr w:rsidR="0006021E" w:rsidRPr="00094684" w14:paraId="0559393C" w14:textId="77777777" w:rsidTr="00BD4E34">
        <w:tc>
          <w:tcPr>
            <w:tcW w:w="2308" w:type="pct"/>
            <w:gridSpan w:val="2"/>
            <w:tcBorders>
              <w:top w:val="single" w:sz="8" w:space="0" w:color="auto"/>
              <w:bottom w:val="single" w:sz="12" w:space="0" w:color="auto"/>
            </w:tcBorders>
          </w:tcPr>
          <w:p w14:paraId="6A50FA61" w14:textId="77777777" w:rsidR="0006021E" w:rsidRPr="00094684" w:rsidRDefault="0006021E" w:rsidP="00BD4E34">
            <w:pPr>
              <w:suppressLineNumbers/>
              <w:tabs>
                <w:tab w:val="clear" w:pos="567"/>
                <w:tab w:val="clear" w:pos="1134"/>
                <w:tab w:val="clear" w:pos="1701"/>
                <w:tab w:val="clear" w:pos="2268"/>
              </w:tabs>
              <w:suppressAutoHyphens/>
              <w:spacing w:before="120" w:after="120"/>
              <w:jc w:val="left"/>
              <w:rPr>
                <w:rFonts w:eastAsia="Times New Roman"/>
                <w:sz w:val="24"/>
                <w:lang w:val="en-GB"/>
              </w:rPr>
            </w:pPr>
            <w:r w:rsidRPr="00094684">
              <w:rPr>
                <w:b/>
                <w:noProof/>
                <w:sz w:val="24"/>
                <w:lang w:eastAsia="zh-CN"/>
              </w:rPr>
              <w:drawing>
                <wp:inline distT="0" distB="0" distL="0" distR="0" wp14:anchorId="092651EE" wp14:editId="1E21CBD7">
                  <wp:extent cx="2982802" cy="1077392"/>
                  <wp:effectExtent l="0" t="0" r="8255" b="889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11892" cy="1087899"/>
                          </a:xfrm>
                          <a:prstGeom prst="rect">
                            <a:avLst/>
                          </a:prstGeom>
                          <a:noFill/>
                          <a:ln>
                            <a:noFill/>
                          </a:ln>
                        </pic:spPr>
                      </pic:pic>
                    </a:graphicData>
                  </a:graphic>
                </wp:inline>
              </w:drawing>
            </w:r>
          </w:p>
        </w:tc>
        <w:tc>
          <w:tcPr>
            <w:tcW w:w="2692" w:type="pct"/>
            <w:tcBorders>
              <w:top w:val="single" w:sz="8" w:space="0" w:color="auto"/>
              <w:bottom w:val="single" w:sz="12" w:space="0" w:color="auto"/>
            </w:tcBorders>
          </w:tcPr>
          <w:p w14:paraId="414A3AB2" w14:textId="56B5D29C" w:rsidR="0046705E" w:rsidRPr="0046705E" w:rsidRDefault="0046705E" w:rsidP="0046705E">
            <w:pPr>
              <w:tabs>
                <w:tab w:val="clear" w:pos="567"/>
                <w:tab w:val="clear" w:pos="1134"/>
                <w:tab w:val="clear" w:pos="1701"/>
                <w:tab w:val="clear" w:pos="2268"/>
              </w:tabs>
              <w:ind w:left="2021"/>
              <w:rPr>
                <w:rFonts w:hint="eastAsia"/>
                <w:sz w:val="24"/>
                <w:szCs w:val="24"/>
                <w:lang w:eastAsia="zh-CN"/>
              </w:rPr>
            </w:pPr>
            <w:r w:rsidRPr="0046705E">
              <w:rPr>
                <w:sz w:val="24"/>
                <w:szCs w:val="24"/>
              </w:rPr>
              <w:t xml:space="preserve">Distr.: </w:t>
            </w:r>
            <w:r w:rsidR="00A61E4A">
              <w:rPr>
                <w:rFonts w:hint="eastAsia"/>
                <w:sz w:val="24"/>
                <w:szCs w:val="24"/>
                <w:lang w:eastAsia="zh-CN"/>
              </w:rPr>
              <w:t>General</w:t>
            </w:r>
          </w:p>
          <w:p w14:paraId="5002CD99" w14:textId="7D6A3523" w:rsidR="0006021E" w:rsidRPr="0046705E" w:rsidRDefault="00B97D25" w:rsidP="0046705E">
            <w:pPr>
              <w:tabs>
                <w:tab w:val="clear" w:pos="567"/>
                <w:tab w:val="clear" w:pos="1134"/>
                <w:tab w:val="clear" w:pos="1701"/>
                <w:tab w:val="clear" w:pos="2268"/>
              </w:tabs>
              <w:ind w:left="2021"/>
              <w:rPr>
                <w:rFonts w:eastAsia="Times New Roman"/>
                <w:sz w:val="24"/>
                <w:szCs w:val="24"/>
                <w:lang w:val="en-GB"/>
              </w:rPr>
            </w:pPr>
            <w:r w:rsidRPr="00B97D25">
              <w:rPr>
                <w:rFonts w:eastAsia="Times New Roman"/>
                <w:sz w:val="24"/>
                <w:szCs w:val="24"/>
                <w:lang w:val="en-GB"/>
              </w:rPr>
              <w:t>30 October 2024</w:t>
            </w:r>
          </w:p>
          <w:p w14:paraId="169638DB" w14:textId="77777777" w:rsidR="0006021E" w:rsidRPr="0046705E" w:rsidRDefault="0006021E" w:rsidP="00BD4E34">
            <w:pPr>
              <w:tabs>
                <w:tab w:val="clear" w:pos="567"/>
                <w:tab w:val="clear" w:pos="1134"/>
                <w:tab w:val="clear" w:pos="1701"/>
                <w:tab w:val="clear" w:pos="2268"/>
              </w:tabs>
              <w:ind w:left="2021"/>
              <w:rPr>
                <w:rFonts w:eastAsia="Times New Roman"/>
                <w:sz w:val="24"/>
                <w:szCs w:val="24"/>
                <w:lang w:val="en-GB"/>
              </w:rPr>
            </w:pPr>
            <w:r w:rsidRPr="0046705E">
              <w:rPr>
                <w:rFonts w:eastAsia="Times New Roman"/>
                <w:sz w:val="24"/>
                <w:szCs w:val="24"/>
                <w:lang w:val="en-GB"/>
              </w:rPr>
              <w:t>Chinese</w:t>
            </w:r>
          </w:p>
          <w:p w14:paraId="1C0FEDF8" w14:textId="77777777" w:rsidR="0006021E" w:rsidRPr="0046705E" w:rsidRDefault="0006021E" w:rsidP="00BD4E34">
            <w:pPr>
              <w:tabs>
                <w:tab w:val="clear" w:pos="567"/>
                <w:tab w:val="clear" w:pos="1134"/>
                <w:tab w:val="clear" w:pos="1701"/>
                <w:tab w:val="clear" w:pos="2268"/>
              </w:tabs>
              <w:ind w:left="2021"/>
              <w:rPr>
                <w:rFonts w:eastAsia="Times New Roman"/>
                <w:sz w:val="24"/>
                <w:szCs w:val="24"/>
                <w:lang w:val="en-GB"/>
              </w:rPr>
            </w:pPr>
            <w:r w:rsidRPr="0046705E">
              <w:rPr>
                <w:rFonts w:eastAsia="Times New Roman"/>
                <w:sz w:val="24"/>
                <w:szCs w:val="24"/>
                <w:lang w:val="en-GB"/>
              </w:rPr>
              <w:t>Original: English</w:t>
            </w:r>
          </w:p>
          <w:p w14:paraId="2A2916B7" w14:textId="77777777" w:rsidR="0006021E" w:rsidRPr="00094684" w:rsidRDefault="0006021E" w:rsidP="00BD4E34">
            <w:pPr>
              <w:tabs>
                <w:tab w:val="clear" w:pos="567"/>
                <w:tab w:val="clear" w:pos="1134"/>
                <w:tab w:val="clear" w:pos="1701"/>
                <w:tab w:val="clear" w:pos="2268"/>
              </w:tabs>
              <w:rPr>
                <w:rFonts w:eastAsia="Times New Roman"/>
                <w:sz w:val="24"/>
                <w:szCs w:val="24"/>
                <w:lang w:val="en-GB"/>
              </w:rPr>
            </w:pPr>
          </w:p>
        </w:tc>
      </w:tr>
    </w:tbl>
    <w:bookmarkEnd w:id="1"/>
    <w:bookmarkEnd w:id="2"/>
    <w:p w14:paraId="4A564261" w14:textId="684C45B2" w:rsidR="00464A21" w:rsidRPr="008D7C86" w:rsidRDefault="00464A21" w:rsidP="00464A21">
      <w:pPr>
        <w:pStyle w:val="AFCorNot12Bold"/>
        <w:rPr>
          <w:snapToGrid w:val="0"/>
          <w:lang w:val="en-US" w:eastAsia="zh-CN"/>
        </w:rPr>
      </w:pPr>
      <w:r w:rsidRPr="008D7C86">
        <w:rPr>
          <w:snapToGrid w:val="0"/>
          <w:lang w:eastAsia="zh-CN"/>
        </w:rPr>
        <w:t>作为卡塔赫纳生物安全议定书缔约方会议</w:t>
      </w:r>
      <w:r w:rsidR="008D7C86" w:rsidRPr="008D7C86">
        <w:rPr>
          <w:snapToGrid w:val="0"/>
          <w:lang w:eastAsia="zh-CN"/>
        </w:rPr>
        <w:br/>
      </w:r>
      <w:r w:rsidR="00B97D25" w:rsidRPr="008D7C86">
        <w:rPr>
          <w:snapToGrid w:val="0"/>
          <w:lang w:eastAsia="zh-CN"/>
        </w:rPr>
        <w:t>的</w:t>
      </w:r>
      <w:r w:rsidRPr="008D7C86">
        <w:rPr>
          <w:snapToGrid w:val="0"/>
          <w:lang w:eastAsia="zh-CN"/>
        </w:rPr>
        <w:t>生物多样性公约</w:t>
      </w:r>
      <w:r w:rsidRPr="008D7C86">
        <w:rPr>
          <w:snapToGrid w:val="0"/>
          <w:lang w:val="en-US" w:eastAsia="zh-CN"/>
        </w:rPr>
        <w:t>缔约方大会</w:t>
      </w:r>
    </w:p>
    <w:p w14:paraId="6A3D567B" w14:textId="77777777" w:rsidR="00464A21" w:rsidRPr="008D7C86" w:rsidRDefault="00464A21" w:rsidP="00464A21">
      <w:pPr>
        <w:pStyle w:val="AFCorNot12Bold"/>
        <w:rPr>
          <w:snapToGrid w:val="0"/>
          <w:lang w:eastAsia="zh-CN"/>
        </w:rPr>
      </w:pPr>
      <w:r w:rsidRPr="008D7C86">
        <w:rPr>
          <w:snapToGrid w:val="0"/>
          <w:lang w:eastAsia="zh-CN"/>
        </w:rPr>
        <w:t>第十一次会议</w:t>
      </w:r>
    </w:p>
    <w:p w14:paraId="4E2BA551" w14:textId="77777777" w:rsidR="00464A21" w:rsidRPr="008D7C86" w:rsidRDefault="00464A21" w:rsidP="00464A21">
      <w:pPr>
        <w:pStyle w:val="AFCorNot12Bold"/>
        <w:rPr>
          <w:b w:val="0"/>
          <w:bCs/>
          <w:snapToGrid w:val="0"/>
          <w:lang w:eastAsia="zh-CN"/>
        </w:rPr>
      </w:pPr>
      <w:r w:rsidRPr="008D7C86">
        <w:rPr>
          <w:b w:val="0"/>
          <w:bCs/>
          <w:snapToGrid w:val="0"/>
          <w:lang w:eastAsia="zh-CN"/>
        </w:rPr>
        <w:t>2024</w:t>
      </w:r>
      <w:r w:rsidRPr="008D7C86">
        <w:rPr>
          <w:b w:val="0"/>
          <w:bCs/>
          <w:snapToGrid w:val="0"/>
          <w:lang w:eastAsia="zh-CN"/>
        </w:rPr>
        <w:t>年</w:t>
      </w:r>
      <w:r w:rsidRPr="008D7C86">
        <w:rPr>
          <w:b w:val="0"/>
          <w:bCs/>
          <w:snapToGrid w:val="0"/>
          <w:lang w:eastAsia="zh-CN"/>
        </w:rPr>
        <w:t>10</w:t>
      </w:r>
      <w:r w:rsidRPr="008D7C86">
        <w:rPr>
          <w:b w:val="0"/>
          <w:bCs/>
          <w:snapToGrid w:val="0"/>
          <w:lang w:eastAsia="zh-CN"/>
        </w:rPr>
        <w:t>月</w:t>
      </w:r>
      <w:r w:rsidRPr="008D7C86">
        <w:rPr>
          <w:b w:val="0"/>
          <w:bCs/>
          <w:snapToGrid w:val="0"/>
          <w:lang w:eastAsia="zh-CN"/>
        </w:rPr>
        <w:t>21</w:t>
      </w:r>
      <w:r w:rsidRPr="008D7C86">
        <w:rPr>
          <w:b w:val="0"/>
          <w:bCs/>
          <w:snapToGrid w:val="0"/>
          <w:lang w:eastAsia="zh-CN"/>
        </w:rPr>
        <w:t>日至</w:t>
      </w:r>
      <w:r w:rsidRPr="008D7C86">
        <w:rPr>
          <w:b w:val="0"/>
          <w:bCs/>
          <w:snapToGrid w:val="0"/>
          <w:lang w:eastAsia="zh-CN"/>
        </w:rPr>
        <w:t>11</w:t>
      </w:r>
      <w:r w:rsidRPr="008D7C86">
        <w:rPr>
          <w:b w:val="0"/>
          <w:bCs/>
          <w:snapToGrid w:val="0"/>
          <w:lang w:eastAsia="zh-CN"/>
        </w:rPr>
        <w:t>月</w:t>
      </w:r>
      <w:r w:rsidRPr="008D7C86">
        <w:rPr>
          <w:b w:val="0"/>
          <w:bCs/>
          <w:snapToGrid w:val="0"/>
          <w:lang w:eastAsia="zh-CN"/>
        </w:rPr>
        <w:t>1</w:t>
      </w:r>
      <w:r w:rsidRPr="008D7C86">
        <w:rPr>
          <w:b w:val="0"/>
          <w:bCs/>
          <w:snapToGrid w:val="0"/>
          <w:lang w:eastAsia="zh-CN"/>
        </w:rPr>
        <w:t>日，哥伦比亚卡利</w:t>
      </w:r>
    </w:p>
    <w:p w14:paraId="7B71FF32" w14:textId="435B774C" w:rsidR="00464A21" w:rsidRPr="008D7C86" w:rsidRDefault="00464A21" w:rsidP="00464A21">
      <w:pPr>
        <w:pStyle w:val="AFCorNot12Bold"/>
        <w:rPr>
          <w:b w:val="0"/>
          <w:bCs/>
          <w:snapToGrid w:val="0"/>
          <w:lang w:eastAsia="zh-CN"/>
        </w:rPr>
      </w:pPr>
      <w:r w:rsidRPr="008D7C86">
        <w:rPr>
          <w:b w:val="0"/>
          <w:bCs/>
          <w:snapToGrid w:val="0"/>
          <w:lang w:eastAsia="zh-CN"/>
        </w:rPr>
        <w:t>议程项目</w:t>
      </w:r>
      <w:r w:rsidR="00CA7DA5" w:rsidRPr="008D7C86">
        <w:rPr>
          <w:b w:val="0"/>
          <w:bCs/>
          <w:snapToGrid w:val="0"/>
          <w:lang w:eastAsia="zh-CN"/>
        </w:rPr>
        <w:t>5</w:t>
      </w:r>
    </w:p>
    <w:p w14:paraId="2984F62D" w14:textId="30862E13" w:rsidR="0046705E" w:rsidRPr="008D7C86" w:rsidRDefault="0046705E" w:rsidP="0046705E">
      <w:pPr>
        <w:pStyle w:val="AFCorNotNormal"/>
        <w:rPr>
          <w:b/>
          <w:sz w:val="24"/>
          <w:szCs w:val="24"/>
          <w:lang w:eastAsia="zh-CN"/>
        </w:rPr>
      </w:pPr>
      <w:r w:rsidRPr="008D7C86">
        <w:rPr>
          <w:b/>
          <w:sz w:val="24"/>
          <w:szCs w:val="24"/>
          <w:lang w:eastAsia="zh-CN"/>
        </w:rPr>
        <w:t>履约委员会的报告</w:t>
      </w:r>
    </w:p>
    <w:p w14:paraId="5A0731D9" w14:textId="5E4F2CC3" w:rsidR="00A61E4A" w:rsidRPr="00A61E4A" w:rsidRDefault="00A61E4A" w:rsidP="00A61E4A">
      <w:pPr>
        <w:pStyle w:val="Item"/>
        <w:tabs>
          <w:tab w:val="clear" w:pos="567"/>
          <w:tab w:val="clear" w:pos="1134"/>
          <w:tab w:val="clear" w:pos="1701"/>
          <w:tab w:val="clear" w:pos="2268"/>
        </w:tabs>
        <w:ind w:left="490"/>
        <w:rPr>
          <w:rFonts w:eastAsia="SimSun"/>
          <w:sz w:val="28"/>
          <w:szCs w:val="28"/>
          <w:lang w:eastAsia="zh-CN"/>
        </w:rPr>
      </w:pPr>
      <w:bookmarkStart w:id="3" w:name="_Toc178837103"/>
      <w:r w:rsidRPr="00A61E4A">
        <w:rPr>
          <w:rFonts w:eastAsia="SimSun"/>
          <w:sz w:val="28"/>
          <w:szCs w:val="28"/>
          <w:lang w:eastAsia="zh-CN"/>
        </w:rPr>
        <w:t>2024</w:t>
      </w:r>
      <w:r w:rsidRPr="00A61E4A">
        <w:rPr>
          <w:rFonts w:eastAsia="SimSun"/>
          <w:sz w:val="28"/>
          <w:szCs w:val="28"/>
          <w:lang w:eastAsia="zh-CN"/>
        </w:rPr>
        <w:t>年</w:t>
      </w:r>
      <w:r w:rsidRPr="00A61E4A">
        <w:rPr>
          <w:rFonts w:eastAsia="SimSun"/>
          <w:sz w:val="28"/>
          <w:szCs w:val="28"/>
          <w:lang w:eastAsia="zh-CN"/>
        </w:rPr>
        <w:t>10</w:t>
      </w:r>
      <w:r w:rsidRPr="00A61E4A">
        <w:rPr>
          <w:rFonts w:eastAsia="SimSun"/>
          <w:sz w:val="28"/>
          <w:szCs w:val="28"/>
          <w:lang w:eastAsia="zh-CN"/>
        </w:rPr>
        <w:t>月</w:t>
      </w:r>
      <w:r w:rsidRPr="00A61E4A">
        <w:rPr>
          <w:rFonts w:eastAsia="SimSun"/>
          <w:sz w:val="28"/>
          <w:szCs w:val="28"/>
          <w:lang w:eastAsia="zh-CN"/>
        </w:rPr>
        <w:t>30</w:t>
      </w:r>
      <w:r w:rsidRPr="00A61E4A">
        <w:rPr>
          <w:rFonts w:eastAsia="SimSun"/>
          <w:sz w:val="28"/>
          <w:szCs w:val="28"/>
          <w:lang w:eastAsia="zh-CN"/>
        </w:rPr>
        <w:t>日</w:t>
      </w:r>
      <w:r w:rsidRPr="00A61E4A">
        <w:rPr>
          <w:rFonts w:eastAsia="SimSun"/>
          <w:sz w:val="28"/>
          <w:szCs w:val="28"/>
          <w:lang w:eastAsia="zh-CN"/>
        </w:rPr>
        <w:t>作为卡塔赫纳生物安全议定书缔约方会议的生物多样性公约</w:t>
      </w:r>
      <w:r w:rsidRPr="00A61E4A">
        <w:rPr>
          <w:rFonts w:eastAsia="SimSun"/>
          <w:sz w:val="28"/>
          <w:szCs w:val="28"/>
          <w:lang w:val="en-US" w:eastAsia="zh-CN"/>
        </w:rPr>
        <w:t>缔约方大会</w:t>
      </w:r>
      <w:r w:rsidRPr="00A61E4A">
        <w:rPr>
          <w:rFonts w:eastAsia="SimSun"/>
          <w:sz w:val="28"/>
          <w:szCs w:val="28"/>
          <w:lang w:val="en-US" w:eastAsia="zh-CN"/>
        </w:rPr>
        <w:t>通过的决定</w:t>
      </w:r>
    </w:p>
    <w:p w14:paraId="73B646F5" w14:textId="7F556999" w:rsidR="00153B59" w:rsidRPr="00A61E4A" w:rsidRDefault="00A61E4A" w:rsidP="00A61E4A">
      <w:pPr>
        <w:pStyle w:val="Item"/>
        <w:tabs>
          <w:tab w:val="clear" w:pos="567"/>
          <w:tab w:val="clear" w:pos="1134"/>
          <w:tab w:val="clear" w:pos="1701"/>
          <w:tab w:val="clear" w:pos="2268"/>
        </w:tabs>
        <w:ind w:left="490"/>
        <w:rPr>
          <w:rFonts w:eastAsia="SimSun"/>
          <w:szCs w:val="24"/>
          <w:lang w:eastAsia="zh-CN"/>
        </w:rPr>
      </w:pPr>
      <w:r>
        <w:rPr>
          <w:rFonts w:eastAsia="SimSun" w:hint="eastAsia"/>
          <w:szCs w:val="24"/>
          <w:lang w:eastAsia="zh-CN"/>
        </w:rPr>
        <w:t xml:space="preserve">CP-11/1.  </w:t>
      </w:r>
      <w:r w:rsidR="00E65CE7" w:rsidRPr="00A61E4A">
        <w:rPr>
          <w:rFonts w:eastAsia="SimSun" w:hint="eastAsia"/>
          <w:szCs w:val="24"/>
          <w:lang w:eastAsia="zh-CN"/>
        </w:rPr>
        <w:t>履约</w:t>
      </w:r>
      <w:bookmarkEnd w:id="3"/>
    </w:p>
    <w:p w14:paraId="2462A0C6" w14:textId="55FD3D8A" w:rsidR="0046705E" w:rsidRDefault="008D7C86" w:rsidP="00A800B4">
      <w:pPr>
        <w:keepNext/>
        <w:keepLines/>
        <w:tabs>
          <w:tab w:val="left" w:pos="2835"/>
          <w:tab w:val="left" w:pos="3402"/>
          <w:tab w:val="left" w:pos="3969"/>
        </w:tabs>
        <w:spacing w:before="120"/>
        <w:ind w:left="490"/>
        <w:rPr>
          <w:b/>
          <w:bCs/>
          <w:sz w:val="24"/>
          <w:szCs w:val="24"/>
          <w:lang w:eastAsia="zh-CN"/>
        </w:rPr>
      </w:pPr>
      <w:r>
        <w:rPr>
          <w:b/>
          <w:bCs/>
          <w:sz w:val="24"/>
          <w:szCs w:val="24"/>
          <w:lang w:eastAsia="zh-CN"/>
        </w:rPr>
        <w:t>A</w:t>
      </w:r>
    </w:p>
    <w:p w14:paraId="710FD727" w14:textId="1B27B168" w:rsidR="00E34A3F" w:rsidRPr="008D7C86" w:rsidRDefault="00E34A3F" w:rsidP="00A800B4">
      <w:pPr>
        <w:keepNext/>
        <w:keepLines/>
        <w:tabs>
          <w:tab w:val="left" w:pos="2835"/>
          <w:tab w:val="left" w:pos="3402"/>
          <w:tab w:val="left" w:pos="3969"/>
        </w:tabs>
        <w:spacing w:after="120"/>
        <w:ind w:left="490"/>
        <w:rPr>
          <w:rFonts w:ascii="KaiTi" w:eastAsia="KaiTi" w:hAnsi="KaiTi"/>
          <w:b/>
          <w:bCs/>
          <w:sz w:val="24"/>
          <w:szCs w:val="24"/>
          <w:lang w:eastAsia="zh-CN"/>
        </w:rPr>
      </w:pPr>
      <w:r w:rsidRPr="008D7C86">
        <w:rPr>
          <w:rFonts w:hint="eastAsia"/>
          <w:b/>
          <w:bCs/>
          <w:sz w:val="24"/>
          <w:szCs w:val="24"/>
          <w:lang w:eastAsia="zh-CN"/>
        </w:rPr>
        <w:t>履约</w:t>
      </w:r>
      <w:r w:rsidR="0046705E" w:rsidRPr="008D7C86">
        <w:rPr>
          <w:rFonts w:hint="eastAsia"/>
          <w:b/>
          <w:bCs/>
          <w:sz w:val="24"/>
          <w:szCs w:val="24"/>
          <w:lang w:eastAsia="zh-CN"/>
        </w:rPr>
        <w:t>：</w:t>
      </w:r>
      <w:r w:rsidRPr="008D7C86">
        <w:rPr>
          <w:rFonts w:ascii="SimSun" w:hAnsi="SimSun" w:cs="SimSun" w:hint="eastAsia"/>
          <w:b/>
          <w:bCs/>
          <w:sz w:val="24"/>
          <w:szCs w:val="24"/>
          <w:lang w:eastAsia="zh-CN"/>
        </w:rPr>
        <w:t>一般性问题</w:t>
      </w:r>
    </w:p>
    <w:p w14:paraId="07BDF22D" w14:textId="1FFFEB76" w:rsidR="00E34A3F" w:rsidRPr="00AC66FE" w:rsidRDefault="00E34A3F" w:rsidP="00E34A3F">
      <w:pPr>
        <w:pStyle w:val="CBDDesicionText"/>
        <w:tabs>
          <w:tab w:val="clear" w:pos="567"/>
          <w:tab w:val="clear" w:pos="1134"/>
          <w:tab w:val="clear" w:pos="1701"/>
          <w:tab w:val="clear" w:pos="2268"/>
          <w:tab w:val="clear" w:pos="2835"/>
          <w:tab w:val="clear" w:pos="3402"/>
        </w:tabs>
        <w:spacing w:before="120" w:line="240" w:lineRule="atLeast"/>
        <w:ind w:left="490" w:firstLine="490"/>
        <w:rPr>
          <w:rFonts w:eastAsia="KaiTi"/>
          <w:bCs/>
          <w:iCs/>
          <w:snapToGrid w:val="0"/>
          <w:kern w:val="22"/>
          <w:sz w:val="24"/>
          <w:szCs w:val="24"/>
          <w:lang w:eastAsia="zh-CN"/>
          <w14:ligatures w14:val="standardContextual"/>
        </w:rPr>
      </w:pPr>
      <w:r w:rsidRPr="00AC66FE">
        <w:rPr>
          <w:rFonts w:eastAsia="KaiTi" w:hint="eastAsia"/>
          <w:bCs/>
          <w:iCs/>
          <w:sz w:val="24"/>
          <w:szCs w:val="24"/>
          <w:lang w:eastAsia="zh-CN"/>
        </w:rPr>
        <w:t>作为卡塔赫纳议定书缔约方会议的缔约方大会</w:t>
      </w:r>
      <w:r>
        <w:rPr>
          <w:rFonts w:eastAsia="KaiTi" w:hint="eastAsia"/>
          <w:bCs/>
          <w:iCs/>
          <w:sz w:val="24"/>
          <w:szCs w:val="24"/>
          <w:lang w:eastAsia="zh-CN"/>
        </w:rPr>
        <w:t>，</w:t>
      </w:r>
    </w:p>
    <w:p w14:paraId="1D005755" w14:textId="42748365" w:rsidR="00E34A3F" w:rsidRPr="006D3DA5" w:rsidRDefault="00E34A3F" w:rsidP="00E34A3F">
      <w:pPr>
        <w:pStyle w:val="Para1"/>
        <w:numPr>
          <w:ilvl w:val="0"/>
          <w:numId w:val="0"/>
        </w:numPr>
        <w:tabs>
          <w:tab w:val="clear" w:pos="567"/>
          <w:tab w:val="clear" w:pos="1134"/>
          <w:tab w:val="clear" w:pos="1701"/>
          <w:tab w:val="clear" w:pos="2268"/>
        </w:tabs>
        <w:spacing w:line="240" w:lineRule="atLeast"/>
        <w:ind w:left="490" w:firstLine="490"/>
        <w:rPr>
          <w:sz w:val="24"/>
          <w:szCs w:val="24"/>
          <w:lang w:eastAsia="zh-CN"/>
        </w:rPr>
      </w:pPr>
      <w:r w:rsidRPr="006D3DA5">
        <w:rPr>
          <w:sz w:val="24"/>
          <w:szCs w:val="24"/>
          <w:lang w:eastAsia="zh-CN"/>
        </w:rPr>
        <w:t>1.</w:t>
      </w:r>
      <w:r w:rsidRPr="006D3DA5">
        <w:rPr>
          <w:sz w:val="24"/>
          <w:szCs w:val="24"/>
          <w:lang w:eastAsia="zh-CN"/>
        </w:rPr>
        <w:tab/>
      </w:r>
      <w:r w:rsidRPr="00AC66FE">
        <w:rPr>
          <w:rFonts w:eastAsia="KaiTi" w:hint="eastAsia"/>
          <w:iCs/>
          <w:sz w:val="24"/>
          <w:szCs w:val="24"/>
          <w:lang w:val="en-US" w:eastAsia="zh-CN"/>
        </w:rPr>
        <w:t>提醒</w:t>
      </w:r>
      <w:r w:rsidRPr="00AC66FE">
        <w:rPr>
          <w:rFonts w:hint="eastAsia"/>
          <w:sz w:val="24"/>
          <w:szCs w:val="24"/>
          <w:lang w:val="en-US" w:eastAsia="zh-CN"/>
        </w:rPr>
        <w:t>缔约方履行《卡塔赫纳生物安全议定书》</w:t>
      </w:r>
      <w:r w:rsidRPr="006D3DA5">
        <w:rPr>
          <w:rStyle w:val="FootnoteReference"/>
          <w:sz w:val="24"/>
          <w:szCs w:val="24"/>
        </w:rPr>
        <w:footnoteReference w:id="2"/>
      </w:r>
      <w:r w:rsidR="00E4401D" w:rsidRPr="00AC66FE">
        <w:rPr>
          <w:rFonts w:hint="eastAsia"/>
          <w:sz w:val="24"/>
          <w:szCs w:val="24"/>
          <w:lang w:val="en-US" w:eastAsia="zh-CN"/>
        </w:rPr>
        <w:t>的义务的重要性；</w:t>
      </w:r>
    </w:p>
    <w:p w14:paraId="31230716" w14:textId="3E4F7FFC" w:rsidR="00E34A3F" w:rsidRPr="00AC66FE" w:rsidRDefault="00E34A3F" w:rsidP="00E34A3F">
      <w:pPr>
        <w:pStyle w:val="StylePara1Kernat11pt"/>
        <w:tabs>
          <w:tab w:val="clear" w:pos="567"/>
          <w:tab w:val="clear" w:pos="1134"/>
          <w:tab w:val="clear" w:pos="1701"/>
          <w:tab w:val="clear" w:pos="2268"/>
        </w:tabs>
        <w:spacing w:line="240" w:lineRule="atLeast"/>
        <w:ind w:left="490" w:firstLine="490"/>
        <w:rPr>
          <w:rFonts w:eastAsia="KaiTi"/>
          <w:iCs/>
          <w:sz w:val="24"/>
          <w:szCs w:val="24"/>
          <w:lang w:eastAsia="zh-CN"/>
        </w:rPr>
      </w:pPr>
      <w:r w:rsidRPr="006D3DA5">
        <w:rPr>
          <w:sz w:val="24"/>
          <w:szCs w:val="24"/>
          <w:lang w:eastAsia="zh-CN"/>
        </w:rPr>
        <w:t>2.</w:t>
      </w:r>
      <w:r w:rsidRPr="006D3DA5">
        <w:rPr>
          <w:sz w:val="24"/>
          <w:szCs w:val="24"/>
          <w:lang w:eastAsia="zh-CN"/>
        </w:rPr>
        <w:tab/>
      </w:r>
      <w:r w:rsidRPr="00AC66FE">
        <w:rPr>
          <w:rFonts w:eastAsia="KaiTi" w:hint="eastAsia"/>
          <w:iCs/>
          <w:sz w:val="24"/>
          <w:szCs w:val="24"/>
          <w:lang w:eastAsia="zh-CN"/>
        </w:rPr>
        <w:t>又提醒</w:t>
      </w:r>
      <w:r w:rsidRPr="00AC66FE">
        <w:rPr>
          <w:rFonts w:hint="eastAsia"/>
          <w:sz w:val="24"/>
          <w:szCs w:val="24"/>
          <w:lang w:eastAsia="zh-CN"/>
        </w:rPr>
        <w:t>缔约方</w:t>
      </w:r>
      <w:r>
        <w:rPr>
          <w:rFonts w:hint="eastAsia"/>
          <w:sz w:val="24"/>
          <w:szCs w:val="24"/>
          <w:lang w:eastAsia="zh-CN"/>
        </w:rPr>
        <w:t>有</w:t>
      </w:r>
      <w:r w:rsidRPr="00AC66FE">
        <w:rPr>
          <w:rFonts w:hint="eastAsia"/>
          <w:sz w:val="24"/>
          <w:szCs w:val="24"/>
          <w:lang w:eastAsia="zh-CN"/>
        </w:rPr>
        <w:t>义务指定国家联络点并随时更新国家联络点的信息</w:t>
      </w:r>
      <w:r>
        <w:rPr>
          <w:rFonts w:hint="eastAsia"/>
          <w:sz w:val="24"/>
          <w:szCs w:val="24"/>
          <w:lang w:eastAsia="zh-CN"/>
        </w:rPr>
        <w:t>；</w:t>
      </w:r>
    </w:p>
    <w:p w14:paraId="27D39B1B" w14:textId="64219855" w:rsidR="00E34A3F" w:rsidRPr="006D3DA5" w:rsidRDefault="00E34A3F" w:rsidP="00E34A3F">
      <w:pPr>
        <w:pStyle w:val="StylePara1Kernat11pt"/>
        <w:tabs>
          <w:tab w:val="clear" w:pos="567"/>
          <w:tab w:val="clear" w:pos="1134"/>
          <w:tab w:val="clear" w:pos="1701"/>
          <w:tab w:val="clear" w:pos="2268"/>
        </w:tabs>
        <w:spacing w:line="240" w:lineRule="atLeast"/>
        <w:ind w:left="490" w:firstLine="490"/>
        <w:rPr>
          <w:sz w:val="24"/>
          <w:szCs w:val="24"/>
          <w:lang w:eastAsia="zh-CN"/>
        </w:rPr>
      </w:pPr>
      <w:r w:rsidRPr="006D3DA5">
        <w:rPr>
          <w:sz w:val="24"/>
          <w:szCs w:val="24"/>
          <w:lang w:eastAsia="zh-CN"/>
        </w:rPr>
        <w:t>3.</w:t>
      </w:r>
      <w:r w:rsidRPr="00AC66FE">
        <w:rPr>
          <w:rFonts w:eastAsia="KaiTi"/>
          <w:iCs/>
          <w:sz w:val="24"/>
          <w:szCs w:val="24"/>
          <w:lang w:eastAsia="zh-CN"/>
        </w:rPr>
        <w:tab/>
      </w:r>
      <w:r w:rsidR="00E4401D" w:rsidRPr="00E4401D">
        <w:rPr>
          <w:rFonts w:eastAsia="KaiTi" w:hint="eastAsia"/>
          <w:sz w:val="24"/>
          <w:szCs w:val="24"/>
          <w:lang w:eastAsia="zh-CN"/>
        </w:rPr>
        <w:t>请</w:t>
      </w:r>
      <w:r w:rsidR="00E4401D" w:rsidRPr="00E4401D">
        <w:rPr>
          <w:rFonts w:hint="eastAsia"/>
          <w:sz w:val="24"/>
          <w:szCs w:val="24"/>
          <w:lang w:eastAsia="zh-CN"/>
        </w:rPr>
        <w:t>缔约方在被要求提供与履行《卡塔赫纳议定书》</w:t>
      </w:r>
      <w:r w:rsidR="00E754D7">
        <w:rPr>
          <w:rFonts w:hint="eastAsia"/>
          <w:sz w:val="24"/>
          <w:szCs w:val="24"/>
          <w:lang w:eastAsia="zh-CN"/>
        </w:rPr>
        <w:t>的</w:t>
      </w:r>
      <w:r w:rsidR="00E4401D" w:rsidRPr="00E4401D">
        <w:rPr>
          <w:rFonts w:hint="eastAsia"/>
          <w:sz w:val="24"/>
          <w:szCs w:val="24"/>
          <w:lang w:eastAsia="zh-CN"/>
        </w:rPr>
        <w:t>义务有关的信息时给予充分合作</w:t>
      </w:r>
      <w:r w:rsidR="00E754D7">
        <w:rPr>
          <w:rFonts w:hint="eastAsia"/>
          <w:sz w:val="24"/>
          <w:szCs w:val="24"/>
          <w:lang w:eastAsia="zh-CN"/>
        </w:rPr>
        <w:t>；</w:t>
      </w:r>
    </w:p>
    <w:p w14:paraId="7BF2128D" w14:textId="4A8296D2" w:rsidR="00E34A3F" w:rsidRPr="006D3DA5" w:rsidRDefault="00E34A3F" w:rsidP="00E34A3F">
      <w:pPr>
        <w:pStyle w:val="StylePara1Kernat11pt"/>
        <w:tabs>
          <w:tab w:val="clear" w:pos="567"/>
          <w:tab w:val="clear" w:pos="1134"/>
          <w:tab w:val="clear" w:pos="1701"/>
          <w:tab w:val="clear" w:pos="2268"/>
        </w:tabs>
        <w:spacing w:line="240" w:lineRule="atLeast"/>
        <w:ind w:left="490" w:firstLine="490"/>
        <w:rPr>
          <w:sz w:val="24"/>
          <w:szCs w:val="24"/>
          <w:lang w:eastAsia="zh-CN"/>
        </w:rPr>
      </w:pPr>
      <w:r w:rsidRPr="006D3DA5">
        <w:rPr>
          <w:sz w:val="24"/>
          <w:szCs w:val="24"/>
          <w:lang w:eastAsia="zh-CN"/>
        </w:rPr>
        <w:t>4.</w:t>
      </w:r>
      <w:r w:rsidRPr="00AC66FE">
        <w:rPr>
          <w:rFonts w:eastAsia="KaiTi"/>
          <w:iCs/>
          <w:sz w:val="24"/>
          <w:szCs w:val="24"/>
          <w:lang w:eastAsia="zh-CN"/>
        </w:rPr>
        <w:tab/>
      </w:r>
      <w:r w:rsidRPr="00AC66FE">
        <w:rPr>
          <w:rFonts w:eastAsia="KaiTi" w:hint="eastAsia"/>
          <w:iCs/>
          <w:sz w:val="24"/>
          <w:szCs w:val="24"/>
          <w:lang w:eastAsia="zh-CN"/>
        </w:rPr>
        <w:t>赞赏地注意到</w:t>
      </w:r>
      <w:r w:rsidRPr="00AC66FE">
        <w:rPr>
          <w:rFonts w:hint="eastAsia"/>
          <w:sz w:val="24"/>
          <w:szCs w:val="24"/>
          <w:lang w:eastAsia="zh-CN"/>
        </w:rPr>
        <w:t>缔约方为履行《</w:t>
      </w:r>
      <w:r w:rsidR="00003106">
        <w:rPr>
          <w:rFonts w:hint="eastAsia"/>
          <w:sz w:val="24"/>
          <w:szCs w:val="24"/>
          <w:lang w:eastAsia="zh-CN"/>
        </w:rPr>
        <w:t>卡塔赫纳</w:t>
      </w:r>
      <w:r w:rsidRPr="00AC66FE">
        <w:rPr>
          <w:rFonts w:hint="eastAsia"/>
          <w:sz w:val="24"/>
          <w:szCs w:val="24"/>
          <w:lang w:eastAsia="zh-CN"/>
        </w:rPr>
        <w:t>议定书》</w:t>
      </w:r>
      <w:r w:rsidR="00E754D7">
        <w:rPr>
          <w:rFonts w:hint="eastAsia"/>
          <w:sz w:val="24"/>
          <w:szCs w:val="24"/>
          <w:lang w:eastAsia="zh-CN"/>
        </w:rPr>
        <w:t>的</w:t>
      </w:r>
      <w:r w:rsidRPr="00AC66FE">
        <w:rPr>
          <w:rFonts w:hint="eastAsia"/>
          <w:sz w:val="24"/>
          <w:szCs w:val="24"/>
          <w:lang w:eastAsia="zh-CN"/>
        </w:rPr>
        <w:t>义务，向生物安全信息交换所提供信息</w:t>
      </w:r>
      <w:r w:rsidR="00E754D7">
        <w:rPr>
          <w:rFonts w:hint="eastAsia"/>
          <w:sz w:val="24"/>
          <w:szCs w:val="24"/>
          <w:lang w:eastAsia="zh-CN"/>
        </w:rPr>
        <w:t>所作的</w:t>
      </w:r>
      <w:r w:rsidR="00E754D7" w:rsidRPr="00AC66FE">
        <w:rPr>
          <w:rFonts w:hint="eastAsia"/>
          <w:sz w:val="24"/>
          <w:szCs w:val="24"/>
          <w:lang w:eastAsia="zh-CN"/>
        </w:rPr>
        <w:t>努力</w:t>
      </w:r>
      <w:r w:rsidRPr="00AC66FE">
        <w:rPr>
          <w:rFonts w:hint="eastAsia"/>
          <w:sz w:val="24"/>
          <w:szCs w:val="24"/>
          <w:lang w:eastAsia="zh-CN"/>
        </w:rPr>
        <w:t>，并敦促缔约方确保这些信息与国家报告中提供的信息相一致；</w:t>
      </w:r>
    </w:p>
    <w:p w14:paraId="10BEB0D3" w14:textId="7167C450" w:rsidR="00E34A3F" w:rsidRPr="006D3DA5" w:rsidRDefault="00E34A3F" w:rsidP="00200FE1">
      <w:pPr>
        <w:pStyle w:val="StylePara1Kernat11pt"/>
        <w:tabs>
          <w:tab w:val="clear" w:pos="567"/>
          <w:tab w:val="clear" w:pos="1134"/>
          <w:tab w:val="clear" w:pos="1701"/>
          <w:tab w:val="clear" w:pos="2268"/>
        </w:tabs>
        <w:spacing w:line="240" w:lineRule="atLeast"/>
        <w:ind w:left="490" w:firstLine="490"/>
        <w:jc w:val="left"/>
        <w:rPr>
          <w:sz w:val="24"/>
          <w:szCs w:val="24"/>
          <w:lang w:eastAsia="zh-CN"/>
        </w:rPr>
      </w:pPr>
      <w:r w:rsidRPr="006D3DA5">
        <w:rPr>
          <w:sz w:val="24"/>
          <w:szCs w:val="24"/>
          <w:lang w:eastAsia="zh-CN"/>
        </w:rPr>
        <w:t>5.</w:t>
      </w:r>
      <w:r w:rsidRPr="00AC66FE">
        <w:rPr>
          <w:rFonts w:eastAsia="KaiTi"/>
          <w:iCs/>
          <w:sz w:val="24"/>
          <w:szCs w:val="24"/>
          <w:lang w:eastAsia="zh-CN"/>
        </w:rPr>
        <w:tab/>
      </w:r>
      <w:r w:rsidRPr="003163DD">
        <w:rPr>
          <w:rFonts w:eastAsia="KaiTi" w:hint="eastAsia"/>
          <w:iCs/>
          <w:sz w:val="24"/>
          <w:szCs w:val="24"/>
          <w:lang w:eastAsia="zh-CN"/>
        </w:rPr>
        <w:t>鼓励</w:t>
      </w:r>
      <w:r w:rsidRPr="003163DD">
        <w:rPr>
          <w:rFonts w:hint="eastAsia"/>
          <w:sz w:val="24"/>
          <w:szCs w:val="24"/>
          <w:lang w:eastAsia="zh-CN"/>
        </w:rPr>
        <w:t>缔约方使用第五次国家报告格式中的自由文本</w:t>
      </w:r>
      <w:r w:rsidR="00E754D7">
        <w:rPr>
          <w:rFonts w:hint="eastAsia"/>
          <w:sz w:val="24"/>
          <w:szCs w:val="24"/>
          <w:lang w:eastAsia="zh-CN"/>
        </w:rPr>
        <w:t>栏</w:t>
      </w:r>
      <w:r w:rsidRPr="003163DD">
        <w:rPr>
          <w:rFonts w:hint="eastAsia"/>
          <w:sz w:val="24"/>
          <w:szCs w:val="24"/>
          <w:lang w:eastAsia="zh-CN"/>
        </w:rPr>
        <w:t>来解释所提供的答复，并邀请那些在履行某些义务方面遇到</w:t>
      </w:r>
      <w:r w:rsidR="00E754D7">
        <w:rPr>
          <w:rFonts w:hint="eastAsia"/>
          <w:sz w:val="24"/>
          <w:szCs w:val="24"/>
          <w:lang w:eastAsia="zh-CN"/>
        </w:rPr>
        <w:t>困难</w:t>
      </w:r>
      <w:r w:rsidRPr="003163DD">
        <w:rPr>
          <w:rFonts w:hint="eastAsia"/>
          <w:sz w:val="24"/>
          <w:szCs w:val="24"/>
          <w:lang w:eastAsia="zh-CN"/>
        </w:rPr>
        <w:t>的缔约方在这些自由文本</w:t>
      </w:r>
      <w:r w:rsidR="00E754D7">
        <w:rPr>
          <w:rFonts w:hint="eastAsia"/>
          <w:sz w:val="24"/>
          <w:szCs w:val="24"/>
          <w:lang w:eastAsia="zh-CN"/>
        </w:rPr>
        <w:t>栏</w:t>
      </w:r>
      <w:r w:rsidRPr="003163DD">
        <w:rPr>
          <w:rFonts w:hint="eastAsia"/>
          <w:sz w:val="24"/>
          <w:szCs w:val="24"/>
          <w:lang w:eastAsia="zh-CN"/>
        </w:rPr>
        <w:t>中分享信息，说明所遇到的</w:t>
      </w:r>
      <w:r w:rsidR="002E3FDF">
        <w:rPr>
          <w:rFonts w:hint="eastAsia"/>
          <w:sz w:val="24"/>
          <w:szCs w:val="24"/>
          <w:lang w:eastAsia="zh-CN"/>
        </w:rPr>
        <w:t>困难</w:t>
      </w:r>
      <w:r w:rsidRPr="003163DD">
        <w:rPr>
          <w:rFonts w:hint="eastAsia"/>
          <w:sz w:val="24"/>
          <w:szCs w:val="24"/>
          <w:lang w:eastAsia="zh-CN"/>
        </w:rPr>
        <w:t>；</w:t>
      </w:r>
      <w:r w:rsidRPr="006D3DA5">
        <w:rPr>
          <w:sz w:val="24"/>
          <w:szCs w:val="24"/>
          <w:lang w:eastAsia="zh-CN"/>
        </w:rPr>
        <w:t xml:space="preserve"> </w:t>
      </w:r>
    </w:p>
    <w:p w14:paraId="7E923D08" w14:textId="1A4FB4CF" w:rsidR="00E34A3F" w:rsidRPr="00AC66FE" w:rsidRDefault="00E34A3F" w:rsidP="00E34A3F">
      <w:pPr>
        <w:pStyle w:val="StylePara1Kernat11pt"/>
        <w:tabs>
          <w:tab w:val="clear" w:pos="567"/>
          <w:tab w:val="clear" w:pos="1134"/>
          <w:tab w:val="clear" w:pos="1701"/>
          <w:tab w:val="clear" w:pos="2268"/>
        </w:tabs>
        <w:spacing w:line="240" w:lineRule="atLeast"/>
        <w:ind w:left="490" w:firstLine="490"/>
        <w:rPr>
          <w:rFonts w:eastAsia="KaiTi"/>
          <w:iCs/>
          <w:sz w:val="24"/>
          <w:szCs w:val="24"/>
          <w:lang w:eastAsia="zh-CN"/>
        </w:rPr>
      </w:pPr>
      <w:r w:rsidRPr="006D3DA5">
        <w:rPr>
          <w:sz w:val="24"/>
          <w:szCs w:val="24"/>
          <w:lang w:eastAsia="zh-CN"/>
        </w:rPr>
        <w:t>6.</w:t>
      </w:r>
      <w:r w:rsidRPr="006D3DA5">
        <w:rPr>
          <w:sz w:val="24"/>
          <w:szCs w:val="24"/>
          <w:lang w:eastAsia="zh-CN"/>
        </w:rPr>
        <w:tab/>
      </w:r>
      <w:r w:rsidRPr="003163DD">
        <w:rPr>
          <w:rFonts w:eastAsia="KaiTi" w:hint="eastAsia"/>
          <w:iCs/>
          <w:sz w:val="24"/>
          <w:szCs w:val="24"/>
          <w:lang w:eastAsia="zh-CN"/>
        </w:rPr>
        <w:t>回顾</w:t>
      </w:r>
      <w:r w:rsidRPr="003163DD">
        <w:rPr>
          <w:rFonts w:hint="eastAsia"/>
          <w:sz w:val="24"/>
          <w:szCs w:val="24"/>
          <w:lang w:eastAsia="zh-CN"/>
        </w:rPr>
        <w:t>已敦促那些在履行《</w:t>
      </w:r>
      <w:r w:rsidR="00003106">
        <w:rPr>
          <w:rFonts w:hint="eastAsia"/>
          <w:sz w:val="24"/>
          <w:szCs w:val="24"/>
          <w:lang w:eastAsia="zh-CN"/>
        </w:rPr>
        <w:t>卡塔赫纳</w:t>
      </w:r>
      <w:r w:rsidRPr="003163DD">
        <w:rPr>
          <w:rFonts w:hint="eastAsia"/>
          <w:sz w:val="24"/>
          <w:szCs w:val="24"/>
          <w:lang w:eastAsia="zh-CN"/>
        </w:rPr>
        <w:t>议定书》的一项或多项义务时面临困难的缔约方向履约委员会寻求协助；</w:t>
      </w:r>
    </w:p>
    <w:p w14:paraId="4B3C4674" w14:textId="6B31C9AA" w:rsidR="00E34A3F" w:rsidRPr="006D3DA5" w:rsidRDefault="00E34A3F" w:rsidP="00E34A3F">
      <w:pPr>
        <w:pStyle w:val="StylePara1Kernat11pt"/>
        <w:tabs>
          <w:tab w:val="clear" w:pos="567"/>
          <w:tab w:val="clear" w:pos="1134"/>
          <w:tab w:val="clear" w:pos="1701"/>
          <w:tab w:val="clear" w:pos="2268"/>
        </w:tabs>
        <w:spacing w:line="240" w:lineRule="atLeast"/>
        <w:ind w:left="490" w:firstLine="490"/>
        <w:rPr>
          <w:sz w:val="24"/>
          <w:szCs w:val="24"/>
          <w:lang w:eastAsia="zh-CN"/>
        </w:rPr>
      </w:pPr>
      <w:r w:rsidRPr="006D3DA5">
        <w:rPr>
          <w:sz w:val="24"/>
          <w:szCs w:val="24"/>
          <w:lang w:eastAsia="zh-CN"/>
        </w:rPr>
        <w:t>7.</w:t>
      </w:r>
      <w:r w:rsidRPr="00AC66FE">
        <w:rPr>
          <w:rFonts w:eastAsia="KaiTi"/>
          <w:iCs/>
          <w:sz w:val="24"/>
          <w:szCs w:val="24"/>
          <w:lang w:eastAsia="zh-CN"/>
        </w:rPr>
        <w:tab/>
      </w:r>
      <w:r w:rsidRPr="00C870FF">
        <w:rPr>
          <w:rFonts w:eastAsia="KaiTi" w:hint="eastAsia"/>
          <w:iCs/>
          <w:sz w:val="24"/>
          <w:szCs w:val="24"/>
          <w:lang w:eastAsia="zh-CN"/>
        </w:rPr>
        <w:t>认识到</w:t>
      </w:r>
      <w:r w:rsidRPr="00C870FF">
        <w:rPr>
          <w:rFonts w:hint="eastAsia"/>
          <w:sz w:val="24"/>
          <w:szCs w:val="24"/>
          <w:lang w:eastAsia="zh-CN"/>
        </w:rPr>
        <w:t>履约行动计划有助于推动制定执行《</w:t>
      </w:r>
      <w:r w:rsidR="00003106">
        <w:rPr>
          <w:rFonts w:hint="eastAsia"/>
          <w:sz w:val="24"/>
          <w:szCs w:val="24"/>
          <w:lang w:eastAsia="zh-CN"/>
        </w:rPr>
        <w:t>卡塔赫纳</w:t>
      </w:r>
      <w:r w:rsidRPr="00C870FF">
        <w:rPr>
          <w:rFonts w:hint="eastAsia"/>
          <w:sz w:val="24"/>
          <w:szCs w:val="24"/>
          <w:lang w:eastAsia="zh-CN"/>
        </w:rPr>
        <w:t>议定书》的措施，</w:t>
      </w:r>
      <w:r w:rsidR="00FE3BB0">
        <w:rPr>
          <w:rFonts w:hint="eastAsia"/>
          <w:sz w:val="24"/>
          <w:szCs w:val="24"/>
          <w:lang w:eastAsia="zh-CN"/>
        </w:rPr>
        <w:t>并认识到履约</w:t>
      </w:r>
      <w:r w:rsidRPr="00C870FF">
        <w:rPr>
          <w:rFonts w:hint="eastAsia"/>
          <w:sz w:val="24"/>
          <w:szCs w:val="24"/>
          <w:lang w:eastAsia="zh-CN"/>
        </w:rPr>
        <w:t>委员会</w:t>
      </w:r>
      <w:r w:rsidR="00FE3BB0">
        <w:rPr>
          <w:rFonts w:hint="eastAsia"/>
          <w:sz w:val="24"/>
          <w:szCs w:val="24"/>
          <w:lang w:eastAsia="zh-CN"/>
        </w:rPr>
        <w:t>在这方面</w:t>
      </w:r>
      <w:r w:rsidRPr="00C870FF">
        <w:rPr>
          <w:rFonts w:hint="eastAsia"/>
          <w:sz w:val="24"/>
          <w:szCs w:val="24"/>
          <w:lang w:eastAsia="zh-CN"/>
        </w:rPr>
        <w:t>向缔约方提供</w:t>
      </w:r>
      <w:r w:rsidR="00FE3BB0">
        <w:rPr>
          <w:rFonts w:hint="eastAsia"/>
          <w:sz w:val="24"/>
          <w:szCs w:val="24"/>
          <w:lang w:eastAsia="zh-CN"/>
        </w:rPr>
        <w:t>支持所起</w:t>
      </w:r>
      <w:r w:rsidRPr="00C870FF">
        <w:rPr>
          <w:rFonts w:hint="eastAsia"/>
          <w:sz w:val="24"/>
          <w:szCs w:val="24"/>
          <w:lang w:eastAsia="zh-CN"/>
        </w:rPr>
        <w:t>的作用；</w:t>
      </w:r>
    </w:p>
    <w:p w14:paraId="6267B55E" w14:textId="5466B6A2" w:rsidR="00E34A3F" w:rsidRPr="006D3DA5" w:rsidRDefault="00E34A3F" w:rsidP="00200FE1">
      <w:pPr>
        <w:pStyle w:val="StylePara1Kernat11pt"/>
        <w:tabs>
          <w:tab w:val="clear" w:pos="567"/>
          <w:tab w:val="clear" w:pos="1134"/>
          <w:tab w:val="clear" w:pos="1701"/>
          <w:tab w:val="clear" w:pos="2268"/>
        </w:tabs>
        <w:spacing w:line="240" w:lineRule="atLeast"/>
        <w:ind w:left="490" w:firstLine="490"/>
        <w:jc w:val="left"/>
        <w:rPr>
          <w:sz w:val="24"/>
          <w:szCs w:val="24"/>
          <w:lang w:eastAsia="zh-CN"/>
        </w:rPr>
      </w:pPr>
      <w:r w:rsidRPr="006D3DA5">
        <w:rPr>
          <w:sz w:val="24"/>
          <w:szCs w:val="24"/>
          <w:lang w:eastAsia="zh-CN"/>
        </w:rPr>
        <w:lastRenderedPageBreak/>
        <w:t>8.</w:t>
      </w:r>
      <w:r w:rsidRPr="00AC66FE">
        <w:rPr>
          <w:rFonts w:eastAsia="KaiTi"/>
          <w:iCs/>
          <w:sz w:val="24"/>
          <w:szCs w:val="24"/>
          <w:lang w:eastAsia="zh-CN"/>
        </w:rPr>
        <w:tab/>
      </w:r>
      <w:r w:rsidRPr="00C870FF">
        <w:rPr>
          <w:rFonts w:eastAsia="KaiTi" w:hint="eastAsia"/>
          <w:iCs/>
          <w:sz w:val="24"/>
          <w:szCs w:val="24"/>
          <w:lang w:eastAsia="zh-CN"/>
        </w:rPr>
        <w:t>欢迎</w:t>
      </w:r>
      <w:r w:rsidRPr="00C870FF">
        <w:rPr>
          <w:rFonts w:hint="eastAsia"/>
          <w:sz w:val="24"/>
          <w:szCs w:val="24"/>
          <w:lang w:eastAsia="zh-CN"/>
        </w:rPr>
        <w:t>联合国环境规划署通过其法律和环境援助平台向积极考虑制定履约行动计划的缔约方提供生物安全立法</w:t>
      </w:r>
      <w:r w:rsidR="004E1B1D">
        <w:rPr>
          <w:rFonts w:hint="eastAsia"/>
          <w:sz w:val="24"/>
          <w:szCs w:val="24"/>
          <w:lang w:eastAsia="zh-CN"/>
        </w:rPr>
        <w:t>方面的</w:t>
      </w:r>
      <w:r w:rsidRPr="00C870FF">
        <w:rPr>
          <w:rFonts w:hint="eastAsia"/>
          <w:sz w:val="24"/>
          <w:szCs w:val="24"/>
          <w:lang w:eastAsia="zh-CN"/>
        </w:rPr>
        <w:t>支持；</w:t>
      </w:r>
    </w:p>
    <w:p w14:paraId="3FA5C033" w14:textId="5380818A" w:rsidR="00E34A3F" w:rsidRDefault="00E34A3F" w:rsidP="00200FE1">
      <w:pPr>
        <w:pStyle w:val="StylePara1Kernat11pt"/>
        <w:tabs>
          <w:tab w:val="clear" w:pos="567"/>
          <w:tab w:val="clear" w:pos="1134"/>
          <w:tab w:val="clear" w:pos="1701"/>
          <w:tab w:val="clear" w:pos="2268"/>
        </w:tabs>
        <w:spacing w:line="240" w:lineRule="atLeast"/>
        <w:ind w:left="490" w:firstLine="490"/>
        <w:jc w:val="left"/>
        <w:rPr>
          <w:rFonts w:eastAsia="KaiTi"/>
          <w:iCs/>
          <w:sz w:val="24"/>
          <w:szCs w:val="24"/>
          <w:lang w:eastAsia="zh-CN"/>
        </w:rPr>
      </w:pPr>
      <w:r w:rsidRPr="006D3DA5">
        <w:rPr>
          <w:sz w:val="24"/>
          <w:szCs w:val="24"/>
          <w:lang w:eastAsia="zh-CN"/>
        </w:rPr>
        <w:t>9.</w:t>
      </w:r>
      <w:r w:rsidRPr="006D3DA5">
        <w:rPr>
          <w:sz w:val="24"/>
          <w:szCs w:val="24"/>
          <w:lang w:eastAsia="zh-CN"/>
        </w:rPr>
        <w:tab/>
      </w:r>
      <w:r w:rsidRPr="00C870FF">
        <w:rPr>
          <w:rFonts w:eastAsia="KaiTi" w:hint="eastAsia"/>
          <w:iCs/>
          <w:sz w:val="24"/>
          <w:szCs w:val="24"/>
          <w:lang w:eastAsia="zh-CN"/>
        </w:rPr>
        <w:t>敦促</w:t>
      </w:r>
      <w:r w:rsidRPr="00C870FF">
        <w:rPr>
          <w:iCs/>
          <w:sz w:val="24"/>
          <w:szCs w:val="24"/>
          <w:lang w:eastAsia="zh-CN"/>
        </w:rPr>
        <w:t>缔约方并邀请其他国家政府</w:t>
      </w:r>
      <w:r w:rsidR="00FE3BB0" w:rsidRPr="00C870FF">
        <w:rPr>
          <w:iCs/>
          <w:sz w:val="24"/>
          <w:szCs w:val="24"/>
          <w:lang w:eastAsia="zh-CN"/>
        </w:rPr>
        <w:t>自愿</w:t>
      </w:r>
      <w:r w:rsidRPr="00C870FF">
        <w:rPr>
          <w:iCs/>
          <w:sz w:val="24"/>
          <w:szCs w:val="24"/>
          <w:lang w:eastAsia="zh-CN"/>
        </w:rPr>
        <w:t>提供资金，</w:t>
      </w:r>
      <w:r w:rsidR="00FE3BB0" w:rsidRPr="00200FE1">
        <w:rPr>
          <w:rFonts w:hint="eastAsia"/>
          <w:iCs/>
          <w:spacing w:val="-10"/>
          <w:sz w:val="24"/>
          <w:szCs w:val="24"/>
          <w:lang w:eastAsia="zh-CN"/>
        </w:rPr>
        <w:t>资助</w:t>
      </w:r>
      <w:r w:rsidRPr="00200FE1">
        <w:rPr>
          <w:iCs/>
          <w:spacing w:val="-10"/>
          <w:sz w:val="24"/>
          <w:szCs w:val="24"/>
          <w:lang w:eastAsia="zh-CN"/>
        </w:rPr>
        <w:t>已制定履约行动计划的</w:t>
      </w:r>
      <w:r w:rsidRPr="00200FE1">
        <w:rPr>
          <w:iCs/>
          <w:spacing w:val="-10"/>
          <w:sz w:val="24"/>
          <w:szCs w:val="24"/>
          <w:lang w:eastAsia="zh-CN"/>
        </w:rPr>
        <w:t xml:space="preserve"> 11 </w:t>
      </w:r>
      <w:r w:rsidRPr="00200FE1">
        <w:rPr>
          <w:iCs/>
          <w:spacing w:val="-10"/>
          <w:sz w:val="24"/>
          <w:szCs w:val="24"/>
          <w:lang w:eastAsia="zh-CN"/>
        </w:rPr>
        <w:t>个缔约方</w:t>
      </w:r>
      <w:r w:rsidRPr="00200FE1">
        <w:rPr>
          <w:rStyle w:val="FootnoteReference"/>
          <w:spacing w:val="-10"/>
          <w:sz w:val="24"/>
          <w:szCs w:val="24"/>
        </w:rPr>
        <w:footnoteReference w:id="3"/>
      </w:r>
      <w:r w:rsidR="00FE3BB0" w:rsidRPr="00200FE1">
        <w:rPr>
          <w:rFonts w:hint="eastAsia"/>
          <w:iCs/>
          <w:spacing w:val="-10"/>
          <w:sz w:val="24"/>
          <w:szCs w:val="24"/>
          <w:lang w:eastAsia="zh-CN"/>
        </w:rPr>
        <w:t>和</w:t>
      </w:r>
      <w:r w:rsidRPr="00200FE1">
        <w:rPr>
          <w:iCs/>
          <w:spacing w:val="-10"/>
          <w:sz w:val="24"/>
          <w:szCs w:val="24"/>
          <w:lang w:eastAsia="zh-CN"/>
        </w:rPr>
        <w:t>任何按照</w:t>
      </w:r>
      <w:r w:rsidR="004E1B1D" w:rsidRPr="00200FE1">
        <w:rPr>
          <w:rFonts w:hint="eastAsia"/>
          <w:iCs/>
          <w:spacing w:val="-10"/>
          <w:sz w:val="24"/>
          <w:szCs w:val="24"/>
          <w:lang w:eastAsia="zh-CN"/>
        </w:rPr>
        <w:t>履约</w:t>
      </w:r>
      <w:r w:rsidRPr="00200FE1">
        <w:rPr>
          <w:iCs/>
          <w:spacing w:val="-10"/>
          <w:sz w:val="24"/>
          <w:szCs w:val="24"/>
          <w:lang w:eastAsia="zh-CN"/>
        </w:rPr>
        <w:t>委员会的要求制定和执行</w:t>
      </w:r>
      <w:r w:rsidR="004E1B1D" w:rsidRPr="00200FE1">
        <w:rPr>
          <w:rFonts w:hint="eastAsia"/>
          <w:iCs/>
          <w:spacing w:val="-10"/>
          <w:sz w:val="24"/>
          <w:szCs w:val="24"/>
          <w:lang w:eastAsia="zh-CN"/>
        </w:rPr>
        <w:t>此类</w:t>
      </w:r>
      <w:r w:rsidRPr="00200FE1">
        <w:rPr>
          <w:iCs/>
          <w:spacing w:val="-10"/>
          <w:sz w:val="24"/>
          <w:szCs w:val="24"/>
          <w:lang w:eastAsia="zh-CN"/>
        </w:rPr>
        <w:t>行动计划的</w:t>
      </w:r>
      <w:r w:rsidR="00FE3BB0" w:rsidRPr="00200FE1">
        <w:rPr>
          <w:iCs/>
          <w:spacing w:val="-10"/>
          <w:sz w:val="24"/>
          <w:szCs w:val="24"/>
          <w:lang w:eastAsia="zh-CN"/>
        </w:rPr>
        <w:t>其他</w:t>
      </w:r>
      <w:r w:rsidRPr="00200FE1">
        <w:rPr>
          <w:iCs/>
          <w:spacing w:val="-10"/>
          <w:sz w:val="24"/>
          <w:szCs w:val="24"/>
          <w:lang w:eastAsia="zh-CN"/>
        </w:rPr>
        <w:t>缔约方；</w:t>
      </w:r>
      <w:r w:rsidRPr="00AC66FE">
        <w:rPr>
          <w:rFonts w:eastAsia="KaiTi"/>
          <w:iCs/>
          <w:sz w:val="24"/>
          <w:szCs w:val="24"/>
          <w:lang w:eastAsia="zh-CN"/>
        </w:rPr>
        <w:t xml:space="preserve"> </w:t>
      </w:r>
    </w:p>
    <w:p w14:paraId="54CB3154" w14:textId="6D3B0B77" w:rsidR="00E34A3F" w:rsidRPr="00AC66FE" w:rsidRDefault="00E34A3F" w:rsidP="00200FE1">
      <w:pPr>
        <w:pStyle w:val="StylePara1Kernat11pt"/>
        <w:tabs>
          <w:tab w:val="clear" w:pos="567"/>
          <w:tab w:val="clear" w:pos="1134"/>
          <w:tab w:val="clear" w:pos="1701"/>
          <w:tab w:val="clear" w:pos="2268"/>
        </w:tabs>
        <w:spacing w:line="240" w:lineRule="atLeast"/>
        <w:ind w:left="490" w:firstLine="490"/>
        <w:jc w:val="left"/>
        <w:rPr>
          <w:rFonts w:eastAsia="KaiTi"/>
          <w:iCs/>
          <w:sz w:val="24"/>
          <w:szCs w:val="24"/>
          <w:lang w:eastAsia="zh-CN"/>
        </w:rPr>
      </w:pPr>
      <w:r w:rsidRPr="006D3DA5">
        <w:rPr>
          <w:sz w:val="24"/>
          <w:szCs w:val="24"/>
          <w:lang w:eastAsia="zh-CN"/>
        </w:rPr>
        <w:t>10.</w:t>
      </w:r>
      <w:r w:rsidRPr="00AC66FE">
        <w:rPr>
          <w:rFonts w:eastAsia="KaiTi"/>
          <w:iCs/>
          <w:sz w:val="24"/>
          <w:szCs w:val="24"/>
          <w:lang w:eastAsia="zh-CN"/>
        </w:rPr>
        <w:tab/>
      </w:r>
      <w:r w:rsidRPr="00E05688">
        <w:rPr>
          <w:rFonts w:eastAsia="KaiTi" w:hint="eastAsia"/>
          <w:iCs/>
          <w:sz w:val="24"/>
          <w:szCs w:val="24"/>
          <w:lang w:eastAsia="zh-CN"/>
        </w:rPr>
        <w:t>敦促</w:t>
      </w:r>
      <w:r w:rsidRPr="00E05688">
        <w:rPr>
          <w:rFonts w:hint="eastAsia"/>
          <w:sz w:val="24"/>
          <w:szCs w:val="24"/>
          <w:lang w:eastAsia="zh-CN"/>
        </w:rPr>
        <w:t>符合条件的缔约方在资源透明分配</w:t>
      </w:r>
      <w:r w:rsidR="00FE3BB0">
        <w:rPr>
          <w:rFonts w:hint="eastAsia"/>
          <w:sz w:val="24"/>
          <w:szCs w:val="24"/>
          <w:lang w:eastAsia="zh-CN"/>
        </w:rPr>
        <w:t>系统</w:t>
      </w:r>
      <w:r w:rsidRPr="00E05688">
        <w:rPr>
          <w:rFonts w:hint="eastAsia"/>
          <w:sz w:val="24"/>
          <w:szCs w:val="24"/>
          <w:lang w:eastAsia="zh-CN"/>
        </w:rPr>
        <w:t>下</w:t>
      </w:r>
      <w:r w:rsidR="00000F0D">
        <w:rPr>
          <w:rFonts w:hint="eastAsia"/>
          <w:sz w:val="24"/>
          <w:szCs w:val="24"/>
          <w:lang w:eastAsia="zh-CN"/>
        </w:rPr>
        <w:t>规划</w:t>
      </w:r>
      <w:r w:rsidRPr="00E05688">
        <w:rPr>
          <w:rFonts w:hint="eastAsia"/>
          <w:sz w:val="24"/>
          <w:szCs w:val="24"/>
          <w:lang w:eastAsia="zh-CN"/>
        </w:rPr>
        <w:t>国家拨款时优先考虑生物安全项目；</w:t>
      </w:r>
    </w:p>
    <w:p w14:paraId="12304453" w14:textId="23B06993" w:rsidR="00E34A3F" w:rsidRPr="006D3DA5" w:rsidRDefault="00E34A3F" w:rsidP="00200FE1">
      <w:pPr>
        <w:pStyle w:val="StylePara1Kernat11pt"/>
        <w:tabs>
          <w:tab w:val="clear" w:pos="567"/>
          <w:tab w:val="clear" w:pos="1134"/>
          <w:tab w:val="clear" w:pos="1701"/>
          <w:tab w:val="clear" w:pos="2268"/>
        </w:tabs>
        <w:spacing w:line="240" w:lineRule="atLeast"/>
        <w:ind w:left="490" w:firstLine="490"/>
        <w:jc w:val="left"/>
        <w:rPr>
          <w:sz w:val="24"/>
          <w:szCs w:val="24"/>
          <w:lang w:eastAsia="zh-CN"/>
        </w:rPr>
      </w:pPr>
      <w:r w:rsidRPr="006D3DA5">
        <w:rPr>
          <w:sz w:val="24"/>
          <w:szCs w:val="24"/>
          <w:lang w:eastAsia="zh-CN"/>
        </w:rPr>
        <w:t>11.</w:t>
      </w:r>
      <w:r w:rsidRPr="00AC66FE">
        <w:rPr>
          <w:rFonts w:eastAsia="KaiTi"/>
          <w:iCs/>
          <w:sz w:val="24"/>
          <w:szCs w:val="24"/>
          <w:lang w:eastAsia="zh-CN"/>
        </w:rPr>
        <w:tab/>
      </w:r>
      <w:r w:rsidRPr="00E05688">
        <w:rPr>
          <w:rFonts w:eastAsia="KaiTi" w:hint="eastAsia"/>
          <w:iCs/>
          <w:sz w:val="24"/>
          <w:szCs w:val="24"/>
          <w:lang w:eastAsia="zh-CN"/>
        </w:rPr>
        <w:t>提醒</w:t>
      </w:r>
      <w:r w:rsidRPr="00E05688">
        <w:rPr>
          <w:rFonts w:hint="eastAsia"/>
          <w:sz w:val="24"/>
          <w:szCs w:val="24"/>
          <w:lang w:eastAsia="zh-CN"/>
        </w:rPr>
        <w:t>缔约方注意《</w:t>
      </w:r>
      <w:r w:rsidR="00003106">
        <w:rPr>
          <w:rFonts w:hint="eastAsia"/>
          <w:sz w:val="24"/>
          <w:szCs w:val="24"/>
          <w:lang w:eastAsia="zh-CN"/>
        </w:rPr>
        <w:t>卡塔赫纳</w:t>
      </w:r>
      <w:r w:rsidRPr="00E05688">
        <w:rPr>
          <w:rFonts w:hint="eastAsia"/>
          <w:sz w:val="24"/>
          <w:szCs w:val="24"/>
          <w:lang w:eastAsia="zh-CN"/>
        </w:rPr>
        <w:t>议定书》第</w:t>
      </w:r>
      <w:r w:rsidRPr="00E05688">
        <w:rPr>
          <w:rFonts w:hint="eastAsia"/>
          <w:sz w:val="24"/>
          <w:szCs w:val="24"/>
          <w:lang w:eastAsia="zh-CN"/>
        </w:rPr>
        <w:t>23</w:t>
      </w:r>
      <w:r w:rsidRPr="00E05688">
        <w:rPr>
          <w:rFonts w:hint="eastAsia"/>
          <w:sz w:val="24"/>
          <w:szCs w:val="24"/>
          <w:lang w:eastAsia="zh-CN"/>
        </w:rPr>
        <w:t>条，包括其中</w:t>
      </w:r>
      <w:r>
        <w:rPr>
          <w:rFonts w:hint="eastAsia"/>
          <w:sz w:val="24"/>
          <w:szCs w:val="24"/>
          <w:lang w:eastAsia="zh-CN"/>
        </w:rPr>
        <w:t>与</w:t>
      </w:r>
      <w:r w:rsidRPr="00E05688">
        <w:rPr>
          <w:rFonts w:hint="eastAsia"/>
          <w:sz w:val="24"/>
          <w:szCs w:val="24"/>
          <w:lang w:eastAsia="zh-CN"/>
        </w:rPr>
        <w:t>公众意识和教育</w:t>
      </w:r>
      <w:r>
        <w:rPr>
          <w:rFonts w:hint="eastAsia"/>
          <w:sz w:val="24"/>
          <w:szCs w:val="24"/>
          <w:lang w:eastAsia="zh-CN"/>
        </w:rPr>
        <w:t>有关</w:t>
      </w:r>
      <w:r w:rsidRPr="00E05688">
        <w:rPr>
          <w:rFonts w:hint="eastAsia"/>
          <w:sz w:val="24"/>
          <w:szCs w:val="24"/>
          <w:lang w:eastAsia="zh-CN"/>
        </w:rPr>
        <w:t>的规定，以及该条协助</w:t>
      </w:r>
      <w:r w:rsidR="00000F0D">
        <w:rPr>
          <w:rFonts w:hint="eastAsia"/>
          <w:sz w:val="24"/>
          <w:szCs w:val="24"/>
          <w:lang w:eastAsia="zh-CN"/>
        </w:rPr>
        <w:t>履行</w:t>
      </w:r>
      <w:r w:rsidRPr="00E05688">
        <w:rPr>
          <w:rFonts w:hint="eastAsia"/>
          <w:sz w:val="24"/>
          <w:szCs w:val="24"/>
          <w:lang w:eastAsia="zh-CN"/>
        </w:rPr>
        <w:t>《议定书》的潜力，同时回顾秘书处已制定了材料和工具，可在生物安全信息交换所查阅。</w:t>
      </w:r>
    </w:p>
    <w:p w14:paraId="79F7BB09" w14:textId="4DDAD22A" w:rsidR="00003106" w:rsidRDefault="008D7C86" w:rsidP="00354774">
      <w:pPr>
        <w:pStyle w:val="CBDH2"/>
        <w:tabs>
          <w:tab w:val="clear" w:pos="567"/>
          <w:tab w:val="clear" w:pos="1134"/>
          <w:tab w:val="clear" w:pos="1701"/>
          <w:tab w:val="clear" w:pos="2268"/>
          <w:tab w:val="clear" w:pos="2835"/>
          <w:tab w:val="clear" w:pos="3402"/>
          <w:tab w:val="clear" w:pos="3969"/>
        </w:tabs>
        <w:spacing w:after="0"/>
        <w:ind w:left="490" w:firstLine="0"/>
        <w:rPr>
          <w:rFonts w:eastAsiaTheme="minorEastAsia"/>
          <w:b w:val="0"/>
          <w:bCs/>
          <w:iCs/>
          <w:szCs w:val="24"/>
          <w:lang w:val="en-US" w:eastAsia="zh-CN"/>
        </w:rPr>
      </w:pPr>
      <w:r>
        <w:rPr>
          <w:rFonts w:eastAsiaTheme="minorEastAsia"/>
          <w:b w:val="0"/>
          <w:bCs/>
          <w:iCs/>
          <w:szCs w:val="24"/>
          <w:lang w:val="en-US" w:eastAsia="zh-CN"/>
        </w:rPr>
        <w:t>B</w:t>
      </w:r>
    </w:p>
    <w:p w14:paraId="60B9F1B4" w14:textId="74268FCE" w:rsidR="00E34A3F" w:rsidRPr="008D7C86" w:rsidRDefault="00003106" w:rsidP="00354774">
      <w:pPr>
        <w:pStyle w:val="CBDH2"/>
        <w:tabs>
          <w:tab w:val="clear" w:pos="567"/>
          <w:tab w:val="clear" w:pos="1134"/>
          <w:tab w:val="clear" w:pos="1701"/>
          <w:tab w:val="clear" w:pos="2268"/>
          <w:tab w:val="clear" w:pos="2835"/>
          <w:tab w:val="clear" w:pos="3402"/>
          <w:tab w:val="clear" w:pos="3969"/>
        </w:tabs>
        <w:spacing w:before="0"/>
        <w:ind w:left="490" w:firstLine="0"/>
        <w:rPr>
          <w:rFonts w:ascii="SimSun" w:hAnsi="SimSun"/>
          <w:bCs/>
          <w:iCs/>
          <w:szCs w:val="24"/>
          <w:lang w:eastAsia="zh-CN"/>
        </w:rPr>
      </w:pPr>
      <w:r w:rsidRPr="008D7C86">
        <w:rPr>
          <w:rFonts w:ascii="SimSun" w:hAnsi="SimSun" w:hint="eastAsia"/>
          <w:bCs/>
          <w:iCs/>
          <w:szCs w:val="24"/>
          <w:lang w:val="en-US" w:eastAsia="zh-CN"/>
        </w:rPr>
        <w:t>履约：</w:t>
      </w:r>
      <w:r w:rsidR="00E34A3F" w:rsidRPr="008D7C86">
        <w:rPr>
          <w:rFonts w:ascii="SimSun" w:hAnsi="SimSun" w:hint="eastAsia"/>
          <w:bCs/>
          <w:iCs/>
          <w:szCs w:val="24"/>
          <w:lang w:val="en-US" w:eastAsia="zh-CN"/>
        </w:rPr>
        <w:t>告诫</w:t>
      </w:r>
    </w:p>
    <w:p w14:paraId="587A6027" w14:textId="4B4D8229" w:rsidR="00E34A3F" w:rsidRPr="00AC66FE" w:rsidRDefault="00E34A3F" w:rsidP="00E34A3F">
      <w:pPr>
        <w:pStyle w:val="CBDDesicionText"/>
        <w:tabs>
          <w:tab w:val="clear" w:pos="567"/>
          <w:tab w:val="clear" w:pos="1134"/>
          <w:tab w:val="clear" w:pos="1701"/>
          <w:tab w:val="clear" w:pos="2268"/>
          <w:tab w:val="clear" w:pos="2835"/>
          <w:tab w:val="clear" w:pos="3402"/>
        </w:tabs>
        <w:spacing w:before="120" w:line="240" w:lineRule="atLeast"/>
        <w:ind w:left="490" w:firstLine="490"/>
        <w:rPr>
          <w:rFonts w:eastAsia="KaiTi"/>
          <w:bCs/>
          <w:iCs/>
          <w:snapToGrid w:val="0"/>
          <w:kern w:val="22"/>
          <w:sz w:val="24"/>
          <w:szCs w:val="24"/>
          <w:lang w:eastAsia="zh-CN"/>
          <w14:ligatures w14:val="standardContextual"/>
        </w:rPr>
      </w:pPr>
      <w:r w:rsidRPr="00E05688">
        <w:rPr>
          <w:rFonts w:eastAsia="KaiTi" w:hint="eastAsia"/>
          <w:bCs/>
          <w:iCs/>
          <w:sz w:val="24"/>
          <w:szCs w:val="24"/>
          <w:lang w:eastAsia="zh-CN"/>
        </w:rPr>
        <w:t>作为卡塔赫纳议定书缔约方会议的缔约方大会，</w:t>
      </w:r>
    </w:p>
    <w:p w14:paraId="69C7A93C" w14:textId="77777777" w:rsidR="00E34A3F" w:rsidRPr="006D3DA5" w:rsidRDefault="00E34A3F" w:rsidP="00E34A3F">
      <w:pPr>
        <w:pStyle w:val="Para1"/>
        <w:numPr>
          <w:ilvl w:val="0"/>
          <w:numId w:val="0"/>
        </w:numPr>
        <w:tabs>
          <w:tab w:val="clear" w:pos="567"/>
          <w:tab w:val="clear" w:pos="1134"/>
          <w:tab w:val="clear" w:pos="1701"/>
          <w:tab w:val="clear" w:pos="2268"/>
        </w:tabs>
        <w:spacing w:line="240" w:lineRule="atLeast"/>
        <w:ind w:left="490" w:firstLine="490"/>
        <w:rPr>
          <w:sz w:val="24"/>
          <w:szCs w:val="24"/>
          <w:lang w:eastAsia="zh-CN"/>
        </w:rPr>
      </w:pPr>
      <w:r w:rsidRPr="00E05688">
        <w:rPr>
          <w:rFonts w:eastAsia="KaiTi" w:hint="eastAsia"/>
          <w:iCs/>
          <w:sz w:val="24"/>
          <w:szCs w:val="24"/>
          <w:lang w:val="en-US" w:eastAsia="zh-CN"/>
        </w:rPr>
        <w:t>回顾</w:t>
      </w:r>
      <w:r w:rsidRPr="00E05688">
        <w:rPr>
          <w:rFonts w:hint="eastAsia"/>
          <w:sz w:val="24"/>
          <w:szCs w:val="24"/>
          <w:lang w:val="en-US" w:eastAsia="zh-CN"/>
        </w:rPr>
        <w:t>《卡塔赫纳生物安全议定书》</w:t>
      </w:r>
      <w:r w:rsidRPr="006D3DA5">
        <w:rPr>
          <w:rStyle w:val="FootnoteReference"/>
          <w:sz w:val="24"/>
          <w:szCs w:val="24"/>
        </w:rPr>
        <w:footnoteReference w:id="4"/>
      </w:r>
      <w:r w:rsidRPr="00E05688">
        <w:rPr>
          <w:rFonts w:hint="eastAsia"/>
          <w:sz w:val="24"/>
          <w:szCs w:val="24"/>
          <w:lang w:val="en-US" w:eastAsia="zh-CN"/>
        </w:rPr>
        <w:t>第</w:t>
      </w:r>
      <w:r w:rsidRPr="00E05688">
        <w:rPr>
          <w:rFonts w:hint="eastAsia"/>
          <w:sz w:val="24"/>
          <w:szCs w:val="24"/>
          <w:lang w:val="en-US" w:eastAsia="zh-CN"/>
        </w:rPr>
        <w:t xml:space="preserve"> 33 </w:t>
      </w:r>
      <w:r w:rsidRPr="00E05688">
        <w:rPr>
          <w:rFonts w:hint="eastAsia"/>
          <w:sz w:val="24"/>
          <w:szCs w:val="24"/>
          <w:lang w:val="en-US" w:eastAsia="zh-CN"/>
        </w:rPr>
        <w:t>条，</w:t>
      </w:r>
    </w:p>
    <w:p w14:paraId="2BB4404F" w14:textId="20E3DE02" w:rsidR="00E34A3F" w:rsidRPr="006D3DA5" w:rsidRDefault="00E34A3F" w:rsidP="00E34A3F">
      <w:pPr>
        <w:pStyle w:val="Para1"/>
        <w:numPr>
          <w:ilvl w:val="0"/>
          <w:numId w:val="0"/>
        </w:numPr>
        <w:tabs>
          <w:tab w:val="clear" w:pos="567"/>
          <w:tab w:val="clear" w:pos="1134"/>
          <w:tab w:val="clear" w:pos="1701"/>
          <w:tab w:val="clear" w:pos="2268"/>
        </w:tabs>
        <w:spacing w:line="240" w:lineRule="atLeast"/>
        <w:ind w:left="490" w:firstLine="490"/>
        <w:rPr>
          <w:sz w:val="24"/>
          <w:szCs w:val="24"/>
          <w:lang w:eastAsia="zh-CN"/>
        </w:rPr>
      </w:pPr>
      <w:r w:rsidRPr="00FD6B5B">
        <w:rPr>
          <w:rFonts w:eastAsia="KaiTi" w:hint="eastAsia"/>
          <w:iCs/>
          <w:sz w:val="24"/>
          <w:szCs w:val="24"/>
          <w:lang w:val="en-US" w:eastAsia="zh-CN"/>
        </w:rPr>
        <w:t>又回顾</w:t>
      </w:r>
      <w:r w:rsidRPr="00FD6B5B">
        <w:rPr>
          <w:rFonts w:hint="eastAsia"/>
          <w:sz w:val="24"/>
          <w:szCs w:val="24"/>
          <w:lang w:val="en-US" w:eastAsia="zh-CN"/>
        </w:rPr>
        <w:t>2004</w:t>
      </w:r>
      <w:r w:rsidRPr="00FD6B5B">
        <w:rPr>
          <w:rFonts w:hint="eastAsia"/>
          <w:sz w:val="24"/>
          <w:szCs w:val="24"/>
          <w:lang w:val="en-US" w:eastAsia="zh-CN"/>
        </w:rPr>
        <w:t>年</w:t>
      </w:r>
      <w:r w:rsidRPr="00FD6B5B">
        <w:rPr>
          <w:rFonts w:hint="eastAsia"/>
          <w:sz w:val="24"/>
          <w:szCs w:val="24"/>
          <w:lang w:val="en-US" w:eastAsia="zh-CN"/>
        </w:rPr>
        <w:t>2</w:t>
      </w:r>
      <w:r w:rsidRPr="00FD6B5B">
        <w:rPr>
          <w:rFonts w:hint="eastAsia"/>
          <w:sz w:val="24"/>
          <w:szCs w:val="24"/>
          <w:lang w:val="en-US" w:eastAsia="zh-CN"/>
        </w:rPr>
        <w:t>月</w:t>
      </w:r>
      <w:r w:rsidRPr="00FD6B5B">
        <w:rPr>
          <w:rFonts w:hint="eastAsia"/>
          <w:sz w:val="24"/>
          <w:szCs w:val="24"/>
          <w:lang w:val="en-US" w:eastAsia="zh-CN"/>
        </w:rPr>
        <w:t>27</w:t>
      </w:r>
      <w:r w:rsidRPr="00FD6B5B">
        <w:rPr>
          <w:rFonts w:hint="eastAsia"/>
          <w:sz w:val="24"/>
          <w:szCs w:val="24"/>
          <w:lang w:val="en-US" w:eastAsia="zh-CN"/>
        </w:rPr>
        <w:t>日</w:t>
      </w:r>
      <w:r w:rsidR="004E1B1D">
        <w:rPr>
          <w:rFonts w:hint="eastAsia"/>
          <w:sz w:val="24"/>
          <w:szCs w:val="24"/>
          <w:lang w:val="en-US" w:eastAsia="zh-CN"/>
        </w:rPr>
        <w:t>其</w:t>
      </w:r>
      <w:r w:rsidRPr="00FD6B5B">
        <w:rPr>
          <w:rFonts w:hint="eastAsia"/>
          <w:sz w:val="24"/>
          <w:szCs w:val="24"/>
          <w:lang w:val="en-US" w:eastAsia="zh-CN"/>
        </w:rPr>
        <w:t>第</w:t>
      </w:r>
      <w:hyperlink r:id="rId13" w:history="1">
        <w:r w:rsidRPr="00000F0D">
          <w:rPr>
            <w:rStyle w:val="Hyperlink"/>
            <w:rFonts w:hint="eastAsia"/>
            <w:sz w:val="24"/>
            <w:szCs w:val="24"/>
            <w:lang w:val="en-US" w:eastAsia="zh-CN"/>
          </w:rPr>
          <w:t>BS-I</w:t>
        </w:r>
        <w:r w:rsidRPr="00000F0D">
          <w:rPr>
            <w:rStyle w:val="Hyperlink"/>
            <w:rFonts w:hint="eastAsia"/>
            <w:sz w:val="24"/>
            <w:szCs w:val="24"/>
            <w:lang w:val="en-US" w:eastAsia="zh-CN"/>
          </w:rPr>
          <w:t>/</w:t>
        </w:r>
        <w:r w:rsidRPr="00000F0D">
          <w:rPr>
            <w:rStyle w:val="Hyperlink"/>
            <w:rFonts w:hint="eastAsia"/>
            <w:sz w:val="24"/>
            <w:szCs w:val="24"/>
            <w:lang w:val="en-US" w:eastAsia="zh-CN"/>
          </w:rPr>
          <w:t>7</w:t>
        </w:r>
      </w:hyperlink>
      <w:r w:rsidRPr="00FD6B5B">
        <w:rPr>
          <w:rFonts w:hint="eastAsia"/>
          <w:sz w:val="24"/>
          <w:szCs w:val="24"/>
          <w:lang w:val="en-US" w:eastAsia="zh-CN"/>
        </w:rPr>
        <w:t>号决定附件所载《卡塔赫纳议定书》履约程序和机制第六节第</w:t>
      </w:r>
      <w:r w:rsidRPr="00FD6B5B">
        <w:rPr>
          <w:rFonts w:hint="eastAsia"/>
          <w:sz w:val="24"/>
          <w:szCs w:val="24"/>
          <w:lang w:val="en-US" w:eastAsia="zh-CN"/>
        </w:rPr>
        <w:t>2(b)</w:t>
      </w:r>
      <w:r w:rsidRPr="00FD6B5B">
        <w:rPr>
          <w:rFonts w:hint="eastAsia"/>
          <w:sz w:val="24"/>
          <w:szCs w:val="24"/>
          <w:lang w:val="en-US" w:eastAsia="zh-CN"/>
        </w:rPr>
        <w:t>段，</w:t>
      </w:r>
      <w:r w:rsidRPr="006D3DA5">
        <w:rPr>
          <w:sz w:val="24"/>
          <w:szCs w:val="24"/>
          <w:lang w:eastAsia="zh-CN"/>
        </w:rPr>
        <w:t xml:space="preserve"> </w:t>
      </w:r>
    </w:p>
    <w:p w14:paraId="3D13E48D" w14:textId="6EE17232" w:rsidR="00E34A3F" w:rsidRPr="006D3DA5" w:rsidRDefault="00E34A3F" w:rsidP="00E34A3F">
      <w:pPr>
        <w:pStyle w:val="Para1"/>
        <w:numPr>
          <w:ilvl w:val="0"/>
          <w:numId w:val="0"/>
        </w:numPr>
        <w:tabs>
          <w:tab w:val="clear" w:pos="567"/>
          <w:tab w:val="clear" w:pos="1134"/>
          <w:tab w:val="clear" w:pos="1701"/>
          <w:tab w:val="clear" w:pos="2268"/>
        </w:tabs>
        <w:spacing w:line="240" w:lineRule="atLeast"/>
        <w:ind w:left="490" w:firstLine="490"/>
        <w:rPr>
          <w:kern w:val="22"/>
          <w:sz w:val="24"/>
          <w:szCs w:val="24"/>
          <w:lang w:val="en-GB" w:eastAsia="zh-CN"/>
        </w:rPr>
      </w:pPr>
      <w:r w:rsidRPr="00FD6B5B">
        <w:rPr>
          <w:rFonts w:eastAsia="KaiTi" w:hint="eastAsia"/>
          <w:iCs/>
          <w:kern w:val="22"/>
          <w:sz w:val="24"/>
          <w:szCs w:val="24"/>
          <w:lang w:val="en-US" w:eastAsia="zh-CN"/>
        </w:rPr>
        <w:t>遗憾地注意到</w:t>
      </w:r>
      <w:r w:rsidRPr="00FD6B5B">
        <w:rPr>
          <w:rFonts w:hint="eastAsia"/>
          <w:kern w:val="22"/>
          <w:sz w:val="24"/>
          <w:szCs w:val="24"/>
          <w:lang w:val="en-US" w:eastAsia="zh-CN"/>
        </w:rPr>
        <w:t>伯利兹、利比亚</w:t>
      </w:r>
      <w:r w:rsidR="00D0210C">
        <w:rPr>
          <w:rFonts w:hint="eastAsia"/>
          <w:kern w:val="22"/>
          <w:sz w:val="24"/>
          <w:szCs w:val="24"/>
          <w:lang w:val="en-US" w:eastAsia="zh-CN"/>
        </w:rPr>
        <w:t>和巴布亚新几内亚</w:t>
      </w:r>
      <w:r w:rsidRPr="00FD6B5B">
        <w:rPr>
          <w:rFonts w:hint="eastAsia"/>
          <w:kern w:val="22"/>
          <w:sz w:val="24"/>
          <w:szCs w:val="24"/>
          <w:lang w:val="en-US" w:eastAsia="zh-CN"/>
        </w:rPr>
        <w:t>尚未提交其第三</w:t>
      </w:r>
      <w:r w:rsidR="004E1B1D">
        <w:rPr>
          <w:rFonts w:hint="eastAsia"/>
          <w:kern w:val="22"/>
          <w:sz w:val="24"/>
          <w:szCs w:val="24"/>
          <w:lang w:val="en-US" w:eastAsia="zh-CN"/>
        </w:rPr>
        <w:t>次</w:t>
      </w:r>
      <w:r w:rsidRPr="00FD6B5B">
        <w:rPr>
          <w:rFonts w:hint="eastAsia"/>
          <w:kern w:val="22"/>
          <w:sz w:val="24"/>
          <w:szCs w:val="24"/>
          <w:lang w:val="en-US" w:eastAsia="zh-CN"/>
        </w:rPr>
        <w:t>或第四次国家报告，</w:t>
      </w:r>
      <w:r w:rsidRPr="006D3DA5">
        <w:rPr>
          <w:kern w:val="22"/>
          <w:sz w:val="24"/>
          <w:szCs w:val="24"/>
          <w:lang w:val="en-GB" w:eastAsia="zh-CN"/>
        </w:rPr>
        <w:t xml:space="preserve"> </w:t>
      </w:r>
    </w:p>
    <w:p w14:paraId="3F33C47F" w14:textId="29DFD37E" w:rsidR="00E34A3F" w:rsidRPr="006D3DA5" w:rsidRDefault="00E34A3F" w:rsidP="00E34A3F">
      <w:pPr>
        <w:pStyle w:val="Para1"/>
        <w:numPr>
          <w:ilvl w:val="0"/>
          <w:numId w:val="0"/>
        </w:numPr>
        <w:tabs>
          <w:tab w:val="clear" w:pos="567"/>
          <w:tab w:val="clear" w:pos="1134"/>
          <w:tab w:val="clear" w:pos="1701"/>
          <w:tab w:val="clear" w:pos="2268"/>
        </w:tabs>
        <w:spacing w:line="240" w:lineRule="atLeast"/>
        <w:ind w:left="490" w:firstLine="490"/>
        <w:rPr>
          <w:sz w:val="24"/>
          <w:szCs w:val="24"/>
          <w:lang w:eastAsia="zh-CN"/>
        </w:rPr>
      </w:pPr>
      <w:r w:rsidRPr="00FD6B5B">
        <w:rPr>
          <w:rFonts w:eastAsia="KaiTi" w:hint="eastAsia"/>
          <w:iCs/>
          <w:sz w:val="24"/>
          <w:szCs w:val="24"/>
          <w:lang w:val="en-US" w:eastAsia="zh-CN"/>
        </w:rPr>
        <w:t>注意到</w:t>
      </w:r>
      <w:r w:rsidRPr="00FD6B5B">
        <w:rPr>
          <w:rFonts w:hint="eastAsia"/>
          <w:sz w:val="24"/>
          <w:szCs w:val="24"/>
          <w:lang w:val="en-US" w:eastAsia="zh-CN"/>
        </w:rPr>
        <w:t>履约委员会和</w:t>
      </w:r>
      <w:r w:rsidR="004E1B1D">
        <w:rPr>
          <w:rFonts w:hint="eastAsia"/>
          <w:sz w:val="24"/>
          <w:szCs w:val="24"/>
          <w:lang w:val="en-US" w:eastAsia="zh-CN"/>
        </w:rPr>
        <w:t>《生物多样性公约》</w:t>
      </w:r>
      <w:r w:rsidR="004E1B1D">
        <w:rPr>
          <w:rStyle w:val="FootnoteReference"/>
          <w:sz w:val="24"/>
          <w:szCs w:val="24"/>
          <w:lang w:val="en-US" w:eastAsia="zh-CN"/>
        </w:rPr>
        <w:footnoteReference w:id="5"/>
      </w:r>
      <w:r w:rsidRPr="00FD6B5B">
        <w:rPr>
          <w:rFonts w:hint="eastAsia"/>
          <w:sz w:val="24"/>
          <w:szCs w:val="24"/>
          <w:lang w:val="en-US" w:eastAsia="zh-CN"/>
        </w:rPr>
        <w:t>执行秘书已根据</w:t>
      </w:r>
      <w:r w:rsidRPr="00FD6B5B">
        <w:rPr>
          <w:rFonts w:hint="eastAsia"/>
          <w:sz w:val="24"/>
          <w:szCs w:val="24"/>
          <w:lang w:val="en-US" w:eastAsia="zh-CN"/>
        </w:rPr>
        <w:t>2010</w:t>
      </w:r>
      <w:r w:rsidRPr="00FD6B5B">
        <w:rPr>
          <w:rFonts w:hint="eastAsia"/>
          <w:sz w:val="24"/>
          <w:szCs w:val="24"/>
          <w:lang w:val="en-US" w:eastAsia="zh-CN"/>
        </w:rPr>
        <w:t>年</w:t>
      </w:r>
      <w:r w:rsidRPr="00FD6B5B">
        <w:rPr>
          <w:rFonts w:hint="eastAsia"/>
          <w:sz w:val="24"/>
          <w:szCs w:val="24"/>
          <w:lang w:val="en-US" w:eastAsia="zh-CN"/>
        </w:rPr>
        <w:t>10</w:t>
      </w:r>
      <w:r w:rsidRPr="00FD6B5B">
        <w:rPr>
          <w:rFonts w:hint="eastAsia"/>
          <w:sz w:val="24"/>
          <w:szCs w:val="24"/>
          <w:lang w:val="en-US" w:eastAsia="zh-CN"/>
        </w:rPr>
        <w:t>月</w:t>
      </w:r>
      <w:r w:rsidRPr="00FD6B5B">
        <w:rPr>
          <w:rFonts w:hint="eastAsia"/>
          <w:sz w:val="24"/>
          <w:szCs w:val="24"/>
          <w:lang w:val="en-US" w:eastAsia="zh-CN"/>
        </w:rPr>
        <w:t>15</w:t>
      </w:r>
      <w:r w:rsidRPr="00FD6B5B">
        <w:rPr>
          <w:rFonts w:hint="eastAsia"/>
          <w:sz w:val="24"/>
          <w:szCs w:val="24"/>
          <w:lang w:val="en-US" w:eastAsia="zh-CN"/>
        </w:rPr>
        <w:t>日作为</w:t>
      </w:r>
      <w:r w:rsidR="00000F0D">
        <w:rPr>
          <w:rFonts w:hint="eastAsia"/>
          <w:sz w:val="24"/>
          <w:szCs w:val="24"/>
          <w:lang w:val="en-US" w:eastAsia="zh-CN"/>
        </w:rPr>
        <w:t>卡塔赫纳</w:t>
      </w:r>
      <w:r w:rsidRPr="00FD6B5B">
        <w:rPr>
          <w:rFonts w:hint="eastAsia"/>
          <w:sz w:val="24"/>
          <w:szCs w:val="24"/>
          <w:lang w:val="en-US" w:eastAsia="zh-CN"/>
        </w:rPr>
        <w:t>议定书缔约方会议的缔约方大会第</w:t>
      </w:r>
      <w:hyperlink r:id="rId14" w:history="1">
        <w:r w:rsidRPr="00200FE1">
          <w:rPr>
            <w:rStyle w:val="Hyperlink"/>
            <w:rFonts w:hint="eastAsia"/>
            <w:sz w:val="24"/>
            <w:szCs w:val="24"/>
            <w:lang w:val="en-US" w:eastAsia="zh-CN"/>
          </w:rPr>
          <w:t>BS-V/1</w:t>
        </w:r>
      </w:hyperlink>
      <w:r w:rsidRPr="00FD6B5B">
        <w:rPr>
          <w:rFonts w:hint="eastAsia"/>
          <w:sz w:val="24"/>
          <w:szCs w:val="24"/>
          <w:lang w:val="en-US" w:eastAsia="zh-CN"/>
        </w:rPr>
        <w:t>号决定多次与伯利兹、利比亚</w:t>
      </w:r>
      <w:r w:rsidR="00D0210C">
        <w:rPr>
          <w:rFonts w:hint="eastAsia"/>
          <w:sz w:val="24"/>
          <w:szCs w:val="24"/>
          <w:lang w:val="en-US" w:eastAsia="zh-CN"/>
        </w:rPr>
        <w:t>和</w:t>
      </w:r>
      <w:r w:rsidRPr="00FD6B5B">
        <w:rPr>
          <w:rFonts w:hint="eastAsia"/>
          <w:sz w:val="24"/>
          <w:szCs w:val="24"/>
          <w:lang w:val="en-US" w:eastAsia="zh-CN"/>
        </w:rPr>
        <w:t>巴布亚新几内亚</w:t>
      </w:r>
      <w:r w:rsidRPr="00FD6B5B">
        <w:rPr>
          <w:rFonts w:hint="eastAsia"/>
          <w:sz w:val="24"/>
          <w:szCs w:val="24"/>
          <w:vertAlign w:val="superscript"/>
          <w:lang w:val="en-US" w:eastAsia="zh-CN"/>
        </w:rPr>
        <w:t>4</w:t>
      </w:r>
      <w:r w:rsidRPr="00FD6B5B">
        <w:rPr>
          <w:rFonts w:hint="eastAsia"/>
          <w:sz w:val="24"/>
          <w:szCs w:val="24"/>
          <w:lang w:val="en-US" w:eastAsia="zh-CN"/>
        </w:rPr>
        <w:t>联系，</w:t>
      </w:r>
      <w:r w:rsidR="00816AC0">
        <w:rPr>
          <w:rFonts w:hint="eastAsia"/>
          <w:sz w:val="24"/>
          <w:szCs w:val="24"/>
          <w:lang w:val="en-US" w:eastAsia="zh-CN"/>
        </w:rPr>
        <w:t>并表示可</w:t>
      </w:r>
      <w:r w:rsidRPr="00FD6B5B">
        <w:rPr>
          <w:rFonts w:hint="eastAsia"/>
          <w:sz w:val="24"/>
          <w:szCs w:val="24"/>
          <w:lang w:val="en-US" w:eastAsia="zh-CN"/>
        </w:rPr>
        <w:t>向这些缔约方编写报告</w:t>
      </w:r>
      <w:r w:rsidR="00BB6924">
        <w:rPr>
          <w:rFonts w:hint="eastAsia"/>
          <w:sz w:val="24"/>
          <w:szCs w:val="24"/>
          <w:lang w:val="en-US" w:eastAsia="zh-CN"/>
        </w:rPr>
        <w:t>提供</w:t>
      </w:r>
      <w:r w:rsidR="00816AC0">
        <w:rPr>
          <w:rFonts w:hint="eastAsia"/>
          <w:sz w:val="24"/>
          <w:szCs w:val="24"/>
          <w:lang w:val="en-US" w:eastAsia="zh-CN"/>
        </w:rPr>
        <w:t>协助</w:t>
      </w:r>
      <w:r w:rsidRPr="00FD6B5B">
        <w:rPr>
          <w:rFonts w:hint="eastAsia"/>
          <w:sz w:val="24"/>
          <w:szCs w:val="24"/>
          <w:lang w:val="en-US" w:eastAsia="zh-CN"/>
        </w:rPr>
        <w:t>，</w:t>
      </w:r>
    </w:p>
    <w:p w14:paraId="40061CB8" w14:textId="65129552" w:rsidR="00E34A3F" w:rsidRPr="006D3DA5" w:rsidRDefault="00E34A3F" w:rsidP="00E34A3F">
      <w:pPr>
        <w:pStyle w:val="Para1"/>
        <w:numPr>
          <w:ilvl w:val="0"/>
          <w:numId w:val="0"/>
        </w:numPr>
        <w:tabs>
          <w:tab w:val="clear" w:pos="567"/>
          <w:tab w:val="clear" w:pos="1134"/>
          <w:tab w:val="clear" w:pos="1701"/>
          <w:tab w:val="clear" w:pos="2268"/>
        </w:tabs>
        <w:spacing w:line="240" w:lineRule="atLeast"/>
        <w:ind w:left="490" w:firstLine="490"/>
        <w:rPr>
          <w:kern w:val="22"/>
          <w:sz w:val="24"/>
          <w:szCs w:val="24"/>
          <w:lang w:val="en-GB" w:eastAsia="zh-CN"/>
        </w:rPr>
      </w:pPr>
      <w:r w:rsidRPr="006D3DA5">
        <w:rPr>
          <w:kern w:val="22"/>
          <w:sz w:val="24"/>
          <w:szCs w:val="24"/>
          <w:lang w:val="en-GB" w:eastAsia="zh-CN"/>
        </w:rPr>
        <w:t>1.</w:t>
      </w:r>
      <w:r w:rsidRPr="006D3DA5">
        <w:rPr>
          <w:kern w:val="22"/>
          <w:sz w:val="24"/>
          <w:szCs w:val="24"/>
          <w:lang w:val="en-GB" w:eastAsia="zh-CN"/>
        </w:rPr>
        <w:tab/>
      </w:r>
      <w:r w:rsidR="00481F1F" w:rsidRPr="00FD6B5B">
        <w:rPr>
          <w:rFonts w:eastAsia="KaiTi" w:hint="eastAsia"/>
          <w:iCs/>
          <w:kern w:val="22"/>
          <w:sz w:val="24"/>
          <w:szCs w:val="24"/>
          <w:lang w:val="en-US" w:eastAsia="zh-CN"/>
        </w:rPr>
        <w:t>告诫</w:t>
      </w:r>
      <w:r w:rsidRPr="00FD6B5B">
        <w:rPr>
          <w:rFonts w:hint="eastAsia"/>
          <w:sz w:val="24"/>
          <w:szCs w:val="24"/>
          <w:lang w:val="en-US" w:eastAsia="zh-CN"/>
        </w:rPr>
        <w:t>伯利兹、利比亚</w:t>
      </w:r>
      <w:r w:rsidR="00D0210C">
        <w:rPr>
          <w:rFonts w:hint="eastAsia"/>
          <w:sz w:val="24"/>
          <w:szCs w:val="24"/>
          <w:lang w:val="en-US" w:eastAsia="zh-CN"/>
        </w:rPr>
        <w:t>和</w:t>
      </w:r>
      <w:r w:rsidRPr="00FD6B5B">
        <w:rPr>
          <w:rFonts w:hint="eastAsia"/>
          <w:sz w:val="24"/>
          <w:szCs w:val="24"/>
          <w:lang w:val="en-US" w:eastAsia="zh-CN"/>
        </w:rPr>
        <w:t>巴布亚新几内亚；</w:t>
      </w:r>
    </w:p>
    <w:p w14:paraId="45889DDA" w14:textId="6998DA92" w:rsidR="00E34A3F" w:rsidRPr="00EF2226" w:rsidRDefault="00E34A3F" w:rsidP="00EF2226">
      <w:pPr>
        <w:pStyle w:val="Para1"/>
        <w:numPr>
          <w:ilvl w:val="0"/>
          <w:numId w:val="0"/>
        </w:numPr>
        <w:tabs>
          <w:tab w:val="clear" w:pos="567"/>
          <w:tab w:val="clear" w:pos="1134"/>
          <w:tab w:val="clear" w:pos="1701"/>
          <w:tab w:val="clear" w:pos="2268"/>
        </w:tabs>
        <w:spacing w:line="240" w:lineRule="atLeast"/>
        <w:ind w:left="490" w:firstLine="490"/>
        <w:jc w:val="left"/>
        <w:rPr>
          <w:spacing w:val="-10"/>
          <w:kern w:val="22"/>
          <w:sz w:val="24"/>
          <w:szCs w:val="24"/>
          <w:lang w:val="en-GB" w:eastAsia="zh-CN"/>
        </w:rPr>
      </w:pPr>
      <w:r w:rsidRPr="00BB6924">
        <w:rPr>
          <w:kern w:val="22"/>
          <w:sz w:val="24"/>
          <w:szCs w:val="24"/>
          <w:lang w:val="en-GB" w:eastAsia="zh-CN"/>
        </w:rPr>
        <w:t>2.</w:t>
      </w:r>
      <w:r w:rsidR="00EF2226">
        <w:rPr>
          <w:kern w:val="22"/>
          <w:sz w:val="24"/>
          <w:szCs w:val="24"/>
          <w:lang w:val="en-GB" w:eastAsia="zh-CN"/>
        </w:rPr>
        <w:tab/>
      </w:r>
      <w:r w:rsidRPr="00EF2226">
        <w:rPr>
          <w:rFonts w:eastAsia="KaiTi"/>
          <w:spacing w:val="-10"/>
          <w:kern w:val="22"/>
          <w:sz w:val="24"/>
          <w:szCs w:val="24"/>
          <w:lang w:val="en-GB" w:eastAsia="zh-CN"/>
        </w:rPr>
        <w:t>请</w:t>
      </w:r>
      <w:r w:rsidRPr="00EF2226">
        <w:rPr>
          <w:spacing w:val="-10"/>
          <w:kern w:val="22"/>
          <w:sz w:val="24"/>
          <w:szCs w:val="24"/>
          <w:lang w:val="en-GB" w:eastAsia="zh-CN"/>
        </w:rPr>
        <w:t>伯利兹、利比亚</w:t>
      </w:r>
      <w:r w:rsidR="00D0210C" w:rsidRPr="00EF2226">
        <w:rPr>
          <w:spacing w:val="-10"/>
          <w:kern w:val="22"/>
          <w:sz w:val="24"/>
          <w:szCs w:val="24"/>
          <w:lang w:val="en-GB" w:eastAsia="zh-CN"/>
        </w:rPr>
        <w:t>和</w:t>
      </w:r>
      <w:r w:rsidRPr="00EF2226">
        <w:rPr>
          <w:spacing w:val="-10"/>
          <w:kern w:val="22"/>
          <w:sz w:val="24"/>
          <w:szCs w:val="24"/>
          <w:lang w:val="en-GB" w:eastAsia="zh-CN"/>
        </w:rPr>
        <w:t>巴布亚新几内亚作为</w:t>
      </w:r>
      <w:r w:rsidR="00481F1F" w:rsidRPr="00EF2226">
        <w:rPr>
          <w:spacing w:val="-10"/>
          <w:kern w:val="22"/>
          <w:sz w:val="24"/>
          <w:szCs w:val="24"/>
          <w:lang w:val="en-GB" w:eastAsia="zh-CN"/>
        </w:rPr>
        <w:t>紧急</w:t>
      </w:r>
      <w:r w:rsidRPr="00EF2226">
        <w:rPr>
          <w:spacing w:val="-10"/>
          <w:kern w:val="22"/>
          <w:sz w:val="24"/>
          <w:szCs w:val="24"/>
          <w:lang w:val="en-GB" w:eastAsia="zh-CN"/>
        </w:rPr>
        <w:t>事项提交</w:t>
      </w:r>
      <w:r w:rsidR="00481F1F" w:rsidRPr="00EF2226">
        <w:rPr>
          <w:spacing w:val="-10"/>
          <w:kern w:val="22"/>
          <w:sz w:val="24"/>
          <w:szCs w:val="24"/>
          <w:lang w:val="en-GB" w:eastAsia="zh-CN"/>
        </w:rPr>
        <w:t>其</w:t>
      </w:r>
      <w:r w:rsidRPr="00EF2226">
        <w:rPr>
          <w:spacing w:val="-10"/>
          <w:kern w:val="22"/>
          <w:sz w:val="24"/>
          <w:szCs w:val="24"/>
          <w:lang w:val="en-GB" w:eastAsia="zh-CN"/>
        </w:rPr>
        <w:t>第四次国家报告；</w:t>
      </w:r>
    </w:p>
    <w:p w14:paraId="251C9A53" w14:textId="3F1B0BDB" w:rsidR="00E34A3F" w:rsidRPr="006D3DA5" w:rsidRDefault="00E34A3F" w:rsidP="00E34A3F">
      <w:pPr>
        <w:pStyle w:val="Para1"/>
        <w:numPr>
          <w:ilvl w:val="0"/>
          <w:numId w:val="0"/>
        </w:numPr>
        <w:tabs>
          <w:tab w:val="clear" w:pos="567"/>
          <w:tab w:val="clear" w:pos="1134"/>
          <w:tab w:val="clear" w:pos="1701"/>
          <w:tab w:val="clear" w:pos="2268"/>
        </w:tabs>
        <w:spacing w:line="240" w:lineRule="atLeast"/>
        <w:ind w:left="490" w:firstLine="490"/>
        <w:rPr>
          <w:sz w:val="24"/>
          <w:szCs w:val="24"/>
          <w:lang w:eastAsia="zh-CN"/>
        </w:rPr>
      </w:pPr>
      <w:r w:rsidRPr="006D3DA5">
        <w:rPr>
          <w:sz w:val="24"/>
          <w:szCs w:val="24"/>
          <w:lang w:eastAsia="zh-CN"/>
        </w:rPr>
        <w:t>3.</w:t>
      </w:r>
      <w:r w:rsidRPr="006D3DA5">
        <w:rPr>
          <w:sz w:val="24"/>
          <w:szCs w:val="24"/>
          <w:lang w:eastAsia="zh-CN"/>
        </w:rPr>
        <w:tab/>
      </w:r>
      <w:r w:rsidRPr="00E228F5">
        <w:rPr>
          <w:rFonts w:eastAsia="KaiTi" w:hint="eastAsia"/>
          <w:iCs/>
          <w:sz w:val="24"/>
          <w:szCs w:val="24"/>
          <w:lang w:val="en-US" w:eastAsia="zh-CN"/>
        </w:rPr>
        <w:t>鼓励</w:t>
      </w:r>
      <w:r w:rsidRPr="00E228F5">
        <w:rPr>
          <w:rFonts w:hint="eastAsia"/>
          <w:sz w:val="24"/>
          <w:szCs w:val="24"/>
          <w:lang w:val="en-US" w:eastAsia="zh-CN"/>
        </w:rPr>
        <w:t>伯利兹、利比亚</w:t>
      </w:r>
      <w:r w:rsidR="00D0210C">
        <w:rPr>
          <w:rFonts w:hint="eastAsia"/>
          <w:sz w:val="24"/>
          <w:szCs w:val="24"/>
          <w:lang w:val="en-US" w:eastAsia="zh-CN"/>
        </w:rPr>
        <w:t>和</w:t>
      </w:r>
      <w:r w:rsidRPr="00E228F5">
        <w:rPr>
          <w:rFonts w:hint="eastAsia"/>
          <w:sz w:val="24"/>
          <w:szCs w:val="24"/>
          <w:lang w:val="en-US" w:eastAsia="zh-CN"/>
        </w:rPr>
        <w:t>巴布亚新几内亚</w:t>
      </w:r>
      <w:r w:rsidR="00816AC0">
        <w:rPr>
          <w:rFonts w:hint="eastAsia"/>
          <w:sz w:val="24"/>
          <w:szCs w:val="24"/>
          <w:lang w:val="en-US" w:eastAsia="zh-CN"/>
        </w:rPr>
        <w:t>在</w:t>
      </w:r>
      <w:r w:rsidRPr="00E228F5">
        <w:rPr>
          <w:rFonts w:hint="eastAsia"/>
          <w:sz w:val="24"/>
          <w:szCs w:val="24"/>
          <w:lang w:val="en-US" w:eastAsia="zh-CN"/>
        </w:rPr>
        <w:t>编写报告</w:t>
      </w:r>
      <w:r w:rsidR="00EF2226">
        <w:rPr>
          <w:rFonts w:hint="eastAsia"/>
          <w:sz w:val="24"/>
          <w:szCs w:val="24"/>
          <w:lang w:val="en-US" w:eastAsia="zh-CN"/>
        </w:rPr>
        <w:t>时如需</w:t>
      </w:r>
      <w:r w:rsidR="00481F1F">
        <w:rPr>
          <w:rFonts w:hint="eastAsia"/>
          <w:sz w:val="24"/>
          <w:szCs w:val="24"/>
          <w:lang w:val="en-US" w:eastAsia="zh-CN"/>
        </w:rPr>
        <w:t>支持</w:t>
      </w:r>
      <w:r w:rsidRPr="00E228F5">
        <w:rPr>
          <w:rFonts w:hint="eastAsia"/>
          <w:sz w:val="24"/>
          <w:szCs w:val="24"/>
          <w:lang w:val="en-US" w:eastAsia="zh-CN"/>
        </w:rPr>
        <w:t>，根据</w:t>
      </w:r>
      <w:r w:rsidRPr="00E228F5">
        <w:rPr>
          <w:rFonts w:hint="eastAsia"/>
          <w:sz w:val="24"/>
          <w:szCs w:val="24"/>
          <w:lang w:val="en-US" w:eastAsia="zh-CN"/>
        </w:rPr>
        <w:t xml:space="preserve"> BS-V/1 </w:t>
      </w:r>
      <w:r w:rsidRPr="00E228F5">
        <w:rPr>
          <w:rFonts w:hint="eastAsia"/>
          <w:sz w:val="24"/>
          <w:szCs w:val="24"/>
          <w:lang w:val="en-US" w:eastAsia="zh-CN"/>
        </w:rPr>
        <w:t>号决定寻求履约委员会的协助。</w:t>
      </w:r>
    </w:p>
    <w:p w14:paraId="22AA0658" w14:textId="0DC4FD3F" w:rsidR="00BC5B90" w:rsidRPr="00200FE1" w:rsidRDefault="0040791D" w:rsidP="00200FE1">
      <w:pPr>
        <w:pStyle w:val="CBDH2"/>
        <w:tabs>
          <w:tab w:val="clear" w:pos="567"/>
          <w:tab w:val="clear" w:pos="1134"/>
          <w:tab w:val="clear" w:pos="1701"/>
          <w:tab w:val="clear" w:pos="2268"/>
          <w:tab w:val="clear" w:pos="2835"/>
          <w:tab w:val="clear" w:pos="3402"/>
          <w:tab w:val="clear" w:pos="3969"/>
        </w:tabs>
        <w:spacing w:after="0"/>
        <w:ind w:left="490" w:firstLine="0"/>
        <w:rPr>
          <w:rFonts w:eastAsiaTheme="minorEastAsia"/>
          <w:b w:val="0"/>
          <w:bCs/>
          <w:iCs/>
          <w:szCs w:val="24"/>
          <w:lang w:val="en-US" w:eastAsia="zh-CN"/>
        </w:rPr>
      </w:pPr>
      <w:r w:rsidRPr="00200FE1">
        <w:rPr>
          <w:rFonts w:eastAsiaTheme="minorEastAsia"/>
          <w:b w:val="0"/>
          <w:bCs/>
          <w:iCs/>
          <w:szCs w:val="24"/>
          <w:lang w:val="en-US" w:eastAsia="zh-CN"/>
        </w:rPr>
        <w:t>C</w:t>
      </w:r>
    </w:p>
    <w:p w14:paraId="1EFBFA7F" w14:textId="4F9C8963" w:rsidR="00BC5B90" w:rsidRPr="009A186D" w:rsidRDefault="00BC5B90" w:rsidP="00200FE1">
      <w:pPr>
        <w:pStyle w:val="CBDH2"/>
        <w:tabs>
          <w:tab w:val="clear" w:pos="567"/>
          <w:tab w:val="clear" w:pos="1134"/>
          <w:tab w:val="clear" w:pos="1701"/>
          <w:tab w:val="clear" w:pos="2268"/>
          <w:tab w:val="clear" w:pos="2835"/>
          <w:tab w:val="clear" w:pos="3402"/>
          <w:tab w:val="clear" w:pos="3969"/>
        </w:tabs>
        <w:spacing w:before="0"/>
        <w:ind w:left="490" w:firstLine="0"/>
        <w:rPr>
          <w:szCs w:val="24"/>
          <w:lang w:eastAsia="zh-CN"/>
        </w:rPr>
      </w:pPr>
      <w:r w:rsidRPr="00200FE1">
        <w:rPr>
          <w:rFonts w:eastAsiaTheme="minorEastAsia"/>
          <w:b w:val="0"/>
          <w:bCs/>
          <w:iCs/>
          <w:szCs w:val="24"/>
          <w:lang w:val="en-US" w:eastAsia="zh-CN"/>
        </w:rPr>
        <w:t>履约</w:t>
      </w:r>
      <w:r w:rsidR="00A4717B" w:rsidRPr="00200FE1">
        <w:rPr>
          <w:rFonts w:eastAsiaTheme="minorEastAsia" w:hint="eastAsia"/>
          <w:b w:val="0"/>
          <w:bCs/>
          <w:iCs/>
          <w:szCs w:val="24"/>
          <w:lang w:val="en-US" w:eastAsia="zh-CN"/>
        </w:rPr>
        <w:t>：</w:t>
      </w:r>
      <w:r w:rsidRPr="00200FE1">
        <w:rPr>
          <w:rFonts w:eastAsiaTheme="minorEastAsia"/>
          <w:b w:val="0"/>
          <w:bCs/>
          <w:iCs/>
          <w:szCs w:val="24"/>
          <w:lang w:val="en-US" w:eastAsia="zh-CN"/>
        </w:rPr>
        <w:t>其他事项</w:t>
      </w:r>
    </w:p>
    <w:p w14:paraId="43C59182" w14:textId="2269BFB0" w:rsidR="00BC5B90" w:rsidRPr="0040791D" w:rsidRDefault="00BC5B90" w:rsidP="00A4717B">
      <w:pPr>
        <w:pStyle w:val="CBDDesicionText"/>
        <w:tabs>
          <w:tab w:val="clear" w:pos="567"/>
          <w:tab w:val="clear" w:pos="1134"/>
          <w:tab w:val="clear" w:pos="1701"/>
          <w:tab w:val="clear" w:pos="2268"/>
          <w:tab w:val="clear" w:pos="2835"/>
          <w:tab w:val="clear" w:pos="3402"/>
        </w:tabs>
        <w:spacing w:before="120" w:line="240" w:lineRule="atLeast"/>
        <w:ind w:left="490" w:firstLine="490"/>
        <w:rPr>
          <w:rFonts w:eastAsia="KaiTi"/>
          <w:bCs/>
          <w:iCs/>
          <w:sz w:val="24"/>
          <w:szCs w:val="24"/>
          <w:lang w:eastAsia="zh-CN"/>
        </w:rPr>
      </w:pPr>
      <w:r w:rsidRPr="0040791D">
        <w:rPr>
          <w:rFonts w:eastAsia="KaiTi"/>
          <w:bCs/>
          <w:iCs/>
          <w:sz w:val="24"/>
          <w:szCs w:val="24"/>
          <w:lang w:eastAsia="zh-CN"/>
        </w:rPr>
        <w:t>作为卡塔赫纳议定书缔约方会议的缔约方大会，</w:t>
      </w:r>
    </w:p>
    <w:p w14:paraId="0D6C0AFC" w14:textId="0BA2B617" w:rsidR="00BC5B90" w:rsidRPr="00E916DD" w:rsidRDefault="00BC5B90" w:rsidP="00A4717B">
      <w:pPr>
        <w:tabs>
          <w:tab w:val="clear" w:pos="567"/>
          <w:tab w:val="clear" w:pos="1134"/>
          <w:tab w:val="clear" w:pos="1701"/>
          <w:tab w:val="clear" w:pos="2268"/>
        </w:tabs>
        <w:spacing w:before="120" w:after="120"/>
        <w:ind w:left="490" w:firstLine="490"/>
        <w:rPr>
          <w:sz w:val="24"/>
          <w:szCs w:val="24"/>
          <w:lang w:eastAsia="zh-CN"/>
        </w:rPr>
      </w:pPr>
      <w:r w:rsidRPr="0040791D">
        <w:rPr>
          <w:rFonts w:eastAsia="KaiTi"/>
          <w:bCs/>
          <w:iCs/>
          <w:sz w:val="24"/>
          <w:szCs w:val="24"/>
          <w:lang w:eastAsia="zh-CN"/>
        </w:rPr>
        <w:t>注意到</w:t>
      </w:r>
      <w:hyperlink r:id="rId15" w:history="1">
        <w:r w:rsidRPr="00B97D25">
          <w:rPr>
            <w:rStyle w:val="Hyperlink"/>
            <w:sz w:val="24"/>
            <w:szCs w:val="24"/>
            <w:lang w:eastAsia="zh-CN"/>
          </w:rPr>
          <w:t>CBD/CP/MOP/11/3</w:t>
        </w:r>
      </w:hyperlink>
      <w:r w:rsidRPr="00E916DD">
        <w:rPr>
          <w:sz w:val="24"/>
          <w:szCs w:val="24"/>
          <w:lang w:val="zh-CN" w:eastAsia="zh-CN"/>
        </w:rPr>
        <w:t>号文件附件第</w:t>
      </w:r>
      <w:r w:rsidRPr="00E916DD">
        <w:rPr>
          <w:sz w:val="24"/>
          <w:szCs w:val="24"/>
          <w:lang w:eastAsia="zh-CN"/>
        </w:rPr>
        <w:t>1</w:t>
      </w:r>
      <w:r w:rsidRPr="00E916DD">
        <w:rPr>
          <w:sz w:val="24"/>
          <w:szCs w:val="24"/>
          <w:lang w:val="zh-CN" w:eastAsia="zh-CN"/>
        </w:rPr>
        <w:t>段所载履约委员会的建议</w:t>
      </w:r>
      <w:r w:rsidRPr="00E916DD">
        <w:rPr>
          <w:sz w:val="24"/>
          <w:szCs w:val="24"/>
          <w:lang w:eastAsia="zh-CN"/>
        </w:rPr>
        <w:t>，</w:t>
      </w:r>
      <w:r w:rsidRPr="00E916DD">
        <w:rPr>
          <w:sz w:val="24"/>
          <w:szCs w:val="24"/>
          <w:lang w:val="zh-CN" w:eastAsia="zh-CN"/>
        </w:rPr>
        <w:t>并为委员会开展工作寻求协助</w:t>
      </w:r>
      <w:r w:rsidRPr="00E916DD">
        <w:rPr>
          <w:sz w:val="24"/>
          <w:szCs w:val="24"/>
          <w:lang w:eastAsia="zh-CN"/>
        </w:rPr>
        <w:t>，</w:t>
      </w:r>
    </w:p>
    <w:p w14:paraId="04EE2876" w14:textId="53066474" w:rsidR="00BC5B90" w:rsidRPr="00E916DD" w:rsidRDefault="000773A7" w:rsidP="00B97D25">
      <w:pPr>
        <w:tabs>
          <w:tab w:val="clear" w:pos="567"/>
          <w:tab w:val="clear" w:pos="1134"/>
          <w:tab w:val="clear" w:pos="1701"/>
          <w:tab w:val="clear" w:pos="2268"/>
        </w:tabs>
        <w:spacing w:before="120" w:after="120"/>
        <w:ind w:left="490" w:firstLine="490"/>
        <w:jc w:val="left"/>
        <w:rPr>
          <w:sz w:val="24"/>
          <w:szCs w:val="24"/>
          <w:lang w:eastAsia="zh-CN"/>
        </w:rPr>
      </w:pPr>
      <w:r w:rsidRPr="000773A7">
        <w:rPr>
          <w:rFonts w:eastAsia="KaiTi" w:hint="eastAsia"/>
          <w:sz w:val="24"/>
          <w:szCs w:val="24"/>
          <w:lang w:val="zh-CN" w:eastAsia="zh-CN"/>
        </w:rPr>
        <w:t>确认</w:t>
      </w:r>
      <w:r w:rsidR="00BC5B90" w:rsidRPr="00E916DD">
        <w:rPr>
          <w:sz w:val="24"/>
          <w:szCs w:val="24"/>
          <w:lang w:val="zh-CN" w:eastAsia="zh-CN"/>
        </w:rPr>
        <w:t>《卡塔赫纳生物安全议定书》</w:t>
      </w:r>
      <w:r w:rsidR="00BC5B90" w:rsidRPr="00E916DD">
        <w:rPr>
          <w:sz w:val="24"/>
          <w:szCs w:val="24"/>
          <w:vertAlign w:val="superscript"/>
          <w:lang w:val="zh-CN"/>
        </w:rPr>
        <w:footnoteReference w:id="6"/>
      </w:r>
      <w:r w:rsidR="00BC5B90" w:rsidRPr="00E916DD">
        <w:rPr>
          <w:sz w:val="24"/>
          <w:szCs w:val="24"/>
          <w:lang w:val="zh-CN" w:eastAsia="zh-CN"/>
        </w:rPr>
        <w:t>第</w:t>
      </w:r>
      <w:r w:rsidR="00BC5B90" w:rsidRPr="00E916DD">
        <w:rPr>
          <w:sz w:val="24"/>
          <w:szCs w:val="24"/>
          <w:lang w:eastAsia="zh-CN"/>
        </w:rPr>
        <w:t>3</w:t>
      </w:r>
      <w:r w:rsidR="00BC5B90" w:rsidRPr="00E916DD">
        <w:rPr>
          <w:sz w:val="24"/>
          <w:szCs w:val="24"/>
          <w:lang w:val="zh-CN" w:eastAsia="zh-CN"/>
        </w:rPr>
        <w:t>条规定的</w:t>
      </w:r>
      <w:r w:rsidR="00B97D25">
        <w:rPr>
          <w:rFonts w:hint="eastAsia"/>
          <w:sz w:val="24"/>
          <w:szCs w:val="24"/>
          <w:lang w:eastAsia="zh-CN"/>
        </w:rPr>
        <w:t>“</w:t>
      </w:r>
      <w:r w:rsidR="00BC5B90" w:rsidRPr="00E916DD">
        <w:rPr>
          <w:sz w:val="24"/>
          <w:szCs w:val="24"/>
          <w:lang w:val="zh-CN" w:eastAsia="zh-CN"/>
        </w:rPr>
        <w:t>改性活生物体</w:t>
      </w:r>
      <w:r w:rsidR="00B97D25">
        <w:rPr>
          <w:rFonts w:hint="eastAsia"/>
          <w:sz w:val="24"/>
          <w:szCs w:val="24"/>
          <w:lang w:eastAsia="zh-CN"/>
        </w:rPr>
        <w:t>”</w:t>
      </w:r>
      <w:r w:rsidR="00BC5B90" w:rsidRPr="00E916DD">
        <w:rPr>
          <w:sz w:val="24"/>
          <w:szCs w:val="24"/>
          <w:lang w:val="zh-CN" w:eastAsia="zh-CN"/>
        </w:rPr>
        <w:t>和</w:t>
      </w:r>
      <w:r w:rsidR="00B97D25">
        <w:rPr>
          <w:rFonts w:hint="eastAsia"/>
          <w:sz w:val="24"/>
          <w:szCs w:val="24"/>
          <w:lang w:eastAsia="zh-CN"/>
        </w:rPr>
        <w:t>“</w:t>
      </w:r>
      <w:r w:rsidR="00BC5B90" w:rsidRPr="00E916DD">
        <w:rPr>
          <w:sz w:val="24"/>
          <w:szCs w:val="24"/>
          <w:lang w:val="zh-CN" w:eastAsia="zh-CN"/>
        </w:rPr>
        <w:t>现代生物技术</w:t>
      </w:r>
      <w:r w:rsidR="00B97D25">
        <w:rPr>
          <w:rFonts w:hint="eastAsia"/>
          <w:sz w:val="24"/>
          <w:szCs w:val="24"/>
          <w:lang w:eastAsia="zh-CN"/>
        </w:rPr>
        <w:t>”</w:t>
      </w:r>
      <w:r w:rsidR="00BC5B90" w:rsidRPr="00E916DD">
        <w:rPr>
          <w:sz w:val="24"/>
          <w:szCs w:val="24"/>
          <w:lang w:val="zh-CN" w:eastAsia="zh-CN"/>
        </w:rPr>
        <w:t>的定义没有问题</w:t>
      </w:r>
      <w:r w:rsidR="00BC5B90" w:rsidRPr="00E916DD">
        <w:rPr>
          <w:sz w:val="24"/>
          <w:szCs w:val="24"/>
          <w:lang w:eastAsia="zh-CN"/>
        </w:rPr>
        <w:t>，</w:t>
      </w:r>
    </w:p>
    <w:p w14:paraId="3F92F236" w14:textId="635C2BE7" w:rsidR="00BC5B90" w:rsidRPr="00E916DD" w:rsidRDefault="00BC5B90" w:rsidP="00A4717B">
      <w:pPr>
        <w:tabs>
          <w:tab w:val="clear" w:pos="567"/>
          <w:tab w:val="clear" w:pos="1134"/>
          <w:tab w:val="clear" w:pos="1701"/>
          <w:tab w:val="clear" w:pos="2268"/>
        </w:tabs>
        <w:spacing w:before="120" w:after="120"/>
        <w:ind w:left="490" w:firstLine="490"/>
        <w:rPr>
          <w:sz w:val="24"/>
          <w:szCs w:val="24"/>
          <w:lang w:eastAsia="zh-CN"/>
        </w:rPr>
      </w:pPr>
      <w:r w:rsidRPr="0040791D">
        <w:rPr>
          <w:rFonts w:eastAsia="KaiTi" w:hint="eastAsia"/>
          <w:bCs/>
          <w:iCs/>
          <w:sz w:val="24"/>
          <w:szCs w:val="24"/>
          <w:lang w:eastAsia="zh-CN"/>
        </w:rPr>
        <w:lastRenderedPageBreak/>
        <w:t>认识到</w:t>
      </w:r>
      <w:r w:rsidRPr="00E916DD">
        <w:rPr>
          <w:sz w:val="24"/>
          <w:szCs w:val="24"/>
          <w:lang w:val="zh-CN" w:eastAsia="zh-CN"/>
        </w:rPr>
        <w:t>缔约方通过法律履行其《卡塔赫纳议定书》的义务的主权权利</w:t>
      </w:r>
      <w:r w:rsidRPr="00E916DD">
        <w:rPr>
          <w:sz w:val="24"/>
          <w:szCs w:val="24"/>
          <w:lang w:eastAsia="zh-CN"/>
        </w:rPr>
        <w:t>，</w:t>
      </w:r>
    </w:p>
    <w:p w14:paraId="0362D611" w14:textId="142437D2" w:rsidR="00BC5B90" w:rsidRPr="00E916DD" w:rsidRDefault="00BC5B90" w:rsidP="00A4717B">
      <w:pPr>
        <w:tabs>
          <w:tab w:val="clear" w:pos="567"/>
          <w:tab w:val="clear" w:pos="1134"/>
          <w:tab w:val="clear" w:pos="1701"/>
          <w:tab w:val="clear" w:pos="2268"/>
        </w:tabs>
        <w:spacing w:before="120" w:after="120"/>
        <w:ind w:left="490" w:firstLine="490"/>
        <w:rPr>
          <w:kern w:val="22"/>
          <w:sz w:val="24"/>
          <w:szCs w:val="24"/>
          <w:lang w:eastAsia="zh-CN"/>
        </w:rPr>
      </w:pPr>
      <w:r w:rsidRPr="00E916DD">
        <w:rPr>
          <w:kern w:val="22"/>
          <w:sz w:val="24"/>
          <w:szCs w:val="24"/>
          <w:lang w:eastAsia="zh-CN"/>
        </w:rPr>
        <w:t>1.</w:t>
      </w:r>
      <w:r w:rsidRPr="00E916DD">
        <w:rPr>
          <w:kern w:val="22"/>
          <w:sz w:val="24"/>
          <w:szCs w:val="24"/>
          <w:lang w:eastAsia="zh-CN"/>
        </w:rPr>
        <w:tab/>
      </w:r>
      <w:r w:rsidRPr="0040791D">
        <w:rPr>
          <w:rFonts w:eastAsia="KaiTi" w:hint="eastAsia"/>
          <w:bCs/>
          <w:iCs/>
          <w:sz w:val="24"/>
          <w:szCs w:val="24"/>
          <w:lang w:eastAsia="zh-CN"/>
        </w:rPr>
        <w:t>鼓励</w:t>
      </w:r>
      <w:r w:rsidRPr="00E916DD">
        <w:rPr>
          <w:sz w:val="24"/>
          <w:szCs w:val="24"/>
          <w:lang w:val="zh-CN" w:eastAsia="zh-CN"/>
        </w:rPr>
        <w:t>缔约方提交与《卡塔赫纳</w:t>
      </w:r>
      <w:r w:rsidR="00E64281">
        <w:rPr>
          <w:rFonts w:hint="eastAsia"/>
          <w:sz w:val="24"/>
          <w:szCs w:val="24"/>
          <w:lang w:val="zh-CN" w:eastAsia="zh-CN"/>
        </w:rPr>
        <w:t>生物安全</w:t>
      </w:r>
      <w:r w:rsidRPr="00E916DD">
        <w:rPr>
          <w:sz w:val="24"/>
          <w:szCs w:val="24"/>
          <w:lang w:val="zh-CN" w:eastAsia="zh-CN"/>
        </w:rPr>
        <w:t>议定书》相关但未在生物安全信息交换所公布的有关现代生物技术新发展的国家法律、法规和准则的信息</w:t>
      </w:r>
      <w:r w:rsidRPr="00E916DD">
        <w:rPr>
          <w:sz w:val="24"/>
          <w:szCs w:val="24"/>
          <w:lang w:eastAsia="zh-CN"/>
        </w:rPr>
        <w:t>；</w:t>
      </w:r>
    </w:p>
    <w:p w14:paraId="01BAF27E" w14:textId="6CA1363A" w:rsidR="00BC5B90" w:rsidRPr="00E916DD" w:rsidRDefault="00BC5B90" w:rsidP="00A4717B">
      <w:pPr>
        <w:tabs>
          <w:tab w:val="clear" w:pos="567"/>
          <w:tab w:val="clear" w:pos="1134"/>
          <w:tab w:val="clear" w:pos="1701"/>
          <w:tab w:val="clear" w:pos="2268"/>
        </w:tabs>
        <w:spacing w:before="120" w:after="120"/>
        <w:ind w:left="490" w:firstLine="490"/>
        <w:rPr>
          <w:kern w:val="22"/>
          <w:sz w:val="24"/>
          <w:szCs w:val="24"/>
          <w:lang w:eastAsia="zh-CN"/>
        </w:rPr>
      </w:pPr>
      <w:r w:rsidRPr="00E916DD">
        <w:rPr>
          <w:kern w:val="22"/>
          <w:sz w:val="24"/>
          <w:szCs w:val="24"/>
          <w:lang w:eastAsia="zh-CN"/>
        </w:rPr>
        <w:t>2.</w:t>
      </w:r>
      <w:r w:rsidRPr="00E916DD">
        <w:rPr>
          <w:i/>
          <w:kern w:val="22"/>
          <w:sz w:val="24"/>
          <w:szCs w:val="24"/>
          <w:lang w:eastAsia="zh-CN"/>
        </w:rPr>
        <w:tab/>
      </w:r>
      <w:r w:rsidRPr="0040791D">
        <w:rPr>
          <w:rFonts w:eastAsia="KaiTi"/>
          <w:bCs/>
          <w:iCs/>
          <w:sz w:val="24"/>
          <w:szCs w:val="24"/>
          <w:lang w:eastAsia="zh-CN"/>
        </w:rPr>
        <w:t>请</w:t>
      </w:r>
      <w:r w:rsidR="00E64281" w:rsidRPr="00E64281">
        <w:rPr>
          <w:rFonts w:hint="eastAsia"/>
          <w:bCs/>
          <w:iCs/>
          <w:sz w:val="24"/>
          <w:szCs w:val="24"/>
          <w:lang w:eastAsia="zh-CN"/>
        </w:rPr>
        <w:t>《生物多样性公约》</w:t>
      </w:r>
      <w:r w:rsidR="00E64281">
        <w:rPr>
          <w:rStyle w:val="FootnoteReference"/>
          <w:bCs/>
          <w:iCs/>
          <w:sz w:val="24"/>
          <w:szCs w:val="24"/>
          <w:lang w:eastAsia="zh-CN"/>
        </w:rPr>
        <w:footnoteReference w:id="7"/>
      </w:r>
      <w:r w:rsidRPr="00E916DD">
        <w:rPr>
          <w:sz w:val="24"/>
          <w:szCs w:val="24"/>
          <w:lang w:val="zh-CN" w:eastAsia="zh-CN"/>
        </w:rPr>
        <w:t>执行秘书编撰生物安全信息交换所和其他来源所载有关现代生物技术新发展的国家现行法律、法规和准则的信息</w:t>
      </w:r>
      <w:r w:rsidRPr="00E916DD">
        <w:rPr>
          <w:sz w:val="24"/>
          <w:szCs w:val="24"/>
          <w:lang w:eastAsia="zh-CN"/>
        </w:rPr>
        <w:t>；</w:t>
      </w:r>
    </w:p>
    <w:p w14:paraId="7BF5749B" w14:textId="5F556070" w:rsidR="00BC5B90" w:rsidRPr="00E916DD" w:rsidRDefault="00BC5B90" w:rsidP="00A4717B">
      <w:pPr>
        <w:tabs>
          <w:tab w:val="clear" w:pos="567"/>
          <w:tab w:val="clear" w:pos="1134"/>
          <w:tab w:val="clear" w:pos="1701"/>
          <w:tab w:val="clear" w:pos="2268"/>
        </w:tabs>
        <w:spacing w:before="120" w:after="120"/>
        <w:ind w:left="490" w:firstLine="490"/>
        <w:rPr>
          <w:sz w:val="24"/>
          <w:szCs w:val="24"/>
          <w:lang w:eastAsia="zh-CN"/>
        </w:rPr>
      </w:pPr>
      <w:r w:rsidRPr="00E916DD">
        <w:rPr>
          <w:kern w:val="22"/>
          <w:sz w:val="24"/>
          <w:szCs w:val="24"/>
          <w:lang w:eastAsia="zh-CN"/>
        </w:rPr>
        <w:t>3.</w:t>
      </w:r>
      <w:r w:rsidRPr="00E916DD">
        <w:rPr>
          <w:kern w:val="22"/>
          <w:sz w:val="24"/>
          <w:szCs w:val="24"/>
          <w:lang w:eastAsia="zh-CN"/>
        </w:rPr>
        <w:tab/>
      </w:r>
      <w:r w:rsidR="00A4717B">
        <w:rPr>
          <w:rFonts w:eastAsia="KaiTi" w:hint="eastAsia"/>
          <w:bCs/>
          <w:iCs/>
          <w:sz w:val="24"/>
          <w:szCs w:val="24"/>
          <w:lang w:eastAsia="zh-CN"/>
        </w:rPr>
        <w:t>又</w:t>
      </w:r>
      <w:r w:rsidRPr="0040791D">
        <w:rPr>
          <w:rFonts w:eastAsia="KaiTi"/>
          <w:bCs/>
          <w:iCs/>
          <w:sz w:val="24"/>
          <w:szCs w:val="24"/>
          <w:lang w:eastAsia="zh-CN"/>
        </w:rPr>
        <w:t>请</w:t>
      </w:r>
      <w:r w:rsidRPr="00E916DD">
        <w:rPr>
          <w:sz w:val="24"/>
          <w:szCs w:val="24"/>
          <w:lang w:val="zh-CN" w:eastAsia="zh-CN"/>
        </w:rPr>
        <w:t>执行秘书提交根据上文第</w:t>
      </w:r>
      <w:r w:rsidRPr="00E916DD">
        <w:rPr>
          <w:sz w:val="24"/>
          <w:szCs w:val="24"/>
          <w:lang w:eastAsia="zh-CN"/>
        </w:rPr>
        <w:t>1</w:t>
      </w:r>
      <w:r w:rsidR="00A4717B">
        <w:rPr>
          <w:rFonts w:hint="eastAsia"/>
          <w:sz w:val="24"/>
          <w:szCs w:val="24"/>
          <w:lang w:eastAsia="zh-CN"/>
        </w:rPr>
        <w:t>段</w:t>
      </w:r>
      <w:r w:rsidRPr="00E916DD">
        <w:rPr>
          <w:sz w:val="24"/>
          <w:szCs w:val="24"/>
          <w:lang w:val="zh-CN" w:eastAsia="zh-CN"/>
        </w:rPr>
        <w:t>和第</w:t>
      </w:r>
      <w:r w:rsidRPr="00E916DD">
        <w:rPr>
          <w:sz w:val="24"/>
          <w:szCs w:val="24"/>
          <w:lang w:eastAsia="zh-CN"/>
        </w:rPr>
        <w:t>2</w:t>
      </w:r>
      <w:r w:rsidRPr="00E916DD">
        <w:rPr>
          <w:sz w:val="24"/>
          <w:szCs w:val="24"/>
          <w:lang w:val="zh-CN" w:eastAsia="zh-CN"/>
        </w:rPr>
        <w:t>段收集的信息</w:t>
      </w:r>
      <w:r w:rsidRPr="00E916DD">
        <w:rPr>
          <w:sz w:val="24"/>
          <w:szCs w:val="24"/>
          <w:lang w:eastAsia="zh-CN"/>
        </w:rPr>
        <w:t>，</w:t>
      </w:r>
      <w:r w:rsidRPr="00E916DD">
        <w:rPr>
          <w:sz w:val="24"/>
          <w:szCs w:val="24"/>
          <w:lang w:val="zh-CN" w:eastAsia="zh-CN"/>
        </w:rPr>
        <w:t>供作为卡塔赫纳议定书缔约方会议的缔约方大会第十二次会议审议。</w:t>
      </w:r>
      <w:r w:rsidRPr="00E916DD">
        <w:rPr>
          <w:kern w:val="22"/>
          <w:sz w:val="24"/>
          <w:szCs w:val="24"/>
          <w:lang w:eastAsia="zh-CN"/>
        </w:rPr>
        <w:t xml:space="preserve"> </w:t>
      </w:r>
      <w:r w:rsidR="00480B15">
        <w:rPr>
          <w:rFonts w:hint="eastAsia"/>
          <w:kern w:val="22"/>
          <w:sz w:val="24"/>
          <w:szCs w:val="24"/>
          <w:lang w:eastAsia="zh-CN"/>
        </w:rPr>
        <w:t xml:space="preserve"> </w:t>
      </w:r>
    </w:p>
    <w:p w14:paraId="25A4F7B0" w14:textId="77777777" w:rsidR="00283DF3" w:rsidRDefault="00283DF3" w:rsidP="008D7C86">
      <w:pPr>
        <w:pStyle w:val="Para1"/>
        <w:numPr>
          <w:ilvl w:val="0"/>
          <w:numId w:val="0"/>
        </w:numPr>
        <w:tabs>
          <w:tab w:val="clear" w:pos="567"/>
        </w:tabs>
        <w:ind w:left="-360"/>
        <w:jc w:val="center"/>
        <w:rPr>
          <w:szCs w:val="24"/>
          <w:lang w:eastAsia="zh-CN"/>
        </w:rPr>
      </w:pPr>
    </w:p>
    <w:p w14:paraId="1480C29F" w14:textId="44BEF274" w:rsidR="00CA7DA5" w:rsidRPr="00153B59" w:rsidRDefault="00BC5B90" w:rsidP="008D7C86">
      <w:pPr>
        <w:pStyle w:val="Para1"/>
        <w:numPr>
          <w:ilvl w:val="0"/>
          <w:numId w:val="0"/>
        </w:numPr>
        <w:tabs>
          <w:tab w:val="clear" w:pos="567"/>
        </w:tabs>
        <w:ind w:left="-360"/>
        <w:jc w:val="center"/>
        <w:rPr>
          <w:rFonts w:ascii="SimHei" w:eastAsia="SimHei" w:hAnsi="SimHei"/>
          <w:sz w:val="28"/>
          <w:szCs w:val="28"/>
          <w:lang w:val="en-US" w:eastAsia="zh-CN"/>
        </w:rPr>
      </w:pPr>
      <w:r>
        <w:rPr>
          <w:szCs w:val="24"/>
        </w:rPr>
        <w:t>_________</w:t>
      </w:r>
    </w:p>
    <w:sectPr w:rsidR="00CA7DA5" w:rsidRPr="00153B59" w:rsidSect="009A186D">
      <w:headerReference w:type="even" r:id="rId16"/>
      <w:headerReference w:type="default" r:id="rId17"/>
      <w:footerReference w:type="even" r:id="rId18"/>
      <w:footerReference w:type="default" r:id="rId19"/>
      <w:headerReference w:type="first" r:id="rId20"/>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61E96" w14:textId="77777777" w:rsidR="00A17EAA" w:rsidRDefault="00A17EAA" w:rsidP="00A96B21">
      <w:r>
        <w:separator/>
      </w:r>
    </w:p>
  </w:endnote>
  <w:endnote w:type="continuationSeparator" w:id="0">
    <w:p w14:paraId="09D3A197" w14:textId="77777777" w:rsidR="00A17EAA" w:rsidRDefault="00A17EAA" w:rsidP="00A96B21">
      <w:r>
        <w:continuationSeparator/>
      </w:r>
    </w:p>
  </w:endnote>
  <w:endnote w:type="continuationNotice" w:id="1">
    <w:p w14:paraId="488D45A3" w14:textId="77777777" w:rsidR="00A17EAA" w:rsidRDefault="00A17E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390193E0" w14:textId="77777777" w:rsidR="00B72A5B" w:rsidRDefault="00B72A5B">
            <w:pPr>
              <w:pStyle w:val="Footer"/>
            </w:pPr>
            <w:r w:rsidRPr="002B559C">
              <w:rPr>
                <w:szCs w:val="20"/>
              </w:rPr>
              <w:fldChar w:fldCharType="begin"/>
            </w:r>
            <w:r w:rsidRPr="002B559C">
              <w:rPr>
                <w:szCs w:val="20"/>
              </w:rPr>
              <w:instrText xml:space="preserve"> PAGE </w:instrText>
            </w:r>
            <w:r w:rsidRPr="002B559C">
              <w:rPr>
                <w:szCs w:val="20"/>
              </w:rPr>
              <w:fldChar w:fldCharType="separate"/>
            </w:r>
            <w:r w:rsidR="006A499D">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006A499D">
              <w:rPr>
                <w:noProof/>
                <w:szCs w:val="20"/>
              </w:rPr>
              <w:t>3</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7591F0EE" w14:textId="77777777" w:rsidR="00B72A5B" w:rsidRDefault="00B72A5B"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006A499D">
              <w:rPr>
                <w:noProof/>
                <w:szCs w:val="20"/>
              </w:rPr>
              <w:t>3</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006A499D">
              <w:rPr>
                <w:noProof/>
                <w:szCs w:val="20"/>
              </w:rPr>
              <w:t>3</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F072F" w14:textId="77777777" w:rsidR="00A17EAA" w:rsidRDefault="00A17EAA" w:rsidP="00A96B21">
      <w:r>
        <w:separator/>
      </w:r>
    </w:p>
  </w:footnote>
  <w:footnote w:type="continuationSeparator" w:id="0">
    <w:p w14:paraId="13624305" w14:textId="77777777" w:rsidR="00A17EAA" w:rsidRDefault="00A17EAA" w:rsidP="00A96B21">
      <w:r>
        <w:continuationSeparator/>
      </w:r>
    </w:p>
  </w:footnote>
  <w:footnote w:type="continuationNotice" w:id="1">
    <w:p w14:paraId="2FF7E1EB" w14:textId="77777777" w:rsidR="00A17EAA" w:rsidRDefault="00A17EAA"/>
  </w:footnote>
  <w:footnote w:id="2">
    <w:p w14:paraId="55592BBB" w14:textId="4E957E7C" w:rsidR="00E34A3F" w:rsidRPr="008D7C86" w:rsidRDefault="00E34A3F" w:rsidP="00E64281">
      <w:pPr>
        <w:pStyle w:val="FootnoteText"/>
        <w:spacing w:after="60"/>
        <w:rPr>
          <w:sz w:val="20"/>
          <w:lang w:eastAsia="zh-CN"/>
        </w:rPr>
      </w:pPr>
      <w:r w:rsidRPr="008D7C86">
        <w:rPr>
          <w:rStyle w:val="FootnoteReference"/>
          <w:sz w:val="20"/>
        </w:rPr>
        <w:footnoteRef/>
      </w:r>
      <w:r w:rsidRPr="008D7C86">
        <w:rPr>
          <w:sz w:val="20"/>
          <w:lang w:eastAsia="zh-CN"/>
        </w:rPr>
        <w:t xml:space="preserve"> </w:t>
      </w:r>
      <w:r w:rsidR="00FE4EE8">
        <w:rPr>
          <w:rFonts w:hint="eastAsia"/>
          <w:sz w:val="20"/>
          <w:lang w:eastAsia="zh-CN"/>
        </w:rPr>
        <w:t xml:space="preserve"> </w:t>
      </w:r>
      <w:r w:rsidRPr="008D7C86">
        <w:rPr>
          <w:sz w:val="20"/>
          <w:lang w:eastAsia="zh-CN"/>
        </w:rPr>
        <w:t>联合国，《条约汇编》，第</w:t>
      </w:r>
      <w:r w:rsidRPr="008D7C86">
        <w:rPr>
          <w:sz w:val="20"/>
          <w:lang w:eastAsia="zh-CN"/>
        </w:rPr>
        <w:t>2226</w:t>
      </w:r>
      <w:r w:rsidRPr="008D7C86">
        <w:rPr>
          <w:sz w:val="20"/>
          <w:lang w:eastAsia="zh-CN"/>
        </w:rPr>
        <w:t>卷，第</w:t>
      </w:r>
      <w:r w:rsidRPr="008D7C86">
        <w:rPr>
          <w:sz w:val="20"/>
          <w:lang w:eastAsia="zh-CN"/>
        </w:rPr>
        <w:t>30619</w:t>
      </w:r>
      <w:r w:rsidRPr="008D7C86">
        <w:rPr>
          <w:sz w:val="20"/>
          <w:lang w:eastAsia="zh-CN"/>
        </w:rPr>
        <w:t>号。</w:t>
      </w:r>
    </w:p>
  </w:footnote>
  <w:footnote w:id="3">
    <w:p w14:paraId="58EF8D02" w14:textId="0A494E01" w:rsidR="00E34A3F" w:rsidRPr="00EF2226" w:rsidRDefault="00E34A3F" w:rsidP="00E64281">
      <w:pPr>
        <w:pStyle w:val="FootnoteText"/>
        <w:spacing w:after="60"/>
        <w:rPr>
          <w:sz w:val="20"/>
          <w:lang w:eastAsia="zh-CN"/>
        </w:rPr>
      </w:pPr>
      <w:r w:rsidRPr="00EF2226">
        <w:rPr>
          <w:rStyle w:val="FootnoteReference"/>
          <w:sz w:val="20"/>
        </w:rPr>
        <w:footnoteRef/>
      </w:r>
      <w:r w:rsidRPr="00EF2226">
        <w:rPr>
          <w:sz w:val="20"/>
          <w:lang w:eastAsia="zh-CN"/>
        </w:rPr>
        <w:t xml:space="preserve"> </w:t>
      </w:r>
      <w:r w:rsidR="00A4717B" w:rsidRPr="00EF2226">
        <w:rPr>
          <w:rFonts w:hint="eastAsia"/>
          <w:sz w:val="20"/>
          <w:lang w:eastAsia="zh-CN"/>
        </w:rPr>
        <w:t xml:space="preserve"> </w:t>
      </w:r>
      <w:r w:rsidRPr="00EF2226">
        <w:rPr>
          <w:rFonts w:hint="eastAsia"/>
          <w:sz w:val="20"/>
          <w:lang w:eastAsia="zh-CN"/>
        </w:rPr>
        <w:t>巴巴多斯、布隆迪、几内亚、吉尔吉斯斯坦、黎巴嫩、摩洛哥、阿曼、萨摩亚、苏里南、特立尼达和多巴哥</w:t>
      </w:r>
      <w:r w:rsidR="005F7B3C">
        <w:rPr>
          <w:rFonts w:hint="eastAsia"/>
          <w:sz w:val="20"/>
          <w:lang w:eastAsia="zh-CN"/>
        </w:rPr>
        <w:t>、</w:t>
      </w:r>
      <w:r w:rsidRPr="00EF2226">
        <w:rPr>
          <w:rFonts w:hint="eastAsia"/>
          <w:sz w:val="20"/>
          <w:lang w:eastAsia="zh-CN"/>
        </w:rPr>
        <w:t>突尼斯。</w:t>
      </w:r>
    </w:p>
  </w:footnote>
  <w:footnote w:id="4">
    <w:p w14:paraId="79016B07" w14:textId="7560B2BE" w:rsidR="00E34A3F" w:rsidRPr="00EF2226" w:rsidRDefault="00E34A3F" w:rsidP="00E64281">
      <w:pPr>
        <w:pStyle w:val="FootnoteText"/>
        <w:spacing w:after="60"/>
        <w:rPr>
          <w:sz w:val="20"/>
          <w:lang w:eastAsia="zh-CN"/>
        </w:rPr>
      </w:pPr>
      <w:r w:rsidRPr="00EF2226">
        <w:rPr>
          <w:rStyle w:val="FootnoteReference"/>
          <w:sz w:val="20"/>
        </w:rPr>
        <w:footnoteRef/>
      </w:r>
      <w:r w:rsidRPr="00EF2226">
        <w:rPr>
          <w:sz w:val="20"/>
          <w:lang w:eastAsia="zh-CN"/>
        </w:rPr>
        <w:t xml:space="preserve"> </w:t>
      </w:r>
      <w:r w:rsidR="00A4717B" w:rsidRPr="00EF2226">
        <w:rPr>
          <w:rFonts w:hint="eastAsia"/>
          <w:sz w:val="20"/>
          <w:lang w:eastAsia="zh-CN"/>
        </w:rPr>
        <w:t xml:space="preserve"> </w:t>
      </w:r>
      <w:r w:rsidRPr="00EF2226">
        <w:rPr>
          <w:rFonts w:hint="eastAsia"/>
          <w:sz w:val="20"/>
          <w:lang w:eastAsia="zh-CN"/>
        </w:rPr>
        <w:t>联合国，《条约汇编》，第</w:t>
      </w:r>
      <w:r w:rsidRPr="00EF2226">
        <w:rPr>
          <w:rFonts w:hint="eastAsia"/>
          <w:sz w:val="20"/>
          <w:lang w:eastAsia="zh-CN"/>
        </w:rPr>
        <w:t>2226</w:t>
      </w:r>
      <w:r w:rsidRPr="00EF2226">
        <w:rPr>
          <w:rFonts w:hint="eastAsia"/>
          <w:sz w:val="20"/>
          <w:lang w:eastAsia="zh-CN"/>
        </w:rPr>
        <w:t>卷，第</w:t>
      </w:r>
      <w:r w:rsidRPr="00EF2226">
        <w:rPr>
          <w:rFonts w:hint="eastAsia"/>
          <w:sz w:val="20"/>
          <w:lang w:eastAsia="zh-CN"/>
        </w:rPr>
        <w:t>30619</w:t>
      </w:r>
      <w:r w:rsidRPr="00EF2226">
        <w:rPr>
          <w:rFonts w:hint="eastAsia"/>
          <w:sz w:val="20"/>
          <w:lang w:eastAsia="zh-CN"/>
        </w:rPr>
        <w:t>号。</w:t>
      </w:r>
    </w:p>
  </w:footnote>
  <w:footnote w:id="5">
    <w:p w14:paraId="7F4AF365" w14:textId="1BA6A3E0" w:rsidR="004E1B1D" w:rsidRPr="004E1B1D" w:rsidRDefault="004E1B1D" w:rsidP="00E64281">
      <w:pPr>
        <w:pStyle w:val="FootnoteText"/>
        <w:spacing w:after="60"/>
        <w:rPr>
          <w:rFonts w:hint="eastAsia"/>
          <w:lang w:eastAsia="zh-CN"/>
        </w:rPr>
      </w:pPr>
      <w:r w:rsidRPr="00EF2226">
        <w:rPr>
          <w:rStyle w:val="FootnoteReference"/>
          <w:sz w:val="20"/>
        </w:rPr>
        <w:footnoteRef/>
      </w:r>
      <w:r w:rsidRPr="00EF2226">
        <w:rPr>
          <w:sz w:val="20"/>
          <w:lang w:eastAsia="zh-CN"/>
        </w:rPr>
        <w:t xml:space="preserve"> </w:t>
      </w:r>
      <w:r w:rsidR="00EF2226" w:rsidRPr="00EF2226">
        <w:rPr>
          <w:rFonts w:hint="eastAsia"/>
          <w:sz w:val="20"/>
          <w:lang w:eastAsia="zh-CN"/>
        </w:rPr>
        <w:t xml:space="preserve"> </w:t>
      </w:r>
      <w:r w:rsidR="00EF2226" w:rsidRPr="00EF2226">
        <w:rPr>
          <w:rFonts w:hint="eastAsia"/>
          <w:sz w:val="20"/>
          <w:lang w:eastAsia="zh-CN"/>
        </w:rPr>
        <w:t>同上，第</w:t>
      </w:r>
      <w:r w:rsidR="00EF2226" w:rsidRPr="00EF2226">
        <w:rPr>
          <w:rFonts w:hint="eastAsia"/>
          <w:sz w:val="20"/>
          <w:lang w:eastAsia="zh-CN"/>
        </w:rPr>
        <w:t xml:space="preserve"> 1760 </w:t>
      </w:r>
      <w:r w:rsidR="00EF2226" w:rsidRPr="00EF2226">
        <w:rPr>
          <w:rFonts w:hint="eastAsia"/>
          <w:sz w:val="20"/>
          <w:lang w:eastAsia="zh-CN"/>
        </w:rPr>
        <w:t>卷，第</w:t>
      </w:r>
      <w:r w:rsidR="00EF2226" w:rsidRPr="00EF2226">
        <w:rPr>
          <w:rFonts w:hint="eastAsia"/>
          <w:sz w:val="20"/>
          <w:lang w:eastAsia="zh-CN"/>
        </w:rPr>
        <w:t xml:space="preserve"> 30619 </w:t>
      </w:r>
      <w:r w:rsidR="00EF2226" w:rsidRPr="00EF2226">
        <w:rPr>
          <w:rFonts w:hint="eastAsia"/>
          <w:sz w:val="20"/>
          <w:lang w:eastAsia="zh-CN"/>
        </w:rPr>
        <w:t>号。</w:t>
      </w:r>
    </w:p>
  </w:footnote>
  <w:footnote w:id="6">
    <w:p w14:paraId="6E3910BA" w14:textId="3C20F099" w:rsidR="00BC5B90" w:rsidRPr="00E64281" w:rsidRDefault="00BC5B90" w:rsidP="00E64281">
      <w:pPr>
        <w:pStyle w:val="FootnoteText"/>
        <w:spacing w:after="60"/>
        <w:rPr>
          <w:sz w:val="20"/>
          <w:lang w:eastAsia="zh-CN"/>
        </w:rPr>
      </w:pPr>
      <w:r w:rsidRPr="00E64281">
        <w:rPr>
          <w:rStyle w:val="FootnoteReference"/>
          <w:sz w:val="20"/>
        </w:rPr>
        <w:footnoteRef/>
      </w:r>
      <w:r w:rsidRPr="00E64281">
        <w:rPr>
          <w:sz w:val="20"/>
          <w:lang w:eastAsia="zh-CN"/>
        </w:rPr>
        <w:t xml:space="preserve"> </w:t>
      </w:r>
      <w:r w:rsidR="00E64281" w:rsidRPr="00E64281">
        <w:rPr>
          <w:rFonts w:hint="eastAsia"/>
          <w:sz w:val="20"/>
          <w:lang w:eastAsia="zh-CN"/>
        </w:rPr>
        <w:t xml:space="preserve"> </w:t>
      </w:r>
      <w:r w:rsidR="00E64281" w:rsidRPr="00E64281">
        <w:rPr>
          <w:rFonts w:hint="eastAsia"/>
          <w:sz w:val="20"/>
          <w:lang w:eastAsia="zh-CN"/>
        </w:rPr>
        <w:t>同上</w:t>
      </w:r>
      <w:r w:rsidR="00E64281" w:rsidRPr="00E64281">
        <w:rPr>
          <w:rFonts w:hint="eastAsia"/>
          <w:sz w:val="20"/>
          <w:lang w:eastAsia="zh-CN"/>
        </w:rPr>
        <w:t>，</w:t>
      </w:r>
      <w:r w:rsidRPr="00E64281">
        <w:rPr>
          <w:sz w:val="20"/>
          <w:lang w:val="zh-CN" w:eastAsia="zh-CN"/>
        </w:rPr>
        <w:t>第</w:t>
      </w:r>
      <w:r w:rsidRPr="00E64281">
        <w:rPr>
          <w:sz w:val="20"/>
          <w:lang w:val="zh-CN" w:eastAsia="zh-CN"/>
        </w:rPr>
        <w:t>2226</w:t>
      </w:r>
      <w:r w:rsidRPr="00E64281">
        <w:rPr>
          <w:sz w:val="20"/>
          <w:lang w:val="zh-CN" w:eastAsia="zh-CN"/>
        </w:rPr>
        <w:t>卷，第</w:t>
      </w:r>
      <w:r w:rsidRPr="00E64281">
        <w:rPr>
          <w:sz w:val="20"/>
          <w:lang w:val="zh-CN" w:eastAsia="zh-CN"/>
        </w:rPr>
        <w:t>30619</w:t>
      </w:r>
      <w:r w:rsidRPr="00E64281">
        <w:rPr>
          <w:sz w:val="20"/>
          <w:lang w:val="zh-CN" w:eastAsia="zh-CN"/>
        </w:rPr>
        <w:t>号。</w:t>
      </w:r>
    </w:p>
  </w:footnote>
  <w:footnote w:id="7">
    <w:p w14:paraId="7FAA472D" w14:textId="5D81AFAD" w:rsidR="00E64281" w:rsidRDefault="00E64281" w:rsidP="00E64281">
      <w:pPr>
        <w:pStyle w:val="FootnoteText"/>
        <w:spacing w:after="60"/>
        <w:rPr>
          <w:rFonts w:hint="eastAsia"/>
          <w:lang w:eastAsia="zh-CN"/>
        </w:rPr>
      </w:pPr>
      <w:r w:rsidRPr="00E64281">
        <w:rPr>
          <w:rStyle w:val="FootnoteReference"/>
          <w:sz w:val="20"/>
        </w:rPr>
        <w:footnoteRef/>
      </w:r>
      <w:r w:rsidRPr="00E64281">
        <w:rPr>
          <w:sz w:val="20"/>
        </w:rPr>
        <w:t xml:space="preserve"> </w:t>
      </w:r>
      <w:r w:rsidRPr="00E64281">
        <w:rPr>
          <w:rFonts w:hint="eastAsia"/>
          <w:sz w:val="20"/>
          <w:lang w:eastAsia="zh-CN"/>
        </w:rPr>
        <w:t xml:space="preserve"> </w:t>
      </w:r>
      <w:r w:rsidRPr="00E64281">
        <w:rPr>
          <w:rFonts w:hint="eastAsia"/>
          <w:sz w:val="20"/>
          <w:lang w:eastAsia="zh-CN"/>
        </w:rPr>
        <w:t>同上，第</w:t>
      </w:r>
      <w:r w:rsidRPr="00E64281">
        <w:rPr>
          <w:rFonts w:hint="eastAsia"/>
          <w:sz w:val="20"/>
          <w:lang w:eastAsia="zh-CN"/>
        </w:rPr>
        <w:t xml:space="preserve"> 1760 </w:t>
      </w:r>
      <w:r w:rsidRPr="00E64281">
        <w:rPr>
          <w:rFonts w:hint="eastAsia"/>
          <w:sz w:val="20"/>
          <w:lang w:eastAsia="zh-CN"/>
        </w:rPr>
        <w:t>卷，第</w:t>
      </w:r>
      <w:r w:rsidRPr="00E64281">
        <w:rPr>
          <w:rFonts w:hint="eastAsia"/>
          <w:sz w:val="20"/>
          <w:lang w:eastAsia="zh-CN"/>
        </w:rPr>
        <w:t xml:space="preserve"> 30619 </w:t>
      </w:r>
      <w:r w:rsidRPr="00E64281">
        <w:rPr>
          <w:rFonts w:hint="eastAsia"/>
          <w:sz w:val="20"/>
          <w:lang w:eastAsia="zh-CN"/>
        </w:rPr>
        <w:t>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8605D" w14:textId="324B4CE7" w:rsidR="00B72A5B" w:rsidRPr="005F7B3C" w:rsidRDefault="009A186D" w:rsidP="002B559C">
    <w:pPr>
      <w:pStyle w:val="Header"/>
      <w:spacing w:after="240"/>
      <w:rPr>
        <w:szCs w:val="20"/>
        <w:lang w:val="fr-FR"/>
      </w:rPr>
    </w:pPr>
    <w:bookmarkStart w:id="4" w:name="_Hlk137802784"/>
    <w:bookmarkStart w:id="5" w:name="_Hlk137802785"/>
    <w:r w:rsidRPr="005F7B3C">
      <w:rPr>
        <w:rFonts w:eastAsia="Times New Roman"/>
        <w:szCs w:val="20"/>
        <w:lang w:val="en-GB"/>
      </w:rPr>
      <w:t>CBD</w:t>
    </w:r>
    <w:r w:rsidRPr="005F7B3C">
      <w:rPr>
        <w:rFonts w:eastAsia="Times New Roman"/>
        <w:szCs w:val="20"/>
      </w:rPr>
      <w:t>/</w:t>
    </w:r>
    <w:r w:rsidRPr="005F7B3C">
      <w:rPr>
        <w:szCs w:val="20"/>
      </w:rPr>
      <w:t>CP/MOP/</w:t>
    </w:r>
    <w:r w:rsidR="005F7B3C" w:rsidRPr="005F7B3C">
      <w:rPr>
        <w:rFonts w:hint="eastAsia"/>
        <w:szCs w:val="20"/>
        <w:lang w:eastAsia="zh-CN"/>
      </w:rPr>
      <w:t>DEC/</w:t>
    </w:r>
    <w:r w:rsidRPr="005F7B3C">
      <w:rPr>
        <w:szCs w:val="20"/>
      </w:rPr>
      <w:t>11/</w:t>
    </w:r>
    <w:r w:rsidR="005F7B3C" w:rsidRPr="005F7B3C">
      <w:rPr>
        <w:rFonts w:hint="eastAsia"/>
        <w:szCs w:val="20"/>
        <w:lang w:eastAsia="zh-CN"/>
      </w:rPr>
      <w:t>1</w:t>
    </w:r>
    <w:sdt>
      <w:sdtPr>
        <w:rPr>
          <w:rFonts w:eastAsia="Times New Roman" w:hint="eastAsia"/>
          <w:szCs w:val="20"/>
          <w:lang w:val="en-GB"/>
        </w:rPr>
        <w:alias w:val="Subject"/>
        <w:tag w:val=""/>
        <w:id w:val="967328729"/>
        <w:showingPlcHdr/>
        <w:dataBinding w:prefixMappings="xmlns:ns0='http://purl.org/dc/elements/1.1/' xmlns:ns1='http://schemas.openxmlformats.org/package/2006/metadata/core-properties' " w:xpath="/ns1:coreProperties[1]/ns0:subject[1]" w:storeItemID="{6C3C8BC8-F283-45AE-878A-BAB7291924A1}"/>
        <w:text/>
      </w:sdtPr>
      <w:sdtContent>
        <w:r w:rsidRPr="005F7B3C">
          <w:rPr>
            <w:rFonts w:eastAsia="Times New Roman"/>
            <w:szCs w:val="20"/>
            <w:lang w:val="en-GB"/>
          </w:rPr>
          <w:t xml:space="preserve">     </w:t>
        </w:r>
      </w:sdtContent>
    </w:sdt>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B7F2" w14:textId="1F9AF2AA" w:rsidR="009A186D" w:rsidRPr="005F7B3C" w:rsidRDefault="009A186D" w:rsidP="009A186D">
    <w:pPr>
      <w:pStyle w:val="Header"/>
      <w:jc w:val="right"/>
      <w:rPr>
        <w:rFonts w:hint="eastAsia"/>
        <w:szCs w:val="20"/>
        <w:lang w:eastAsia="zh-CN"/>
      </w:rPr>
    </w:pPr>
    <w:r w:rsidRPr="005F7B3C">
      <w:rPr>
        <w:rFonts w:eastAsia="Times New Roman"/>
        <w:szCs w:val="20"/>
        <w:lang w:val="en-GB"/>
      </w:rPr>
      <w:t>CBD</w:t>
    </w:r>
    <w:r w:rsidRPr="005F7B3C">
      <w:rPr>
        <w:rFonts w:eastAsia="Times New Roman"/>
        <w:szCs w:val="20"/>
      </w:rPr>
      <w:t>/</w:t>
    </w:r>
    <w:r w:rsidRPr="005F7B3C">
      <w:rPr>
        <w:szCs w:val="20"/>
      </w:rPr>
      <w:t>CP/MOP/</w:t>
    </w:r>
    <w:r w:rsidR="005F7B3C" w:rsidRPr="005F7B3C">
      <w:rPr>
        <w:rFonts w:hint="eastAsia"/>
        <w:szCs w:val="20"/>
        <w:lang w:eastAsia="zh-CN"/>
      </w:rPr>
      <w:t>DEC/</w:t>
    </w:r>
    <w:r w:rsidRPr="005F7B3C">
      <w:rPr>
        <w:szCs w:val="20"/>
      </w:rPr>
      <w:t>11/</w:t>
    </w:r>
    <w:r w:rsidR="005F7B3C" w:rsidRPr="005F7B3C">
      <w:rPr>
        <w:rFonts w:hint="eastAsia"/>
        <w:szCs w:val="20"/>
        <w:lang w:eastAsia="zh-CN"/>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108FF" w14:textId="77777777" w:rsidR="009D71C3" w:rsidRDefault="009D71C3" w:rsidP="000E327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9E64DC1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4C6164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1362FD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6C31565"/>
    <w:multiLevelType w:val="hybridMultilevel"/>
    <w:tmpl w:val="43E87998"/>
    <w:lvl w:ilvl="0" w:tplc="4B14BACE">
      <w:start w:val="1"/>
      <w:numFmt w:val="lowerLetter"/>
      <w:lvlText w:val="(%1)"/>
      <w:lvlJc w:val="left"/>
      <w:pPr>
        <w:ind w:left="927" w:hanging="360"/>
      </w:pPr>
      <w:rPr>
        <w:rFonts w:ascii="Times New Roman" w:eastAsia="SimSun" w:hAnsi="Times New Roman" w:cs="Times New Roman"/>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15:restartNumberingAfterBreak="0">
    <w:nsid w:val="1D613F4D"/>
    <w:multiLevelType w:val="hybridMultilevel"/>
    <w:tmpl w:val="790A124A"/>
    <w:lvl w:ilvl="0" w:tplc="5D8E9122">
      <w:start w:val="2"/>
      <w:numFmt w:val="decimal"/>
      <w:lvlText w:val="%1."/>
      <w:lvlJc w:val="left"/>
      <w:pPr>
        <w:ind w:left="1210" w:hanging="360"/>
      </w:pPr>
      <w:rPr>
        <w:rFonts w:hint="eastAsia"/>
        <w:b w:val="0"/>
        <w:i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5"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40B357D"/>
    <w:multiLevelType w:val="hybridMultilevel"/>
    <w:tmpl w:val="65E21E5C"/>
    <w:lvl w:ilvl="0" w:tplc="AD1201DE">
      <w:start w:val="1"/>
      <w:numFmt w:val="lowerLetter"/>
      <w:lvlText w:val="(%1)"/>
      <w:lvlJc w:val="left"/>
      <w:pPr>
        <w:ind w:left="2189" w:hanging="360"/>
      </w:pPr>
      <w:rPr>
        <w:rFonts w:hint="eastAsia"/>
      </w:rPr>
    </w:lvl>
    <w:lvl w:ilvl="1" w:tplc="04090019" w:tentative="1">
      <w:start w:val="1"/>
      <w:numFmt w:val="lowerLetter"/>
      <w:lvlText w:val="%2."/>
      <w:lvlJc w:val="left"/>
      <w:pPr>
        <w:ind w:left="2909" w:hanging="360"/>
      </w:pPr>
    </w:lvl>
    <w:lvl w:ilvl="2" w:tplc="0409001B" w:tentative="1">
      <w:start w:val="1"/>
      <w:numFmt w:val="lowerRoman"/>
      <w:lvlText w:val="%3."/>
      <w:lvlJc w:val="right"/>
      <w:pPr>
        <w:ind w:left="3629" w:hanging="180"/>
      </w:pPr>
    </w:lvl>
    <w:lvl w:ilvl="3" w:tplc="0409000F" w:tentative="1">
      <w:start w:val="1"/>
      <w:numFmt w:val="decimal"/>
      <w:lvlText w:val="%4."/>
      <w:lvlJc w:val="left"/>
      <w:pPr>
        <w:ind w:left="4349" w:hanging="360"/>
      </w:pPr>
    </w:lvl>
    <w:lvl w:ilvl="4" w:tplc="04090019" w:tentative="1">
      <w:start w:val="1"/>
      <w:numFmt w:val="lowerLetter"/>
      <w:lvlText w:val="%5."/>
      <w:lvlJc w:val="left"/>
      <w:pPr>
        <w:ind w:left="5069" w:hanging="360"/>
      </w:pPr>
    </w:lvl>
    <w:lvl w:ilvl="5" w:tplc="0409001B" w:tentative="1">
      <w:start w:val="1"/>
      <w:numFmt w:val="lowerRoman"/>
      <w:lvlText w:val="%6."/>
      <w:lvlJc w:val="right"/>
      <w:pPr>
        <w:ind w:left="5789" w:hanging="180"/>
      </w:pPr>
    </w:lvl>
    <w:lvl w:ilvl="6" w:tplc="0409000F" w:tentative="1">
      <w:start w:val="1"/>
      <w:numFmt w:val="decimal"/>
      <w:lvlText w:val="%7."/>
      <w:lvlJc w:val="left"/>
      <w:pPr>
        <w:ind w:left="6509" w:hanging="360"/>
      </w:pPr>
    </w:lvl>
    <w:lvl w:ilvl="7" w:tplc="04090019" w:tentative="1">
      <w:start w:val="1"/>
      <w:numFmt w:val="lowerLetter"/>
      <w:lvlText w:val="%8."/>
      <w:lvlJc w:val="left"/>
      <w:pPr>
        <w:ind w:left="7229" w:hanging="360"/>
      </w:pPr>
    </w:lvl>
    <w:lvl w:ilvl="8" w:tplc="0409001B" w:tentative="1">
      <w:start w:val="1"/>
      <w:numFmt w:val="lowerRoman"/>
      <w:lvlText w:val="%9."/>
      <w:lvlJc w:val="right"/>
      <w:pPr>
        <w:ind w:left="7949" w:hanging="180"/>
      </w:pPr>
    </w:lvl>
  </w:abstractNum>
  <w:abstractNum w:abstractNumId="7"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441F1E92"/>
    <w:multiLevelType w:val="hybridMultilevel"/>
    <w:tmpl w:val="1DE06A0E"/>
    <w:lvl w:ilvl="0" w:tplc="50F2E1FC">
      <w:start w:val="1"/>
      <w:numFmt w:val="decimal"/>
      <w:lvlText w:val="%1."/>
      <w:lvlJc w:val="left"/>
      <w:pPr>
        <w:ind w:left="1125" w:hanging="360"/>
      </w:pPr>
      <w:rPr>
        <w:rFonts w:eastAsia="SimSun" w:hint="default"/>
      </w:rPr>
    </w:lvl>
    <w:lvl w:ilvl="1" w:tplc="04090019" w:tentative="1">
      <w:start w:val="1"/>
      <w:numFmt w:val="lowerLetter"/>
      <w:lvlText w:val="%2)"/>
      <w:lvlJc w:val="left"/>
      <w:pPr>
        <w:ind w:left="1605" w:hanging="420"/>
      </w:pPr>
    </w:lvl>
    <w:lvl w:ilvl="2" w:tplc="0409001B" w:tentative="1">
      <w:start w:val="1"/>
      <w:numFmt w:val="lowerRoman"/>
      <w:lvlText w:val="%3."/>
      <w:lvlJc w:val="right"/>
      <w:pPr>
        <w:ind w:left="2025" w:hanging="420"/>
      </w:pPr>
    </w:lvl>
    <w:lvl w:ilvl="3" w:tplc="0409000F" w:tentative="1">
      <w:start w:val="1"/>
      <w:numFmt w:val="decimal"/>
      <w:lvlText w:val="%4."/>
      <w:lvlJc w:val="left"/>
      <w:pPr>
        <w:ind w:left="2445" w:hanging="420"/>
      </w:pPr>
    </w:lvl>
    <w:lvl w:ilvl="4" w:tplc="04090019" w:tentative="1">
      <w:start w:val="1"/>
      <w:numFmt w:val="lowerLetter"/>
      <w:lvlText w:val="%5)"/>
      <w:lvlJc w:val="left"/>
      <w:pPr>
        <w:ind w:left="2865" w:hanging="420"/>
      </w:pPr>
    </w:lvl>
    <w:lvl w:ilvl="5" w:tplc="0409001B" w:tentative="1">
      <w:start w:val="1"/>
      <w:numFmt w:val="lowerRoman"/>
      <w:lvlText w:val="%6."/>
      <w:lvlJc w:val="right"/>
      <w:pPr>
        <w:ind w:left="3285" w:hanging="420"/>
      </w:pPr>
    </w:lvl>
    <w:lvl w:ilvl="6" w:tplc="0409000F" w:tentative="1">
      <w:start w:val="1"/>
      <w:numFmt w:val="decimal"/>
      <w:lvlText w:val="%7."/>
      <w:lvlJc w:val="left"/>
      <w:pPr>
        <w:ind w:left="3705" w:hanging="420"/>
      </w:pPr>
    </w:lvl>
    <w:lvl w:ilvl="7" w:tplc="04090019" w:tentative="1">
      <w:start w:val="1"/>
      <w:numFmt w:val="lowerLetter"/>
      <w:lvlText w:val="%8)"/>
      <w:lvlJc w:val="left"/>
      <w:pPr>
        <w:ind w:left="4125" w:hanging="420"/>
      </w:pPr>
    </w:lvl>
    <w:lvl w:ilvl="8" w:tplc="0409001B" w:tentative="1">
      <w:start w:val="1"/>
      <w:numFmt w:val="lowerRoman"/>
      <w:lvlText w:val="%9."/>
      <w:lvlJc w:val="right"/>
      <w:pPr>
        <w:ind w:left="4545" w:hanging="420"/>
      </w:pPr>
    </w:lvl>
  </w:abstractNum>
  <w:abstractNum w:abstractNumId="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68B70991"/>
    <w:multiLevelType w:val="hybridMultilevel"/>
    <w:tmpl w:val="DD2C9D5C"/>
    <w:lvl w:ilvl="0" w:tplc="77C89DD4">
      <w:start w:val="1"/>
      <w:numFmt w:val="decimal"/>
      <w:pStyle w:val="Para1"/>
      <w:lvlText w:val="%1."/>
      <w:lvlJc w:val="left"/>
      <w:pPr>
        <w:ind w:left="927" w:hanging="360"/>
      </w:pPr>
      <w:rPr>
        <w:rFonts w:hint="default"/>
        <w:b w:val="0"/>
        <w:bCs/>
        <w:i w:val="0"/>
        <w:iCs w:val="0"/>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15:restartNumberingAfterBreak="0">
    <w:nsid w:val="6D191DF4"/>
    <w:multiLevelType w:val="multilevel"/>
    <w:tmpl w:val="A5645EA6"/>
    <w:styleLink w:val="CBDHeadings"/>
    <w:lvl w:ilvl="0">
      <w:start w:val="1"/>
      <w:numFmt w:val="chineseCountingThousand"/>
      <w:pStyle w:val="Heading1"/>
      <w:lvlText w:val="%1."/>
      <w:lvlJc w:val="left"/>
      <w:pPr>
        <w:tabs>
          <w:tab w:val="num" w:pos="567"/>
        </w:tabs>
        <w:ind w:left="567" w:hanging="567"/>
      </w:pPr>
      <w:rPr>
        <w:rFonts w:hint="eastAsia"/>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5" w15:restartNumberingAfterBreak="0">
    <w:nsid w:val="77EB56CE"/>
    <w:multiLevelType w:val="hybridMultilevel"/>
    <w:tmpl w:val="DE946F52"/>
    <w:lvl w:ilvl="0" w:tplc="0C685ED6">
      <w:start w:val="1"/>
      <w:numFmt w:val="decimal"/>
      <w:lvlText w:val="%1."/>
      <w:lvlJc w:val="left"/>
      <w:pPr>
        <w:ind w:left="1700" w:hanging="360"/>
      </w:pPr>
      <w:rPr>
        <w:rFonts w:ascii="Times New Roman" w:hAnsi="Times New Roman" w:hint="default"/>
        <w:b w:val="0"/>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6"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93033186">
    <w:abstractNumId w:val="11"/>
  </w:num>
  <w:num w:numId="2" w16cid:durableId="339281464">
    <w:abstractNumId w:val="16"/>
  </w:num>
  <w:num w:numId="3" w16cid:durableId="1913856916">
    <w:abstractNumId w:val="10"/>
  </w:num>
  <w:num w:numId="4" w16cid:durableId="1130249872">
    <w:abstractNumId w:val="12"/>
  </w:num>
  <w:num w:numId="5" w16cid:durableId="1884050191">
    <w:abstractNumId w:val="12"/>
    <w:lvlOverride w:ilvl="0">
      <w:lvl w:ilvl="0">
        <w:start w:val="1"/>
        <w:numFmt w:val="chineseCountingThousand"/>
        <w:pStyle w:val="Heading1"/>
        <w:lvlText w:val="%1."/>
        <w:lvlJc w:val="left"/>
        <w:pPr>
          <w:tabs>
            <w:tab w:val="num" w:pos="567"/>
          </w:tabs>
          <w:ind w:left="567" w:hanging="567"/>
        </w:pPr>
        <w:rPr>
          <w:rFonts w:ascii="SimSun" w:eastAsia="SimSun" w:hAnsi="SimSun" w:hint="eastAsia"/>
          <w:sz w:val="28"/>
        </w:rPr>
      </w:lvl>
    </w:lvlOverride>
  </w:num>
  <w:num w:numId="6" w16cid:durableId="894318804">
    <w:abstractNumId w:val="14"/>
  </w:num>
  <w:num w:numId="7" w16cid:durableId="1603879565">
    <w:abstractNumId w:val="9"/>
  </w:num>
  <w:num w:numId="8" w16cid:durableId="842546508">
    <w:abstractNumId w:val="13"/>
  </w:num>
  <w:num w:numId="9" w16cid:durableId="249394841">
    <w:abstractNumId w:val="7"/>
  </w:num>
  <w:num w:numId="10" w16cid:durableId="887646222">
    <w:abstractNumId w:val="4"/>
  </w:num>
  <w:num w:numId="11" w16cid:durableId="283195859">
    <w:abstractNumId w:val="8"/>
  </w:num>
  <w:num w:numId="12" w16cid:durableId="1320116979">
    <w:abstractNumId w:val="11"/>
    <w:lvlOverride w:ilvl="0">
      <w:startOverride w:val="1"/>
    </w:lvlOverride>
  </w:num>
  <w:num w:numId="13" w16cid:durableId="340397568">
    <w:abstractNumId w:val="5"/>
  </w:num>
  <w:num w:numId="14" w16cid:durableId="1407189918">
    <w:abstractNumId w:val="1"/>
  </w:num>
  <w:num w:numId="15" w16cid:durableId="1346132450">
    <w:abstractNumId w:val="2"/>
  </w:num>
  <w:num w:numId="16" w16cid:durableId="1348217980">
    <w:abstractNumId w:val="0"/>
  </w:num>
  <w:num w:numId="17" w16cid:durableId="126708969">
    <w:abstractNumId w:val="6"/>
  </w:num>
  <w:num w:numId="18" w16cid:durableId="334460826">
    <w:abstractNumId w:val="3"/>
  </w:num>
  <w:num w:numId="19" w16cid:durableId="1340153653">
    <w:abstractNumId w:val="15"/>
  </w:num>
  <w:num w:numId="20" w16cid:durableId="1909807076">
    <w:abstractNumId w:val="11"/>
  </w:num>
  <w:num w:numId="21" w16cid:durableId="1083524276">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8E"/>
    <w:rsid w:val="00000F0D"/>
    <w:rsid w:val="00001DAA"/>
    <w:rsid w:val="00001E72"/>
    <w:rsid w:val="0000295A"/>
    <w:rsid w:val="00002C64"/>
    <w:rsid w:val="00003106"/>
    <w:rsid w:val="000067D0"/>
    <w:rsid w:val="00006D3A"/>
    <w:rsid w:val="000103FD"/>
    <w:rsid w:val="000119D6"/>
    <w:rsid w:val="00012711"/>
    <w:rsid w:val="00012FFA"/>
    <w:rsid w:val="000176CB"/>
    <w:rsid w:val="000206F5"/>
    <w:rsid w:val="00021D18"/>
    <w:rsid w:val="000253FA"/>
    <w:rsid w:val="0002615E"/>
    <w:rsid w:val="0002698B"/>
    <w:rsid w:val="000269D8"/>
    <w:rsid w:val="0002766A"/>
    <w:rsid w:val="00030F4C"/>
    <w:rsid w:val="0003114A"/>
    <w:rsid w:val="00032006"/>
    <w:rsid w:val="000322BA"/>
    <w:rsid w:val="00032D9F"/>
    <w:rsid w:val="00034038"/>
    <w:rsid w:val="0003669D"/>
    <w:rsid w:val="00036FDF"/>
    <w:rsid w:val="00037473"/>
    <w:rsid w:val="000374D5"/>
    <w:rsid w:val="00037845"/>
    <w:rsid w:val="000378FC"/>
    <w:rsid w:val="00040598"/>
    <w:rsid w:val="0004133B"/>
    <w:rsid w:val="00045772"/>
    <w:rsid w:val="000509CC"/>
    <w:rsid w:val="00051841"/>
    <w:rsid w:val="00051A1A"/>
    <w:rsid w:val="0005215B"/>
    <w:rsid w:val="0005451E"/>
    <w:rsid w:val="00054C39"/>
    <w:rsid w:val="00054FCF"/>
    <w:rsid w:val="000567BA"/>
    <w:rsid w:val="0006021E"/>
    <w:rsid w:val="000650BD"/>
    <w:rsid w:val="000710EC"/>
    <w:rsid w:val="00073A72"/>
    <w:rsid w:val="00074C7F"/>
    <w:rsid w:val="00076F1E"/>
    <w:rsid w:val="000773A7"/>
    <w:rsid w:val="00077BF7"/>
    <w:rsid w:val="00077E34"/>
    <w:rsid w:val="00080060"/>
    <w:rsid w:val="00080605"/>
    <w:rsid w:val="00080ABB"/>
    <w:rsid w:val="00082042"/>
    <w:rsid w:val="00090FB0"/>
    <w:rsid w:val="00092605"/>
    <w:rsid w:val="00093021"/>
    <w:rsid w:val="00093852"/>
    <w:rsid w:val="00093A2D"/>
    <w:rsid w:val="00095EEA"/>
    <w:rsid w:val="000960AA"/>
    <w:rsid w:val="000A0C2F"/>
    <w:rsid w:val="000A1CC3"/>
    <w:rsid w:val="000A20B8"/>
    <w:rsid w:val="000A33E7"/>
    <w:rsid w:val="000A43AC"/>
    <w:rsid w:val="000A5BDE"/>
    <w:rsid w:val="000A6503"/>
    <w:rsid w:val="000A65E2"/>
    <w:rsid w:val="000A7D12"/>
    <w:rsid w:val="000B313A"/>
    <w:rsid w:val="000B332B"/>
    <w:rsid w:val="000B3D8D"/>
    <w:rsid w:val="000B6372"/>
    <w:rsid w:val="000C0B75"/>
    <w:rsid w:val="000C2CD6"/>
    <w:rsid w:val="000C33D9"/>
    <w:rsid w:val="000C37AD"/>
    <w:rsid w:val="000C5478"/>
    <w:rsid w:val="000C5963"/>
    <w:rsid w:val="000D3659"/>
    <w:rsid w:val="000D7EED"/>
    <w:rsid w:val="000E0761"/>
    <w:rsid w:val="000E121E"/>
    <w:rsid w:val="000E16F3"/>
    <w:rsid w:val="000E327C"/>
    <w:rsid w:val="000E526F"/>
    <w:rsid w:val="000E52AE"/>
    <w:rsid w:val="000F0E7D"/>
    <w:rsid w:val="000F229B"/>
    <w:rsid w:val="000F3DD4"/>
    <w:rsid w:val="000F535D"/>
    <w:rsid w:val="000F716A"/>
    <w:rsid w:val="000F75DD"/>
    <w:rsid w:val="0010175B"/>
    <w:rsid w:val="00102394"/>
    <w:rsid w:val="00102554"/>
    <w:rsid w:val="00103D35"/>
    <w:rsid w:val="00105953"/>
    <w:rsid w:val="001067D3"/>
    <w:rsid w:val="001102F9"/>
    <w:rsid w:val="00110637"/>
    <w:rsid w:val="0011128D"/>
    <w:rsid w:val="00112C9D"/>
    <w:rsid w:val="00112FA1"/>
    <w:rsid w:val="00113B18"/>
    <w:rsid w:val="00115826"/>
    <w:rsid w:val="001170DA"/>
    <w:rsid w:val="001208CC"/>
    <w:rsid w:val="00120FEA"/>
    <w:rsid w:val="0012150A"/>
    <w:rsid w:val="00121516"/>
    <w:rsid w:val="0012333B"/>
    <w:rsid w:val="001244F4"/>
    <w:rsid w:val="00124ED4"/>
    <w:rsid w:val="00127407"/>
    <w:rsid w:val="00130993"/>
    <w:rsid w:val="00132581"/>
    <w:rsid w:val="001325BA"/>
    <w:rsid w:val="00132EB4"/>
    <w:rsid w:val="0013387A"/>
    <w:rsid w:val="00136924"/>
    <w:rsid w:val="0014069C"/>
    <w:rsid w:val="00140FE9"/>
    <w:rsid w:val="00141756"/>
    <w:rsid w:val="00144A97"/>
    <w:rsid w:val="001466A1"/>
    <w:rsid w:val="00146FF9"/>
    <w:rsid w:val="00151393"/>
    <w:rsid w:val="00152DAC"/>
    <w:rsid w:val="001537FB"/>
    <w:rsid w:val="00153B59"/>
    <w:rsid w:val="001550EF"/>
    <w:rsid w:val="00160474"/>
    <w:rsid w:val="00162B23"/>
    <w:rsid w:val="00163403"/>
    <w:rsid w:val="00166349"/>
    <w:rsid w:val="00167EB5"/>
    <w:rsid w:val="0017029B"/>
    <w:rsid w:val="001703FB"/>
    <w:rsid w:val="0017319B"/>
    <w:rsid w:val="00173DD8"/>
    <w:rsid w:val="00177A57"/>
    <w:rsid w:val="001804AB"/>
    <w:rsid w:val="0018124D"/>
    <w:rsid w:val="00182871"/>
    <w:rsid w:val="0018322D"/>
    <w:rsid w:val="00184820"/>
    <w:rsid w:val="00184909"/>
    <w:rsid w:val="00185688"/>
    <w:rsid w:val="00186B09"/>
    <w:rsid w:val="00193C43"/>
    <w:rsid w:val="00197729"/>
    <w:rsid w:val="00197CFE"/>
    <w:rsid w:val="001A0E22"/>
    <w:rsid w:val="001A44C5"/>
    <w:rsid w:val="001A51A5"/>
    <w:rsid w:val="001A6A1B"/>
    <w:rsid w:val="001B178C"/>
    <w:rsid w:val="001B2446"/>
    <w:rsid w:val="001B5B99"/>
    <w:rsid w:val="001B6974"/>
    <w:rsid w:val="001B78D6"/>
    <w:rsid w:val="001C3766"/>
    <w:rsid w:val="001C3BE0"/>
    <w:rsid w:val="001C4ADC"/>
    <w:rsid w:val="001C5D86"/>
    <w:rsid w:val="001C5ED8"/>
    <w:rsid w:val="001D1BE0"/>
    <w:rsid w:val="001D22BB"/>
    <w:rsid w:val="001D28B4"/>
    <w:rsid w:val="001D3F32"/>
    <w:rsid w:val="001D42EE"/>
    <w:rsid w:val="001D59EA"/>
    <w:rsid w:val="001D6735"/>
    <w:rsid w:val="001D7501"/>
    <w:rsid w:val="001E1F24"/>
    <w:rsid w:val="001E3AA6"/>
    <w:rsid w:val="001E3F8B"/>
    <w:rsid w:val="001E4CC2"/>
    <w:rsid w:val="001E4EF0"/>
    <w:rsid w:val="001E6D37"/>
    <w:rsid w:val="001E6D41"/>
    <w:rsid w:val="001E710A"/>
    <w:rsid w:val="001E7854"/>
    <w:rsid w:val="001F15FF"/>
    <w:rsid w:val="001F2811"/>
    <w:rsid w:val="001F7BC1"/>
    <w:rsid w:val="001F7D23"/>
    <w:rsid w:val="00200FE1"/>
    <w:rsid w:val="00202741"/>
    <w:rsid w:val="00203CEC"/>
    <w:rsid w:val="00204C65"/>
    <w:rsid w:val="00205123"/>
    <w:rsid w:val="00205727"/>
    <w:rsid w:val="00210DE2"/>
    <w:rsid w:val="00211181"/>
    <w:rsid w:val="00214981"/>
    <w:rsid w:val="00214CBB"/>
    <w:rsid w:val="00215D53"/>
    <w:rsid w:val="002206EC"/>
    <w:rsid w:val="00222B03"/>
    <w:rsid w:val="0022601D"/>
    <w:rsid w:val="0022665E"/>
    <w:rsid w:val="00227F82"/>
    <w:rsid w:val="002312CD"/>
    <w:rsid w:val="002316ED"/>
    <w:rsid w:val="00232160"/>
    <w:rsid w:val="00235776"/>
    <w:rsid w:val="002369B0"/>
    <w:rsid w:val="00240128"/>
    <w:rsid w:val="00240D2C"/>
    <w:rsid w:val="002412BF"/>
    <w:rsid w:val="0024205C"/>
    <w:rsid w:val="00242646"/>
    <w:rsid w:val="002427B6"/>
    <w:rsid w:val="0024453E"/>
    <w:rsid w:val="00244DB3"/>
    <w:rsid w:val="00245187"/>
    <w:rsid w:val="00245C1E"/>
    <w:rsid w:val="00247473"/>
    <w:rsid w:val="00247FD8"/>
    <w:rsid w:val="00252756"/>
    <w:rsid w:val="0025303A"/>
    <w:rsid w:val="00254EE1"/>
    <w:rsid w:val="00255BC7"/>
    <w:rsid w:val="0026057F"/>
    <w:rsid w:val="00261B8F"/>
    <w:rsid w:val="00262ECE"/>
    <w:rsid w:val="00263A20"/>
    <w:rsid w:val="00263E03"/>
    <w:rsid w:val="00265FA8"/>
    <w:rsid w:val="0026696D"/>
    <w:rsid w:val="00267C04"/>
    <w:rsid w:val="00271D71"/>
    <w:rsid w:val="00271DF4"/>
    <w:rsid w:val="0027324D"/>
    <w:rsid w:val="0027440A"/>
    <w:rsid w:val="00277C98"/>
    <w:rsid w:val="002820D4"/>
    <w:rsid w:val="00282B80"/>
    <w:rsid w:val="00283DF3"/>
    <w:rsid w:val="00284DA1"/>
    <w:rsid w:val="00286F54"/>
    <w:rsid w:val="00290762"/>
    <w:rsid w:val="002912FE"/>
    <w:rsid w:val="00296B3A"/>
    <w:rsid w:val="00297704"/>
    <w:rsid w:val="002A0C1B"/>
    <w:rsid w:val="002A21A3"/>
    <w:rsid w:val="002A653E"/>
    <w:rsid w:val="002B00CA"/>
    <w:rsid w:val="002B017B"/>
    <w:rsid w:val="002B2B67"/>
    <w:rsid w:val="002B2EC6"/>
    <w:rsid w:val="002B3CEB"/>
    <w:rsid w:val="002B53A6"/>
    <w:rsid w:val="002B559C"/>
    <w:rsid w:val="002B65E6"/>
    <w:rsid w:val="002B731E"/>
    <w:rsid w:val="002C0212"/>
    <w:rsid w:val="002C022A"/>
    <w:rsid w:val="002C22FA"/>
    <w:rsid w:val="002C370B"/>
    <w:rsid w:val="002C38DC"/>
    <w:rsid w:val="002C43D7"/>
    <w:rsid w:val="002C614B"/>
    <w:rsid w:val="002C64BC"/>
    <w:rsid w:val="002C677E"/>
    <w:rsid w:val="002C6970"/>
    <w:rsid w:val="002D2565"/>
    <w:rsid w:val="002D38D9"/>
    <w:rsid w:val="002D4309"/>
    <w:rsid w:val="002D4FF7"/>
    <w:rsid w:val="002D687B"/>
    <w:rsid w:val="002E0FE6"/>
    <w:rsid w:val="002E1437"/>
    <w:rsid w:val="002E1913"/>
    <w:rsid w:val="002E22E7"/>
    <w:rsid w:val="002E2757"/>
    <w:rsid w:val="002E2C7A"/>
    <w:rsid w:val="002E3FDF"/>
    <w:rsid w:val="002E5831"/>
    <w:rsid w:val="002E58E0"/>
    <w:rsid w:val="002F2523"/>
    <w:rsid w:val="002F40AF"/>
    <w:rsid w:val="002F67C9"/>
    <w:rsid w:val="003005FC"/>
    <w:rsid w:val="0030086E"/>
    <w:rsid w:val="00300F0D"/>
    <w:rsid w:val="0030131E"/>
    <w:rsid w:val="00303079"/>
    <w:rsid w:val="00303142"/>
    <w:rsid w:val="003035F0"/>
    <w:rsid w:val="003042B5"/>
    <w:rsid w:val="00305E80"/>
    <w:rsid w:val="003069E6"/>
    <w:rsid w:val="00310608"/>
    <w:rsid w:val="00314924"/>
    <w:rsid w:val="003153DD"/>
    <w:rsid w:val="00315F89"/>
    <w:rsid w:val="00316C22"/>
    <w:rsid w:val="00321AE5"/>
    <w:rsid w:val="00323E97"/>
    <w:rsid w:val="00323F22"/>
    <w:rsid w:val="003247F0"/>
    <w:rsid w:val="00327473"/>
    <w:rsid w:val="00327F5A"/>
    <w:rsid w:val="003325EA"/>
    <w:rsid w:val="003332E4"/>
    <w:rsid w:val="00335968"/>
    <w:rsid w:val="00337D8B"/>
    <w:rsid w:val="00337F28"/>
    <w:rsid w:val="003435F6"/>
    <w:rsid w:val="003476A9"/>
    <w:rsid w:val="003524B6"/>
    <w:rsid w:val="00354774"/>
    <w:rsid w:val="00357022"/>
    <w:rsid w:val="003624EF"/>
    <w:rsid w:val="0036499E"/>
    <w:rsid w:val="00366A14"/>
    <w:rsid w:val="0037153F"/>
    <w:rsid w:val="00372AD1"/>
    <w:rsid w:val="00375767"/>
    <w:rsid w:val="0037705B"/>
    <w:rsid w:val="003805F9"/>
    <w:rsid w:val="00381390"/>
    <w:rsid w:val="00383C1D"/>
    <w:rsid w:val="003858A2"/>
    <w:rsid w:val="00385958"/>
    <w:rsid w:val="00385A3A"/>
    <w:rsid w:val="00386F7C"/>
    <w:rsid w:val="003878FD"/>
    <w:rsid w:val="00390642"/>
    <w:rsid w:val="0039462D"/>
    <w:rsid w:val="00394E79"/>
    <w:rsid w:val="003973D9"/>
    <w:rsid w:val="003A1B11"/>
    <w:rsid w:val="003A2F78"/>
    <w:rsid w:val="003A38AD"/>
    <w:rsid w:val="003A3DE1"/>
    <w:rsid w:val="003A3F9C"/>
    <w:rsid w:val="003A4A3E"/>
    <w:rsid w:val="003A5ABC"/>
    <w:rsid w:val="003A66D0"/>
    <w:rsid w:val="003A71AA"/>
    <w:rsid w:val="003B4F44"/>
    <w:rsid w:val="003B5783"/>
    <w:rsid w:val="003C077E"/>
    <w:rsid w:val="003C08E5"/>
    <w:rsid w:val="003C1CD9"/>
    <w:rsid w:val="003C3744"/>
    <w:rsid w:val="003C6F10"/>
    <w:rsid w:val="003D2419"/>
    <w:rsid w:val="003D48DA"/>
    <w:rsid w:val="003D5352"/>
    <w:rsid w:val="003D54B8"/>
    <w:rsid w:val="003D6410"/>
    <w:rsid w:val="003D7042"/>
    <w:rsid w:val="003E0A26"/>
    <w:rsid w:val="003E2D61"/>
    <w:rsid w:val="003E3124"/>
    <w:rsid w:val="003E3332"/>
    <w:rsid w:val="003E3481"/>
    <w:rsid w:val="003E3E57"/>
    <w:rsid w:val="003E5AA3"/>
    <w:rsid w:val="003F0042"/>
    <w:rsid w:val="003F0E0E"/>
    <w:rsid w:val="003F5A95"/>
    <w:rsid w:val="003F6070"/>
    <w:rsid w:val="003F7AD1"/>
    <w:rsid w:val="003F7B1D"/>
    <w:rsid w:val="004005C2"/>
    <w:rsid w:val="00400F3E"/>
    <w:rsid w:val="00401ECE"/>
    <w:rsid w:val="00401FBC"/>
    <w:rsid w:val="00402CFC"/>
    <w:rsid w:val="004065F8"/>
    <w:rsid w:val="0040791D"/>
    <w:rsid w:val="00407BA9"/>
    <w:rsid w:val="0041047D"/>
    <w:rsid w:val="0041190F"/>
    <w:rsid w:val="0041216A"/>
    <w:rsid w:val="00413DD0"/>
    <w:rsid w:val="00414511"/>
    <w:rsid w:val="00414623"/>
    <w:rsid w:val="00414D32"/>
    <w:rsid w:val="004160CB"/>
    <w:rsid w:val="00416844"/>
    <w:rsid w:val="004168D0"/>
    <w:rsid w:val="00416F25"/>
    <w:rsid w:val="00420761"/>
    <w:rsid w:val="00423DFD"/>
    <w:rsid w:val="00432EA0"/>
    <w:rsid w:val="004332CC"/>
    <w:rsid w:val="00433481"/>
    <w:rsid w:val="00434037"/>
    <w:rsid w:val="004400AB"/>
    <w:rsid w:val="004413FE"/>
    <w:rsid w:val="00441498"/>
    <w:rsid w:val="004414A5"/>
    <w:rsid w:val="0044181A"/>
    <w:rsid w:val="00441FCE"/>
    <w:rsid w:val="004420C2"/>
    <w:rsid w:val="00442473"/>
    <w:rsid w:val="00443A7B"/>
    <w:rsid w:val="00447F2A"/>
    <w:rsid w:val="0045211E"/>
    <w:rsid w:val="0045270A"/>
    <w:rsid w:val="004527F7"/>
    <w:rsid w:val="00454111"/>
    <w:rsid w:val="00454DA2"/>
    <w:rsid w:val="00457A32"/>
    <w:rsid w:val="004627AE"/>
    <w:rsid w:val="00462F2F"/>
    <w:rsid w:val="00463A6B"/>
    <w:rsid w:val="00464A21"/>
    <w:rsid w:val="00464C78"/>
    <w:rsid w:val="00465FDE"/>
    <w:rsid w:val="004662B1"/>
    <w:rsid w:val="0046705E"/>
    <w:rsid w:val="00467B37"/>
    <w:rsid w:val="004701EE"/>
    <w:rsid w:val="00471051"/>
    <w:rsid w:val="00471284"/>
    <w:rsid w:val="00474941"/>
    <w:rsid w:val="0047694A"/>
    <w:rsid w:val="00480A8D"/>
    <w:rsid w:val="00480B15"/>
    <w:rsid w:val="00481F1F"/>
    <w:rsid w:val="00483192"/>
    <w:rsid w:val="00487B1E"/>
    <w:rsid w:val="00491277"/>
    <w:rsid w:val="00495CF0"/>
    <w:rsid w:val="00497088"/>
    <w:rsid w:val="004A0C12"/>
    <w:rsid w:val="004A27D7"/>
    <w:rsid w:val="004A2A2D"/>
    <w:rsid w:val="004A321D"/>
    <w:rsid w:val="004A3AF0"/>
    <w:rsid w:val="004A50D0"/>
    <w:rsid w:val="004A7688"/>
    <w:rsid w:val="004B055C"/>
    <w:rsid w:val="004B1AFD"/>
    <w:rsid w:val="004B1EDF"/>
    <w:rsid w:val="004B20CB"/>
    <w:rsid w:val="004B4D2F"/>
    <w:rsid w:val="004C3F5D"/>
    <w:rsid w:val="004C5FD9"/>
    <w:rsid w:val="004C646E"/>
    <w:rsid w:val="004C66D9"/>
    <w:rsid w:val="004D09C3"/>
    <w:rsid w:val="004D0DBC"/>
    <w:rsid w:val="004D10D6"/>
    <w:rsid w:val="004D14F7"/>
    <w:rsid w:val="004D22D1"/>
    <w:rsid w:val="004D25B6"/>
    <w:rsid w:val="004D304B"/>
    <w:rsid w:val="004D3226"/>
    <w:rsid w:val="004D40B6"/>
    <w:rsid w:val="004D467A"/>
    <w:rsid w:val="004D4FFE"/>
    <w:rsid w:val="004D5C32"/>
    <w:rsid w:val="004D653E"/>
    <w:rsid w:val="004D658B"/>
    <w:rsid w:val="004E0102"/>
    <w:rsid w:val="004E1B1D"/>
    <w:rsid w:val="004E387C"/>
    <w:rsid w:val="004E3971"/>
    <w:rsid w:val="004E3ECC"/>
    <w:rsid w:val="004E420E"/>
    <w:rsid w:val="004E5544"/>
    <w:rsid w:val="004F127A"/>
    <w:rsid w:val="004F1514"/>
    <w:rsid w:val="004F1E94"/>
    <w:rsid w:val="004F2CD4"/>
    <w:rsid w:val="004F54C4"/>
    <w:rsid w:val="005024B4"/>
    <w:rsid w:val="00502F51"/>
    <w:rsid w:val="005034E5"/>
    <w:rsid w:val="00504391"/>
    <w:rsid w:val="00504AE5"/>
    <w:rsid w:val="005050B8"/>
    <w:rsid w:val="005068AD"/>
    <w:rsid w:val="005103EC"/>
    <w:rsid w:val="005145B9"/>
    <w:rsid w:val="005179B5"/>
    <w:rsid w:val="005200E8"/>
    <w:rsid w:val="0052142C"/>
    <w:rsid w:val="005217F5"/>
    <w:rsid w:val="00523179"/>
    <w:rsid w:val="0052578C"/>
    <w:rsid w:val="00527D7E"/>
    <w:rsid w:val="005324A2"/>
    <w:rsid w:val="005326CA"/>
    <w:rsid w:val="00534440"/>
    <w:rsid w:val="005349BE"/>
    <w:rsid w:val="00534F9C"/>
    <w:rsid w:val="00535D1A"/>
    <w:rsid w:val="00537248"/>
    <w:rsid w:val="005378F0"/>
    <w:rsid w:val="005379BC"/>
    <w:rsid w:val="005442DB"/>
    <w:rsid w:val="00551C64"/>
    <w:rsid w:val="00554C8E"/>
    <w:rsid w:val="00557EDA"/>
    <w:rsid w:val="00562440"/>
    <w:rsid w:val="00565274"/>
    <w:rsid w:val="00565712"/>
    <w:rsid w:val="00566216"/>
    <w:rsid w:val="005670A1"/>
    <w:rsid w:val="005670BD"/>
    <w:rsid w:val="00570346"/>
    <w:rsid w:val="00573855"/>
    <w:rsid w:val="00573D55"/>
    <w:rsid w:val="0057606D"/>
    <w:rsid w:val="00582E0F"/>
    <w:rsid w:val="00584132"/>
    <w:rsid w:val="00585DB5"/>
    <w:rsid w:val="00586346"/>
    <w:rsid w:val="0058717B"/>
    <w:rsid w:val="00590622"/>
    <w:rsid w:val="00593077"/>
    <w:rsid w:val="005954CA"/>
    <w:rsid w:val="0059599A"/>
    <w:rsid w:val="005A1200"/>
    <w:rsid w:val="005A206E"/>
    <w:rsid w:val="005A291B"/>
    <w:rsid w:val="005A3798"/>
    <w:rsid w:val="005A3EA0"/>
    <w:rsid w:val="005A3F9B"/>
    <w:rsid w:val="005A7453"/>
    <w:rsid w:val="005A7A57"/>
    <w:rsid w:val="005B1B1D"/>
    <w:rsid w:val="005B2516"/>
    <w:rsid w:val="005B2988"/>
    <w:rsid w:val="005B2A8E"/>
    <w:rsid w:val="005B2F04"/>
    <w:rsid w:val="005B38B5"/>
    <w:rsid w:val="005B3963"/>
    <w:rsid w:val="005B4710"/>
    <w:rsid w:val="005B4CD4"/>
    <w:rsid w:val="005B5F74"/>
    <w:rsid w:val="005B5FD2"/>
    <w:rsid w:val="005B7C78"/>
    <w:rsid w:val="005C613C"/>
    <w:rsid w:val="005D27C3"/>
    <w:rsid w:val="005D29E1"/>
    <w:rsid w:val="005D4E37"/>
    <w:rsid w:val="005D4EED"/>
    <w:rsid w:val="005D511C"/>
    <w:rsid w:val="005D57C7"/>
    <w:rsid w:val="005D658E"/>
    <w:rsid w:val="005E0DF7"/>
    <w:rsid w:val="005E2605"/>
    <w:rsid w:val="005E2C89"/>
    <w:rsid w:val="005E2EDE"/>
    <w:rsid w:val="005E6F29"/>
    <w:rsid w:val="005F06BE"/>
    <w:rsid w:val="005F0E61"/>
    <w:rsid w:val="005F344F"/>
    <w:rsid w:val="005F4059"/>
    <w:rsid w:val="005F4636"/>
    <w:rsid w:val="005F4FBF"/>
    <w:rsid w:val="005F5B98"/>
    <w:rsid w:val="005F764A"/>
    <w:rsid w:val="005F7B3C"/>
    <w:rsid w:val="00605620"/>
    <w:rsid w:val="00607985"/>
    <w:rsid w:val="00613F45"/>
    <w:rsid w:val="00615415"/>
    <w:rsid w:val="00615DDA"/>
    <w:rsid w:val="00624106"/>
    <w:rsid w:val="006241C2"/>
    <w:rsid w:val="006258AF"/>
    <w:rsid w:val="00626394"/>
    <w:rsid w:val="006267F3"/>
    <w:rsid w:val="00626EC8"/>
    <w:rsid w:val="00627D5D"/>
    <w:rsid w:val="0063243E"/>
    <w:rsid w:val="00632CFC"/>
    <w:rsid w:val="006355B2"/>
    <w:rsid w:val="00635F47"/>
    <w:rsid w:val="0063742F"/>
    <w:rsid w:val="0064111F"/>
    <w:rsid w:val="00641314"/>
    <w:rsid w:val="0064136E"/>
    <w:rsid w:val="00641DE4"/>
    <w:rsid w:val="00642920"/>
    <w:rsid w:val="00643439"/>
    <w:rsid w:val="00644286"/>
    <w:rsid w:val="00644BD7"/>
    <w:rsid w:val="006461B9"/>
    <w:rsid w:val="00646CCD"/>
    <w:rsid w:val="0064703D"/>
    <w:rsid w:val="00651BF4"/>
    <w:rsid w:val="0065549C"/>
    <w:rsid w:val="00656328"/>
    <w:rsid w:val="00657ED6"/>
    <w:rsid w:val="00660661"/>
    <w:rsid w:val="00662A6F"/>
    <w:rsid w:val="006659F7"/>
    <w:rsid w:val="00673109"/>
    <w:rsid w:val="00673677"/>
    <w:rsid w:val="006757CC"/>
    <w:rsid w:val="00675C51"/>
    <w:rsid w:val="00677C9D"/>
    <w:rsid w:val="00681B12"/>
    <w:rsid w:val="0068257E"/>
    <w:rsid w:val="00684829"/>
    <w:rsid w:val="00685183"/>
    <w:rsid w:val="00691CA1"/>
    <w:rsid w:val="0069353E"/>
    <w:rsid w:val="00693B2F"/>
    <w:rsid w:val="00696A84"/>
    <w:rsid w:val="006A046D"/>
    <w:rsid w:val="006A1DDC"/>
    <w:rsid w:val="006A47AA"/>
    <w:rsid w:val="006A499D"/>
    <w:rsid w:val="006A615C"/>
    <w:rsid w:val="006A7D54"/>
    <w:rsid w:val="006B070D"/>
    <w:rsid w:val="006B0E4F"/>
    <w:rsid w:val="006B0F5D"/>
    <w:rsid w:val="006B293D"/>
    <w:rsid w:val="006B3350"/>
    <w:rsid w:val="006B46E9"/>
    <w:rsid w:val="006B7D50"/>
    <w:rsid w:val="006C1386"/>
    <w:rsid w:val="006C3C92"/>
    <w:rsid w:val="006C46BA"/>
    <w:rsid w:val="006C688C"/>
    <w:rsid w:val="006D0999"/>
    <w:rsid w:val="006D2211"/>
    <w:rsid w:val="006D3B75"/>
    <w:rsid w:val="006D3C99"/>
    <w:rsid w:val="006D3CF4"/>
    <w:rsid w:val="006D6CF1"/>
    <w:rsid w:val="006D761D"/>
    <w:rsid w:val="006E242D"/>
    <w:rsid w:val="006E2940"/>
    <w:rsid w:val="006E30BC"/>
    <w:rsid w:val="006E3589"/>
    <w:rsid w:val="006E3DB9"/>
    <w:rsid w:val="006E62CF"/>
    <w:rsid w:val="006F396E"/>
    <w:rsid w:val="006F3CB1"/>
    <w:rsid w:val="006F4A67"/>
    <w:rsid w:val="00700376"/>
    <w:rsid w:val="007004B5"/>
    <w:rsid w:val="00700832"/>
    <w:rsid w:val="007016F8"/>
    <w:rsid w:val="00703E3F"/>
    <w:rsid w:val="00704C91"/>
    <w:rsid w:val="00706247"/>
    <w:rsid w:val="00710042"/>
    <w:rsid w:val="00722283"/>
    <w:rsid w:val="00723BE1"/>
    <w:rsid w:val="00723F38"/>
    <w:rsid w:val="00725B40"/>
    <w:rsid w:val="007337CC"/>
    <w:rsid w:val="00733C33"/>
    <w:rsid w:val="00733D0C"/>
    <w:rsid w:val="00733E3C"/>
    <w:rsid w:val="0073493D"/>
    <w:rsid w:val="00736D64"/>
    <w:rsid w:val="00740559"/>
    <w:rsid w:val="00741CD8"/>
    <w:rsid w:val="007425B0"/>
    <w:rsid w:val="007432F0"/>
    <w:rsid w:val="00744433"/>
    <w:rsid w:val="00745B11"/>
    <w:rsid w:val="00747096"/>
    <w:rsid w:val="007501D4"/>
    <w:rsid w:val="00751441"/>
    <w:rsid w:val="00753387"/>
    <w:rsid w:val="00756883"/>
    <w:rsid w:val="00757765"/>
    <w:rsid w:val="007609DD"/>
    <w:rsid w:val="007624C0"/>
    <w:rsid w:val="00762EE2"/>
    <w:rsid w:val="00766ADD"/>
    <w:rsid w:val="00770282"/>
    <w:rsid w:val="00770A98"/>
    <w:rsid w:val="00772F49"/>
    <w:rsid w:val="00773B13"/>
    <w:rsid w:val="00774160"/>
    <w:rsid w:val="00774AAF"/>
    <w:rsid w:val="00774EA5"/>
    <w:rsid w:val="00776DE9"/>
    <w:rsid w:val="00777B20"/>
    <w:rsid w:val="00777EBB"/>
    <w:rsid w:val="0079117A"/>
    <w:rsid w:val="007928DC"/>
    <w:rsid w:val="0079325E"/>
    <w:rsid w:val="00793AD6"/>
    <w:rsid w:val="00793B26"/>
    <w:rsid w:val="00794278"/>
    <w:rsid w:val="007944FE"/>
    <w:rsid w:val="0079518B"/>
    <w:rsid w:val="00796919"/>
    <w:rsid w:val="00796CD7"/>
    <w:rsid w:val="00797BA0"/>
    <w:rsid w:val="007A0475"/>
    <w:rsid w:val="007A2964"/>
    <w:rsid w:val="007A3761"/>
    <w:rsid w:val="007A4B26"/>
    <w:rsid w:val="007A5197"/>
    <w:rsid w:val="007B0B27"/>
    <w:rsid w:val="007B3CE6"/>
    <w:rsid w:val="007B7925"/>
    <w:rsid w:val="007C0205"/>
    <w:rsid w:val="007C29A2"/>
    <w:rsid w:val="007C2D89"/>
    <w:rsid w:val="007C3FB3"/>
    <w:rsid w:val="007C6176"/>
    <w:rsid w:val="007C6344"/>
    <w:rsid w:val="007C6420"/>
    <w:rsid w:val="007C77BC"/>
    <w:rsid w:val="007C784A"/>
    <w:rsid w:val="007C784F"/>
    <w:rsid w:val="007D47A0"/>
    <w:rsid w:val="007D47F6"/>
    <w:rsid w:val="007D4E09"/>
    <w:rsid w:val="007D5D59"/>
    <w:rsid w:val="007D6EEA"/>
    <w:rsid w:val="007E045E"/>
    <w:rsid w:val="007E3711"/>
    <w:rsid w:val="007E3F85"/>
    <w:rsid w:val="007F04B9"/>
    <w:rsid w:val="007F14F2"/>
    <w:rsid w:val="007F3428"/>
    <w:rsid w:val="007F55E0"/>
    <w:rsid w:val="007F5D7B"/>
    <w:rsid w:val="007F7807"/>
    <w:rsid w:val="00802313"/>
    <w:rsid w:val="0080276B"/>
    <w:rsid w:val="00803EB4"/>
    <w:rsid w:val="00807520"/>
    <w:rsid w:val="00811883"/>
    <w:rsid w:val="008121ED"/>
    <w:rsid w:val="00812211"/>
    <w:rsid w:val="00814467"/>
    <w:rsid w:val="00815DD3"/>
    <w:rsid w:val="0081603C"/>
    <w:rsid w:val="00816AC0"/>
    <w:rsid w:val="008219BC"/>
    <w:rsid w:val="00823273"/>
    <w:rsid w:val="00823C96"/>
    <w:rsid w:val="008242C6"/>
    <w:rsid w:val="00824706"/>
    <w:rsid w:val="00825593"/>
    <w:rsid w:val="008275BD"/>
    <w:rsid w:val="00831DF0"/>
    <w:rsid w:val="00832112"/>
    <w:rsid w:val="0083451A"/>
    <w:rsid w:val="00840AEA"/>
    <w:rsid w:val="00840D6D"/>
    <w:rsid w:val="008416EC"/>
    <w:rsid w:val="00842522"/>
    <w:rsid w:val="00847535"/>
    <w:rsid w:val="00850DEA"/>
    <w:rsid w:val="00860221"/>
    <w:rsid w:val="00863313"/>
    <w:rsid w:val="00867776"/>
    <w:rsid w:val="00867F2C"/>
    <w:rsid w:val="00870ED6"/>
    <w:rsid w:val="00871E8B"/>
    <w:rsid w:val="00874541"/>
    <w:rsid w:val="0087518A"/>
    <w:rsid w:val="00875227"/>
    <w:rsid w:val="0087642C"/>
    <w:rsid w:val="0087735E"/>
    <w:rsid w:val="00880582"/>
    <w:rsid w:val="008809E4"/>
    <w:rsid w:val="0088160C"/>
    <w:rsid w:val="00883035"/>
    <w:rsid w:val="0088344E"/>
    <w:rsid w:val="0088414C"/>
    <w:rsid w:val="0088777B"/>
    <w:rsid w:val="008908C1"/>
    <w:rsid w:val="00890A00"/>
    <w:rsid w:val="0089192D"/>
    <w:rsid w:val="00892338"/>
    <w:rsid w:val="00893B19"/>
    <w:rsid w:val="0089575F"/>
    <w:rsid w:val="00895B1D"/>
    <w:rsid w:val="008A08E3"/>
    <w:rsid w:val="008A09F1"/>
    <w:rsid w:val="008A0F5C"/>
    <w:rsid w:val="008A11B3"/>
    <w:rsid w:val="008A1A50"/>
    <w:rsid w:val="008A31E3"/>
    <w:rsid w:val="008A3432"/>
    <w:rsid w:val="008A3ECE"/>
    <w:rsid w:val="008A4D9A"/>
    <w:rsid w:val="008A7F16"/>
    <w:rsid w:val="008B06DE"/>
    <w:rsid w:val="008B151B"/>
    <w:rsid w:val="008B49B6"/>
    <w:rsid w:val="008B7768"/>
    <w:rsid w:val="008C080B"/>
    <w:rsid w:val="008C705B"/>
    <w:rsid w:val="008D2CF6"/>
    <w:rsid w:val="008D2D3F"/>
    <w:rsid w:val="008D4C55"/>
    <w:rsid w:val="008D4F32"/>
    <w:rsid w:val="008D7C2D"/>
    <w:rsid w:val="008D7C86"/>
    <w:rsid w:val="008E0581"/>
    <w:rsid w:val="008E1470"/>
    <w:rsid w:val="008E16A5"/>
    <w:rsid w:val="008E29C6"/>
    <w:rsid w:val="008E669F"/>
    <w:rsid w:val="008E79BD"/>
    <w:rsid w:val="008F1ACF"/>
    <w:rsid w:val="008F1BC0"/>
    <w:rsid w:val="008F3EF9"/>
    <w:rsid w:val="008F5EF0"/>
    <w:rsid w:val="008F6A04"/>
    <w:rsid w:val="008F7749"/>
    <w:rsid w:val="009022AF"/>
    <w:rsid w:val="00902574"/>
    <w:rsid w:val="00902DC2"/>
    <w:rsid w:val="00904F30"/>
    <w:rsid w:val="009059F3"/>
    <w:rsid w:val="009062D6"/>
    <w:rsid w:val="00907DB9"/>
    <w:rsid w:val="009108CF"/>
    <w:rsid w:val="009120AA"/>
    <w:rsid w:val="00912FD5"/>
    <w:rsid w:val="00913CCE"/>
    <w:rsid w:val="009160C0"/>
    <w:rsid w:val="00920E18"/>
    <w:rsid w:val="009215E8"/>
    <w:rsid w:val="009223A0"/>
    <w:rsid w:val="00922AD0"/>
    <w:rsid w:val="0092346F"/>
    <w:rsid w:val="009255D9"/>
    <w:rsid w:val="009260B4"/>
    <w:rsid w:val="00930ACF"/>
    <w:rsid w:val="00932FAD"/>
    <w:rsid w:val="00935461"/>
    <w:rsid w:val="009411AF"/>
    <w:rsid w:val="00942E36"/>
    <w:rsid w:val="009432BF"/>
    <w:rsid w:val="009450DA"/>
    <w:rsid w:val="009459E3"/>
    <w:rsid w:val="00946516"/>
    <w:rsid w:val="00951787"/>
    <w:rsid w:val="00953B9A"/>
    <w:rsid w:val="00955588"/>
    <w:rsid w:val="009570F0"/>
    <w:rsid w:val="009626A8"/>
    <w:rsid w:val="00963D3C"/>
    <w:rsid w:val="009640CF"/>
    <w:rsid w:val="009650C0"/>
    <w:rsid w:val="00965569"/>
    <w:rsid w:val="00970EE6"/>
    <w:rsid w:val="00971A27"/>
    <w:rsid w:val="00972F47"/>
    <w:rsid w:val="00974130"/>
    <w:rsid w:val="00974A44"/>
    <w:rsid w:val="00975AD6"/>
    <w:rsid w:val="00976245"/>
    <w:rsid w:val="00982279"/>
    <w:rsid w:val="0098256D"/>
    <w:rsid w:val="00982840"/>
    <w:rsid w:val="00985B9C"/>
    <w:rsid w:val="00987276"/>
    <w:rsid w:val="00987388"/>
    <w:rsid w:val="009924BF"/>
    <w:rsid w:val="00992EEA"/>
    <w:rsid w:val="009931C8"/>
    <w:rsid w:val="00994352"/>
    <w:rsid w:val="00995DDC"/>
    <w:rsid w:val="00996BD8"/>
    <w:rsid w:val="009A04CD"/>
    <w:rsid w:val="009A06C5"/>
    <w:rsid w:val="009A16AE"/>
    <w:rsid w:val="009A186D"/>
    <w:rsid w:val="009A255F"/>
    <w:rsid w:val="009A3EA1"/>
    <w:rsid w:val="009A5D7A"/>
    <w:rsid w:val="009A6A70"/>
    <w:rsid w:val="009A6B77"/>
    <w:rsid w:val="009A7125"/>
    <w:rsid w:val="009A7651"/>
    <w:rsid w:val="009A7C82"/>
    <w:rsid w:val="009B24F2"/>
    <w:rsid w:val="009B44BF"/>
    <w:rsid w:val="009B6068"/>
    <w:rsid w:val="009B6B58"/>
    <w:rsid w:val="009C1084"/>
    <w:rsid w:val="009C1114"/>
    <w:rsid w:val="009C23DB"/>
    <w:rsid w:val="009C3794"/>
    <w:rsid w:val="009C46E7"/>
    <w:rsid w:val="009C554A"/>
    <w:rsid w:val="009C5556"/>
    <w:rsid w:val="009D007C"/>
    <w:rsid w:val="009D0718"/>
    <w:rsid w:val="009D22DD"/>
    <w:rsid w:val="009D6311"/>
    <w:rsid w:val="009D69B7"/>
    <w:rsid w:val="009D71C3"/>
    <w:rsid w:val="009E06A1"/>
    <w:rsid w:val="009E1924"/>
    <w:rsid w:val="009E21FD"/>
    <w:rsid w:val="009E27D2"/>
    <w:rsid w:val="009E47B5"/>
    <w:rsid w:val="009E4E24"/>
    <w:rsid w:val="009F0F9F"/>
    <w:rsid w:val="009F19C0"/>
    <w:rsid w:val="009F40F3"/>
    <w:rsid w:val="009F617D"/>
    <w:rsid w:val="00A017C6"/>
    <w:rsid w:val="00A020F8"/>
    <w:rsid w:val="00A02BE5"/>
    <w:rsid w:val="00A03E83"/>
    <w:rsid w:val="00A04952"/>
    <w:rsid w:val="00A10242"/>
    <w:rsid w:val="00A1689F"/>
    <w:rsid w:val="00A179C3"/>
    <w:rsid w:val="00A17D56"/>
    <w:rsid w:val="00A17EAA"/>
    <w:rsid w:val="00A202FB"/>
    <w:rsid w:val="00A24589"/>
    <w:rsid w:val="00A24675"/>
    <w:rsid w:val="00A26141"/>
    <w:rsid w:val="00A303E1"/>
    <w:rsid w:val="00A307BE"/>
    <w:rsid w:val="00A30C87"/>
    <w:rsid w:val="00A31A4F"/>
    <w:rsid w:val="00A326D6"/>
    <w:rsid w:val="00A33150"/>
    <w:rsid w:val="00A33646"/>
    <w:rsid w:val="00A34178"/>
    <w:rsid w:val="00A35A4E"/>
    <w:rsid w:val="00A35DC7"/>
    <w:rsid w:val="00A37E79"/>
    <w:rsid w:val="00A40FC7"/>
    <w:rsid w:val="00A42B37"/>
    <w:rsid w:val="00A43196"/>
    <w:rsid w:val="00A44797"/>
    <w:rsid w:val="00A464FE"/>
    <w:rsid w:val="00A4717B"/>
    <w:rsid w:val="00A47A95"/>
    <w:rsid w:val="00A509F6"/>
    <w:rsid w:val="00A51DE5"/>
    <w:rsid w:val="00A53489"/>
    <w:rsid w:val="00A54FA0"/>
    <w:rsid w:val="00A55F80"/>
    <w:rsid w:val="00A56001"/>
    <w:rsid w:val="00A56648"/>
    <w:rsid w:val="00A60BDA"/>
    <w:rsid w:val="00A61E4A"/>
    <w:rsid w:val="00A62070"/>
    <w:rsid w:val="00A626B6"/>
    <w:rsid w:val="00A7186F"/>
    <w:rsid w:val="00A73CBC"/>
    <w:rsid w:val="00A74B57"/>
    <w:rsid w:val="00A7658F"/>
    <w:rsid w:val="00A800B4"/>
    <w:rsid w:val="00A81743"/>
    <w:rsid w:val="00A840BF"/>
    <w:rsid w:val="00A92C1B"/>
    <w:rsid w:val="00A94187"/>
    <w:rsid w:val="00A95181"/>
    <w:rsid w:val="00A96B21"/>
    <w:rsid w:val="00AA07E8"/>
    <w:rsid w:val="00AA1C1B"/>
    <w:rsid w:val="00AA20F4"/>
    <w:rsid w:val="00AA708C"/>
    <w:rsid w:val="00AA7F88"/>
    <w:rsid w:val="00AB10E9"/>
    <w:rsid w:val="00AB20A3"/>
    <w:rsid w:val="00AB2F5D"/>
    <w:rsid w:val="00AB388D"/>
    <w:rsid w:val="00AB563E"/>
    <w:rsid w:val="00AC0921"/>
    <w:rsid w:val="00AC4713"/>
    <w:rsid w:val="00AC4869"/>
    <w:rsid w:val="00AD0215"/>
    <w:rsid w:val="00AD504F"/>
    <w:rsid w:val="00AD6199"/>
    <w:rsid w:val="00AD6641"/>
    <w:rsid w:val="00AE1208"/>
    <w:rsid w:val="00AE1A95"/>
    <w:rsid w:val="00AF2BE0"/>
    <w:rsid w:val="00AF3664"/>
    <w:rsid w:val="00AF4B54"/>
    <w:rsid w:val="00AF4F65"/>
    <w:rsid w:val="00B00493"/>
    <w:rsid w:val="00B008D7"/>
    <w:rsid w:val="00B02190"/>
    <w:rsid w:val="00B055C8"/>
    <w:rsid w:val="00B05E9E"/>
    <w:rsid w:val="00B07B0D"/>
    <w:rsid w:val="00B1273C"/>
    <w:rsid w:val="00B138ED"/>
    <w:rsid w:val="00B21920"/>
    <w:rsid w:val="00B21F88"/>
    <w:rsid w:val="00B227C0"/>
    <w:rsid w:val="00B22C98"/>
    <w:rsid w:val="00B24EAA"/>
    <w:rsid w:val="00B24F21"/>
    <w:rsid w:val="00B26237"/>
    <w:rsid w:val="00B30DC1"/>
    <w:rsid w:val="00B312EA"/>
    <w:rsid w:val="00B3256D"/>
    <w:rsid w:val="00B3295D"/>
    <w:rsid w:val="00B3307D"/>
    <w:rsid w:val="00B341B3"/>
    <w:rsid w:val="00B34DE2"/>
    <w:rsid w:val="00B36EA9"/>
    <w:rsid w:val="00B410AA"/>
    <w:rsid w:val="00B41309"/>
    <w:rsid w:val="00B41628"/>
    <w:rsid w:val="00B46685"/>
    <w:rsid w:val="00B4796D"/>
    <w:rsid w:val="00B5003E"/>
    <w:rsid w:val="00B5044D"/>
    <w:rsid w:val="00B5054E"/>
    <w:rsid w:val="00B5250B"/>
    <w:rsid w:val="00B552DA"/>
    <w:rsid w:val="00B6000A"/>
    <w:rsid w:val="00B6057D"/>
    <w:rsid w:val="00B627A8"/>
    <w:rsid w:val="00B63FC4"/>
    <w:rsid w:val="00B64239"/>
    <w:rsid w:val="00B64E37"/>
    <w:rsid w:val="00B65E94"/>
    <w:rsid w:val="00B667F6"/>
    <w:rsid w:val="00B6757F"/>
    <w:rsid w:val="00B715B6"/>
    <w:rsid w:val="00B71801"/>
    <w:rsid w:val="00B72A5B"/>
    <w:rsid w:val="00B734AE"/>
    <w:rsid w:val="00B73951"/>
    <w:rsid w:val="00B74546"/>
    <w:rsid w:val="00B74D4B"/>
    <w:rsid w:val="00B76C09"/>
    <w:rsid w:val="00B81268"/>
    <w:rsid w:val="00B82735"/>
    <w:rsid w:val="00B8273B"/>
    <w:rsid w:val="00B847A1"/>
    <w:rsid w:val="00B86626"/>
    <w:rsid w:val="00B87292"/>
    <w:rsid w:val="00B879DB"/>
    <w:rsid w:val="00B90C45"/>
    <w:rsid w:val="00B90FCD"/>
    <w:rsid w:val="00B91369"/>
    <w:rsid w:val="00B925CC"/>
    <w:rsid w:val="00B95C5A"/>
    <w:rsid w:val="00B97D25"/>
    <w:rsid w:val="00BA328C"/>
    <w:rsid w:val="00BA3AF9"/>
    <w:rsid w:val="00BA445D"/>
    <w:rsid w:val="00BA491C"/>
    <w:rsid w:val="00BA4B45"/>
    <w:rsid w:val="00BA5FF8"/>
    <w:rsid w:val="00BA615B"/>
    <w:rsid w:val="00BA62F7"/>
    <w:rsid w:val="00BA7FA7"/>
    <w:rsid w:val="00BB0394"/>
    <w:rsid w:val="00BB18F4"/>
    <w:rsid w:val="00BB2041"/>
    <w:rsid w:val="00BB341B"/>
    <w:rsid w:val="00BB50D7"/>
    <w:rsid w:val="00BB5A34"/>
    <w:rsid w:val="00BB6924"/>
    <w:rsid w:val="00BB6DE0"/>
    <w:rsid w:val="00BC0762"/>
    <w:rsid w:val="00BC0B21"/>
    <w:rsid w:val="00BC5B90"/>
    <w:rsid w:val="00BC5C2C"/>
    <w:rsid w:val="00BD0982"/>
    <w:rsid w:val="00BD237A"/>
    <w:rsid w:val="00BD40D8"/>
    <w:rsid w:val="00BD52E6"/>
    <w:rsid w:val="00BD6FD8"/>
    <w:rsid w:val="00BE03C7"/>
    <w:rsid w:val="00BE0982"/>
    <w:rsid w:val="00BE0B8F"/>
    <w:rsid w:val="00BE2036"/>
    <w:rsid w:val="00BE25B7"/>
    <w:rsid w:val="00BE25F6"/>
    <w:rsid w:val="00BE3AA5"/>
    <w:rsid w:val="00BE5019"/>
    <w:rsid w:val="00BE51D1"/>
    <w:rsid w:val="00BF5159"/>
    <w:rsid w:val="00BF5F93"/>
    <w:rsid w:val="00BF7787"/>
    <w:rsid w:val="00C00AD8"/>
    <w:rsid w:val="00C0280D"/>
    <w:rsid w:val="00C02926"/>
    <w:rsid w:val="00C02BB1"/>
    <w:rsid w:val="00C03365"/>
    <w:rsid w:val="00C04D14"/>
    <w:rsid w:val="00C0759D"/>
    <w:rsid w:val="00C07840"/>
    <w:rsid w:val="00C10676"/>
    <w:rsid w:val="00C13276"/>
    <w:rsid w:val="00C1340E"/>
    <w:rsid w:val="00C13B55"/>
    <w:rsid w:val="00C13D6B"/>
    <w:rsid w:val="00C16665"/>
    <w:rsid w:val="00C170B9"/>
    <w:rsid w:val="00C176E0"/>
    <w:rsid w:val="00C20B53"/>
    <w:rsid w:val="00C22F05"/>
    <w:rsid w:val="00C2354A"/>
    <w:rsid w:val="00C237EF"/>
    <w:rsid w:val="00C27FDB"/>
    <w:rsid w:val="00C30DF5"/>
    <w:rsid w:val="00C30F3D"/>
    <w:rsid w:val="00C33825"/>
    <w:rsid w:val="00C360C3"/>
    <w:rsid w:val="00C3647B"/>
    <w:rsid w:val="00C3671D"/>
    <w:rsid w:val="00C37890"/>
    <w:rsid w:val="00C402AF"/>
    <w:rsid w:val="00C418E7"/>
    <w:rsid w:val="00C44032"/>
    <w:rsid w:val="00C453A1"/>
    <w:rsid w:val="00C461EC"/>
    <w:rsid w:val="00C46C2F"/>
    <w:rsid w:val="00C47F7B"/>
    <w:rsid w:val="00C500C0"/>
    <w:rsid w:val="00C5370E"/>
    <w:rsid w:val="00C60361"/>
    <w:rsid w:val="00C60ED0"/>
    <w:rsid w:val="00C6598D"/>
    <w:rsid w:val="00C67139"/>
    <w:rsid w:val="00C706A4"/>
    <w:rsid w:val="00C7253B"/>
    <w:rsid w:val="00C7288D"/>
    <w:rsid w:val="00C77E6E"/>
    <w:rsid w:val="00C82482"/>
    <w:rsid w:val="00C85E0F"/>
    <w:rsid w:val="00C86555"/>
    <w:rsid w:val="00C86B4C"/>
    <w:rsid w:val="00C87D8A"/>
    <w:rsid w:val="00C90FAB"/>
    <w:rsid w:val="00C91D63"/>
    <w:rsid w:val="00C94392"/>
    <w:rsid w:val="00C97556"/>
    <w:rsid w:val="00CA1CEE"/>
    <w:rsid w:val="00CA44C2"/>
    <w:rsid w:val="00CA549E"/>
    <w:rsid w:val="00CA5DC4"/>
    <w:rsid w:val="00CA7BB6"/>
    <w:rsid w:val="00CA7DA5"/>
    <w:rsid w:val="00CB29D0"/>
    <w:rsid w:val="00CB4BCD"/>
    <w:rsid w:val="00CB7655"/>
    <w:rsid w:val="00CB7F9D"/>
    <w:rsid w:val="00CC0BCF"/>
    <w:rsid w:val="00CC1FE6"/>
    <w:rsid w:val="00CC34B9"/>
    <w:rsid w:val="00CC4695"/>
    <w:rsid w:val="00CD0628"/>
    <w:rsid w:val="00CD1A07"/>
    <w:rsid w:val="00CD2E05"/>
    <w:rsid w:val="00CD7578"/>
    <w:rsid w:val="00CD7FE7"/>
    <w:rsid w:val="00CE5842"/>
    <w:rsid w:val="00CE67E0"/>
    <w:rsid w:val="00CF1E81"/>
    <w:rsid w:val="00CF3EF8"/>
    <w:rsid w:val="00CF6A30"/>
    <w:rsid w:val="00CF70AB"/>
    <w:rsid w:val="00CF7FA2"/>
    <w:rsid w:val="00D001F8"/>
    <w:rsid w:val="00D02090"/>
    <w:rsid w:val="00D0210C"/>
    <w:rsid w:val="00D027D3"/>
    <w:rsid w:val="00D0425E"/>
    <w:rsid w:val="00D068DA"/>
    <w:rsid w:val="00D07458"/>
    <w:rsid w:val="00D11B5E"/>
    <w:rsid w:val="00D12AA9"/>
    <w:rsid w:val="00D1594B"/>
    <w:rsid w:val="00D20C3A"/>
    <w:rsid w:val="00D2215E"/>
    <w:rsid w:val="00D2505F"/>
    <w:rsid w:val="00D2650D"/>
    <w:rsid w:val="00D27342"/>
    <w:rsid w:val="00D3059B"/>
    <w:rsid w:val="00D30FBB"/>
    <w:rsid w:val="00D36900"/>
    <w:rsid w:val="00D36CDB"/>
    <w:rsid w:val="00D41F25"/>
    <w:rsid w:val="00D437F2"/>
    <w:rsid w:val="00D45E83"/>
    <w:rsid w:val="00D45FB3"/>
    <w:rsid w:val="00D47FC3"/>
    <w:rsid w:val="00D53680"/>
    <w:rsid w:val="00D53717"/>
    <w:rsid w:val="00D54388"/>
    <w:rsid w:val="00D560E6"/>
    <w:rsid w:val="00D60046"/>
    <w:rsid w:val="00D602C2"/>
    <w:rsid w:val="00D6095E"/>
    <w:rsid w:val="00D619FA"/>
    <w:rsid w:val="00D62ED0"/>
    <w:rsid w:val="00D62F6E"/>
    <w:rsid w:val="00D630E7"/>
    <w:rsid w:val="00D64A5D"/>
    <w:rsid w:val="00D657CF"/>
    <w:rsid w:val="00D6663C"/>
    <w:rsid w:val="00D66B80"/>
    <w:rsid w:val="00D7174E"/>
    <w:rsid w:val="00D71C28"/>
    <w:rsid w:val="00D71FFB"/>
    <w:rsid w:val="00D729B4"/>
    <w:rsid w:val="00D74C38"/>
    <w:rsid w:val="00D7624C"/>
    <w:rsid w:val="00D76274"/>
    <w:rsid w:val="00D77482"/>
    <w:rsid w:val="00D81030"/>
    <w:rsid w:val="00D82295"/>
    <w:rsid w:val="00D90590"/>
    <w:rsid w:val="00D92EE7"/>
    <w:rsid w:val="00D97D57"/>
    <w:rsid w:val="00DA0D3B"/>
    <w:rsid w:val="00DA40F9"/>
    <w:rsid w:val="00DA48A2"/>
    <w:rsid w:val="00DA5736"/>
    <w:rsid w:val="00DB1C25"/>
    <w:rsid w:val="00DB4AF8"/>
    <w:rsid w:val="00DB52CE"/>
    <w:rsid w:val="00DB5D88"/>
    <w:rsid w:val="00DB7956"/>
    <w:rsid w:val="00DC2210"/>
    <w:rsid w:val="00DC3E49"/>
    <w:rsid w:val="00DC486A"/>
    <w:rsid w:val="00DC749D"/>
    <w:rsid w:val="00DD0FA0"/>
    <w:rsid w:val="00DD388B"/>
    <w:rsid w:val="00DD3DC3"/>
    <w:rsid w:val="00DD428D"/>
    <w:rsid w:val="00DD48E5"/>
    <w:rsid w:val="00DD518E"/>
    <w:rsid w:val="00DD5DB7"/>
    <w:rsid w:val="00DE33FE"/>
    <w:rsid w:val="00DE7C2B"/>
    <w:rsid w:val="00DF5694"/>
    <w:rsid w:val="00DF6F3E"/>
    <w:rsid w:val="00DF7816"/>
    <w:rsid w:val="00E0079F"/>
    <w:rsid w:val="00E12054"/>
    <w:rsid w:val="00E1597C"/>
    <w:rsid w:val="00E209B5"/>
    <w:rsid w:val="00E2225A"/>
    <w:rsid w:val="00E22269"/>
    <w:rsid w:val="00E23619"/>
    <w:rsid w:val="00E23761"/>
    <w:rsid w:val="00E2623D"/>
    <w:rsid w:val="00E26464"/>
    <w:rsid w:val="00E335B5"/>
    <w:rsid w:val="00E34528"/>
    <w:rsid w:val="00E34972"/>
    <w:rsid w:val="00E34A3F"/>
    <w:rsid w:val="00E37614"/>
    <w:rsid w:val="00E37865"/>
    <w:rsid w:val="00E432EB"/>
    <w:rsid w:val="00E4401D"/>
    <w:rsid w:val="00E44949"/>
    <w:rsid w:val="00E4541B"/>
    <w:rsid w:val="00E47252"/>
    <w:rsid w:val="00E47E20"/>
    <w:rsid w:val="00E50AA0"/>
    <w:rsid w:val="00E51122"/>
    <w:rsid w:val="00E51443"/>
    <w:rsid w:val="00E51DF7"/>
    <w:rsid w:val="00E51E4B"/>
    <w:rsid w:val="00E530CD"/>
    <w:rsid w:val="00E53A21"/>
    <w:rsid w:val="00E53C48"/>
    <w:rsid w:val="00E5410F"/>
    <w:rsid w:val="00E54765"/>
    <w:rsid w:val="00E56C33"/>
    <w:rsid w:val="00E56F7F"/>
    <w:rsid w:val="00E57C34"/>
    <w:rsid w:val="00E602E9"/>
    <w:rsid w:val="00E6271F"/>
    <w:rsid w:val="00E63284"/>
    <w:rsid w:val="00E64281"/>
    <w:rsid w:val="00E65CE7"/>
    <w:rsid w:val="00E66127"/>
    <w:rsid w:val="00E664B3"/>
    <w:rsid w:val="00E672A3"/>
    <w:rsid w:val="00E754D7"/>
    <w:rsid w:val="00E763D0"/>
    <w:rsid w:val="00E80300"/>
    <w:rsid w:val="00E80AE4"/>
    <w:rsid w:val="00E81B60"/>
    <w:rsid w:val="00E82D32"/>
    <w:rsid w:val="00E830ED"/>
    <w:rsid w:val="00E857CE"/>
    <w:rsid w:val="00E878D3"/>
    <w:rsid w:val="00E910F4"/>
    <w:rsid w:val="00E916DD"/>
    <w:rsid w:val="00E929A0"/>
    <w:rsid w:val="00E93D5A"/>
    <w:rsid w:val="00E940D9"/>
    <w:rsid w:val="00E94821"/>
    <w:rsid w:val="00E9538A"/>
    <w:rsid w:val="00E95521"/>
    <w:rsid w:val="00E9564D"/>
    <w:rsid w:val="00E96474"/>
    <w:rsid w:val="00E977AB"/>
    <w:rsid w:val="00EA0656"/>
    <w:rsid w:val="00EA0E16"/>
    <w:rsid w:val="00EA16DA"/>
    <w:rsid w:val="00EA2375"/>
    <w:rsid w:val="00EA2E5D"/>
    <w:rsid w:val="00EA4364"/>
    <w:rsid w:val="00EB3D20"/>
    <w:rsid w:val="00EB454C"/>
    <w:rsid w:val="00EB559B"/>
    <w:rsid w:val="00EB5AD4"/>
    <w:rsid w:val="00EB642E"/>
    <w:rsid w:val="00EB6C6F"/>
    <w:rsid w:val="00EB77C7"/>
    <w:rsid w:val="00EB7C8A"/>
    <w:rsid w:val="00EC0110"/>
    <w:rsid w:val="00EC035A"/>
    <w:rsid w:val="00EC102E"/>
    <w:rsid w:val="00EC2935"/>
    <w:rsid w:val="00EC3892"/>
    <w:rsid w:val="00EC41E8"/>
    <w:rsid w:val="00EC5E2C"/>
    <w:rsid w:val="00EC6E05"/>
    <w:rsid w:val="00EC712A"/>
    <w:rsid w:val="00EC7399"/>
    <w:rsid w:val="00ED1CEB"/>
    <w:rsid w:val="00ED3849"/>
    <w:rsid w:val="00ED3D90"/>
    <w:rsid w:val="00ED41E5"/>
    <w:rsid w:val="00ED43AA"/>
    <w:rsid w:val="00ED58BB"/>
    <w:rsid w:val="00EE1300"/>
    <w:rsid w:val="00EE1951"/>
    <w:rsid w:val="00EE1DDB"/>
    <w:rsid w:val="00EE2CEB"/>
    <w:rsid w:val="00EE3BBA"/>
    <w:rsid w:val="00EE6285"/>
    <w:rsid w:val="00EE6D6F"/>
    <w:rsid w:val="00EF0ED7"/>
    <w:rsid w:val="00EF2226"/>
    <w:rsid w:val="00EF274D"/>
    <w:rsid w:val="00EF2AAA"/>
    <w:rsid w:val="00EF49D9"/>
    <w:rsid w:val="00EF571A"/>
    <w:rsid w:val="00EF5B8A"/>
    <w:rsid w:val="00EF5FD8"/>
    <w:rsid w:val="00EF67BA"/>
    <w:rsid w:val="00EF7032"/>
    <w:rsid w:val="00EF7961"/>
    <w:rsid w:val="00F012A1"/>
    <w:rsid w:val="00F01658"/>
    <w:rsid w:val="00F0252E"/>
    <w:rsid w:val="00F0365C"/>
    <w:rsid w:val="00F03771"/>
    <w:rsid w:val="00F0478F"/>
    <w:rsid w:val="00F04AD0"/>
    <w:rsid w:val="00F06290"/>
    <w:rsid w:val="00F073D3"/>
    <w:rsid w:val="00F077B6"/>
    <w:rsid w:val="00F1001F"/>
    <w:rsid w:val="00F11844"/>
    <w:rsid w:val="00F12784"/>
    <w:rsid w:val="00F14323"/>
    <w:rsid w:val="00F173F2"/>
    <w:rsid w:val="00F17B2B"/>
    <w:rsid w:val="00F20D1E"/>
    <w:rsid w:val="00F258FB"/>
    <w:rsid w:val="00F274D0"/>
    <w:rsid w:val="00F27C19"/>
    <w:rsid w:val="00F27F65"/>
    <w:rsid w:val="00F311E0"/>
    <w:rsid w:val="00F31F75"/>
    <w:rsid w:val="00F324D7"/>
    <w:rsid w:val="00F34417"/>
    <w:rsid w:val="00F35097"/>
    <w:rsid w:val="00F3568E"/>
    <w:rsid w:val="00F3619A"/>
    <w:rsid w:val="00F36D3F"/>
    <w:rsid w:val="00F4034A"/>
    <w:rsid w:val="00F44BBB"/>
    <w:rsid w:val="00F45AB8"/>
    <w:rsid w:val="00F47F34"/>
    <w:rsid w:val="00F53308"/>
    <w:rsid w:val="00F533AB"/>
    <w:rsid w:val="00F534B8"/>
    <w:rsid w:val="00F53729"/>
    <w:rsid w:val="00F54237"/>
    <w:rsid w:val="00F54528"/>
    <w:rsid w:val="00F60EEC"/>
    <w:rsid w:val="00F6127F"/>
    <w:rsid w:val="00F61944"/>
    <w:rsid w:val="00F61D93"/>
    <w:rsid w:val="00F61E3C"/>
    <w:rsid w:val="00F6299F"/>
    <w:rsid w:val="00F6334D"/>
    <w:rsid w:val="00F637A3"/>
    <w:rsid w:val="00F64E96"/>
    <w:rsid w:val="00F67050"/>
    <w:rsid w:val="00F74587"/>
    <w:rsid w:val="00F74DEB"/>
    <w:rsid w:val="00F75F90"/>
    <w:rsid w:val="00F77FB1"/>
    <w:rsid w:val="00F81A82"/>
    <w:rsid w:val="00F82179"/>
    <w:rsid w:val="00F824EA"/>
    <w:rsid w:val="00F83A2B"/>
    <w:rsid w:val="00F850A4"/>
    <w:rsid w:val="00F85313"/>
    <w:rsid w:val="00F85A04"/>
    <w:rsid w:val="00F8610E"/>
    <w:rsid w:val="00F871BC"/>
    <w:rsid w:val="00F879D0"/>
    <w:rsid w:val="00F90E5E"/>
    <w:rsid w:val="00F964B2"/>
    <w:rsid w:val="00FA18C9"/>
    <w:rsid w:val="00FA3B5F"/>
    <w:rsid w:val="00FA4056"/>
    <w:rsid w:val="00FA46E1"/>
    <w:rsid w:val="00FB0662"/>
    <w:rsid w:val="00FB0791"/>
    <w:rsid w:val="00FB22B3"/>
    <w:rsid w:val="00FB2A23"/>
    <w:rsid w:val="00FB33CF"/>
    <w:rsid w:val="00FB3B15"/>
    <w:rsid w:val="00FB3D92"/>
    <w:rsid w:val="00FB7FA5"/>
    <w:rsid w:val="00FC2B8C"/>
    <w:rsid w:val="00FC3879"/>
    <w:rsid w:val="00FC4AEA"/>
    <w:rsid w:val="00FC730F"/>
    <w:rsid w:val="00FD2A21"/>
    <w:rsid w:val="00FD3188"/>
    <w:rsid w:val="00FD350F"/>
    <w:rsid w:val="00FD3B60"/>
    <w:rsid w:val="00FD40BE"/>
    <w:rsid w:val="00FD4C29"/>
    <w:rsid w:val="00FD5C95"/>
    <w:rsid w:val="00FE279A"/>
    <w:rsid w:val="00FE2C21"/>
    <w:rsid w:val="00FE3BB0"/>
    <w:rsid w:val="00FE3E37"/>
    <w:rsid w:val="00FE42B8"/>
    <w:rsid w:val="00FE4526"/>
    <w:rsid w:val="00FE46D1"/>
    <w:rsid w:val="00FE4B02"/>
    <w:rsid w:val="00FE4EE8"/>
    <w:rsid w:val="00FF0ED5"/>
    <w:rsid w:val="00FF2278"/>
    <w:rsid w:val="00FF22B7"/>
    <w:rsid w:val="00FF2948"/>
    <w:rsid w:val="00FF4D32"/>
    <w:rsid w:val="00FF5C6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41F654"/>
  <w15:docId w15:val="{FC364077-E25C-4E3B-A0C8-0ABAC640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CF1"/>
    <w:pPr>
      <w:tabs>
        <w:tab w:val="left" w:pos="567"/>
        <w:tab w:val="left" w:pos="1134"/>
        <w:tab w:val="left" w:pos="1701"/>
        <w:tab w:val="left" w:pos="2268"/>
      </w:tabs>
      <w:spacing w:after="0" w:line="240" w:lineRule="auto"/>
      <w:jc w:val="both"/>
    </w:pPr>
    <w:rPr>
      <w:rFonts w:ascii="Times New Roman" w:hAnsi="Times New Roman" w:cs="Times New Roman"/>
      <w:kern w:val="0"/>
      <w:lang w:val="en-US"/>
      <w14:ligatures w14:val="none"/>
    </w:rPr>
  </w:style>
  <w:style w:type="paragraph" w:styleId="Heading1">
    <w:name w:val="heading 1"/>
    <w:basedOn w:val="Normal"/>
    <w:next w:val="Heading2"/>
    <w:link w:val="Heading1Char"/>
    <w:uiPriority w:val="9"/>
    <w:qFormat/>
    <w:rsid w:val="00076F1E"/>
    <w:pPr>
      <w:keepNext/>
      <w:keepLines/>
      <w:numPr>
        <w:numId w:val="5"/>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CBDNormalNumber"/>
    <w:link w:val="Heading2Char"/>
    <w:uiPriority w:val="9"/>
    <w:qFormat/>
    <w:rsid w:val="00076F1E"/>
    <w:pPr>
      <w:keepNext/>
      <w:keepLines/>
      <w:numPr>
        <w:ilvl w:val="1"/>
        <w:numId w:val="5"/>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076F1E"/>
    <w:pPr>
      <w:keepNext/>
      <w:keepLines/>
      <w:numPr>
        <w:ilvl w:val="2"/>
        <w:numId w:val="5"/>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076F1E"/>
    <w:pPr>
      <w:keepNext/>
      <w:numPr>
        <w:ilvl w:val="3"/>
        <w:numId w:val="5"/>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076F1E"/>
    <w:pPr>
      <w:keepNext/>
      <w:numPr>
        <w:ilvl w:val="4"/>
        <w:numId w:val="5"/>
      </w:numPr>
      <w:spacing w:before="120" w:after="120"/>
      <w:jc w:val="left"/>
      <w:outlineLvl w:val="4"/>
    </w:pPr>
    <w:rPr>
      <w:rFonts w:eastAsiaTheme="majorEastAsia"/>
      <w:i/>
      <w:iCs/>
    </w:rPr>
  </w:style>
  <w:style w:type="paragraph" w:styleId="Heading6">
    <w:name w:val="heading 6"/>
    <w:basedOn w:val="Normal"/>
    <w:next w:val="Normal"/>
    <w:link w:val="Heading6Char"/>
    <w:qFormat/>
    <w:rsid w:val="00076F1E"/>
    <w:pPr>
      <w:keepNext/>
      <w:keepLines/>
      <w:numPr>
        <w:ilvl w:val="5"/>
        <w:numId w:val="6"/>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rsid w:val="00076F1E"/>
    <w:pPr>
      <w:keepNext/>
      <w:keepLines/>
      <w:widowControl w:val="0"/>
      <w:numPr>
        <w:ilvl w:val="6"/>
        <w:numId w:val="6"/>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qFormat/>
    <w:rsid w:val="00076F1E"/>
    <w:pPr>
      <w:keepNext/>
      <w:keepLines/>
      <w:widowControl w:val="0"/>
      <w:numPr>
        <w:ilvl w:val="7"/>
        <w:numId w:val="6"/>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rsid w:val="00076F1E"/>
    <w:pPr>
      <w:keepNext/>
      <w:widowControl w:val="0"/>
      <w:numPr>
        <w:ilvl w:val="8"/>
        <w:numId w:val="6"/>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076F1E"/>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iPriority w:val="99"/>
    <w:unhideWhenUsed/>
    <w:rsid w:val="00076F1E"/>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basedOn w:val="DefaultParagraphFont"/>
    <w:link w:val="BodyText"/>
    <w:uiPriority w:val="99"/>
    <w:rsid w:val="00076F1E"/>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076F1E"/>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nhideWhenUsed/>
    <w:qFormat/>
    <w:rsid w:val="00076F1E"/>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076F1E"/>
    <w:rPr>
      <w:rFonts w:ascii="Times New Roman" w:eastAsia="SimSun" w:hAnsi="Times New Roman" w:cs="Times New Roman"/>
      <w:kern w:val="0"/>
      <w:sz w:val="18"/>
      <w:szCs w:val="20"/>
      <w:lang w:val="en-U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nhideWhenUsed/>
    <w:qFormat/>
    <w:rsid w:val="00076F1E"/>
    <w:rPr>
      <w:vertAlign w:val="superscript"/>
    </w:rPr>
  </w:style>
  <w:style w:type="paragraph" w:customStyle="1" w:styleId="Footnote">
    <w:name w:val="Footnote"/>
    <w:basedOn w:val="FootnoteText"/>
    <w:qFormat/>
    <w:rsid w:val="00076F1E"/>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1"/>
      </w:numPr>
      <w:spacing w:before="120" w:after="120"/>
    </w:pPr>
    <w:rPr>
      <w:lang w:val="en-CA"/>
    </w:rPr>
  </w:style>
  <w:style w:type="character" w:customStyle="1" w:styleId="Heading2Char">
    <w:name w:val="Heading 2 Char"/>
    <w:basedOn w:val="DefaultParagraphFont"/>
    <w:link w:val="Heading2"/>
    <w:uiPriority w:val="9"/>
    <w:rsid w:val="00076F1E"/>
    <w:rPr>
      <w:rFonts w:ascii="Times New Roman Bold" w:eastAsiaTheme="majorEastAsia" w:hAnsi="Times New Roman Bold" w:cstheme="majorBidi"/>
      <w:b/>
      <w:kern w:val="0"/>
      <w:sz w:val="24"/>
      <w:szCs w:val="26"/>
      <w:lang w:val="en-US"/>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iPriority w:val="99"/>
    <w:rsid w:val="00076F1E"/>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uiPriority w:val="99"/>
    <w:rsid w:val="00076F1E"/>
    <w:rPr>
      <w:rFonts w:ascii="Times New Roman" w:eastAsia="SimSun" w:hAnsi="Times New Roman" w:cs="Times New Roman"/>
      <w:kern w:val="0"/>
      <w:sz w:val="20"/>
      <w:lang w:val="en-US"/>
      <w14:ligatures w14:val="none"/>
    </w:rPr>
  </w:style>
  <w:style w:type="paragraph" w:styleId="Footer">
    <w:name w:val="footer"/>
    <w:basedOn w:val="Normal"/>
    <w:link w:val="FooterChar"/>
    <w:uiPriority w:val="99"/>
    <w:rsid w:val="00076F1E"/>
    <w:pPr>
      <w:tabs>
        <w:tab w:val="center" w:pos="4680"/>
        <w:tab w:val="right" w:pos="9360"/>
      </w:tabs>
    </w:pPr>
    <w:rPr>
      <w:sz w:val="20"/>
    </w:rPr>
  </w:style>
  <w:style w:type="character" w:customStyle="1" w:styleId="FooterChar">
    <w:name w:val="Footer Char"/>
    <w:basedOn w:val="DefaultParagraphFont"/>
    <w:link w:val="Footer"/>
    <w:uiPriority w:val="99"/>
    <w:rsid w:val="00076F1E"/>
    <w:rPr>
      <w:rFonts w:ascii="Times New Roman" w:eastAsia="SimSun" w:hAnsi="Times New Roman" w:cs="Times New Roman"/>
      <w:kern w:val="0"/>
      <w:sz w:val="20"/>
      <w:lang w:val="en-US"/>
      <w14:ligatures w14:val="none"/>
    </w:rPr>
  </w:style>
  <w:style w:type="character" w:customStyle="1" w:styleId="Heading3Char">
    <w:name w:val="Heading 3 Char"/>
    <w:basedOn w:val="DefaultParagraphFont"/>
    <w:link w:val="Heading3"/>
    <w:uiPriority w:val="9"/>
    <w:rsid w:val="00076F1E"/>
    <w:rPr>
      <w:rFonts w:ascii="Times New Roman" w:eastAsiaTheme="majorEastAsia" w:hAnsi="Times New Roman" w:cs="Times New Roman"/>
      <w:b/>
      <w:bCs/>
      <w:kern w:val="0"/>
      <w:lang w:val="en-US"/>
      <w14:ligatures w14:val="none"/>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076F1E"/>
    <w:pPr>
      <w:spacing w:after="240"/>
    </w:pPr>
    <w:rPr>
      <w:b/>
      <w:sz w:val="28"/>
    </w:rPr>
  </w:style>
  <w:style w:type="paragraph" w:customStyle="1" w:styleId="Para30">
    <w:name w:val="Para 3"/>
    <w:basedOn w:val="Normal"/>
    <w:qFormat/>
    <w:rsid w:val="002B00CA"/>
    <w:pPr>
      <w:numPr>
        <w:numId w:val="2"/>
      </w:numPr>
      <w:spacing w:before="120" w:after="120"/>
      <w:ind w:left="1134" w:firstLine="0"/>
    </w:pPr>
  </w:style>
  <w:style w:type="character" w:customStyle="1" w:styleId="Heading4Char">
    <w:name w:val="Heading 4 Char"/>
    <w:basedOn w:val="DefaultParagraphFont"/>
    <w:link w:val="Heading4"/>
    <w:uiPriority w:val="9"/>
    <w:rsid w:val="00076F1E"/>
    <w:rPr>
      <w:rFonts w:ascii="Times New Roman" w:eastAsiaTheme="majorEastAsia" w:hAnsi="Times New Roman" w:cs="Times New Roman"/>
      <w:b/>
      <w:bCs/>
      <w:kern w:val="0"/>
      <w:lang w:val="en-US"/>
      <w14:ligatures w14:val="none"/>
    </w:rPr>
  </w:style>
  <w:style w:type="character" w:customStyle="1" w:styleId="Heading5Char">
    <w:name w:val="Heading 5 Char"/>
    <w:basedOn w:val="DefaultParagraphFont"/>
    <w:link w:val="Heading5"/>
    <w:uiPriority w:val="9"/>
    <w:rsid w:val="00076F1E"/>
    <w:rPr>
      <w:rFonts w:ascii="Times New Roman" w:eastAsiaTheme="majorEastAsia" w:hAnsi="Times New Roman" w:cs="Times New Roman"/>
      <w:i/>
      <w:iCs/>
      <w:kern w:val="0"/>
      <w:lang w:val="en-US"/>
      <w14:ligatures w14:val="none"/>
    </w:rPr>
  </w:style>
  <w:style w:type="character" w:styleId="CommentReference">
    <w:name w:val="annotation reference"/>
    <w:basedOn w:val="DefaultParagraphFont"/>
    <w:uiPriority w:val="99"/>
    <w:unhideWhenUsed/>
    <w:rsid w:val="00076F1E"/>
    <w:rPr>
      <w:sz w:val="16"/>
      <w:szCs w:val="16"/>
    </w:rPr>
  </w:style>
  <w:style w:type="paragraph" w:styleId="CommentText">
    <w:name w:val="annotation text"/>
    <w:basedOn w:val="Normal"/>
    <w:link w:val="CommentTextChar"/>
    <w:uiPriority w:val="99"/>
    <w:rsid w:val="00076F1E"/>
    <w:rPr>
      <w:sz w:val="20"/>
      <w:szCs w:val="20"/>
    </w:rPr>
  </w:style>
  <w:style w:type="character" w:customStyle="1" w:styleId="CommentTextChar">
    <w:name w:val="Comment Text Char"/>
    <w:basedOn w:val="DefaultParagraphFont"/>
    <w:link w:val="CommentText"/>
    <w:uiPriority w:val="99"/>
    <w:rsid w:val="00076F1E"/>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76F1E"/>
    <w:rPr>
      <w:b/>
      <w:bCs/>
    </w:rPr>
  </w:style>
  <w:style w:type="character" w:customStyle="1" w:styleId="CommentSubjectChar">
    <w:name w:val="Comment Subject Char"/>
    <w:basedOn w:val="CommentTextChar"/>
    <w:link w:val="CommentSubject"/>
    <w:uiPriority w:val="99"/>
    <w:semiHidden/>
    <w:rsid w:val="00076F1E"/>
    <w:rPr>
      <w:rFonts w:ascii="Times New Roman" w:eastAsia="SimSun" w:hAnsi="Times New Roman" w:cs="Times New Roman"/>
      <w:b/>
      <w:bCs/>
      <w:kern w:val="0"/>
      <w:sz w:val="20"/>
      <w:szCs w:val="20"/>
      <w:lang w:val="en-US"/>
      <w14:ligatures w14:val="none"/>
    </w:rPr>
  </w:style>
  <w:style w:type="paragraph" w:customStyle="1" w:styleId="Para10">
    <w:name w:val="Para1"/>
    <w:basedOn w:val="Normal"/>
    <w:link w:val="Para1Char"/>
    <w:qFormat/>
    <w:rsid w:val="00554C8E"/>
    <w:pPr>
      <w:spacing w:before="120" w:after="120"/>
    </w:pPr>
    <w:rPr>
      <w:snapToGrid w:val="0"/>
      <w:szCs w:val="18"/>
    </w:rPr>
  </w:style>
  <w:style w:type="character" w:customStyle="1" w:styleId="Para1Char">
    <w:name w:val="Para1 Char"/>
    <w:link w:val="Para10"/>
    <w:qFormat/>
    <w:locked/>
    <w:rsid w:val="00554C8E"/>
    <w:rPr>
      <w:rFonts w:ascii="Times New Roman" w:eastAsia="Times New Roman" w:hAnsi="Times New Roman" w:cs="Times New Roman"/>
      <w:snapToGrid w:val="0"/>
      <w:kern w:val="0"/>
      <w:szCs w:val="18"/>
      <w:lang w:val="en-GB"/>
      <w14:ligatures w14:val="none"/>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076F1E"/>
    <w:pPr>
      <w:ind w:left="720"/>
      <w:contextualSpacing/>
    </w:pPr>
  </w:style>
  <w:style w:type="character" w:styleId="Hyperlink">
    <w:name w:val="Hyperlink"/>
    <w:basedOn w:val="DefaultParagraphFont"/>
    <w:uiPriority w:val="99"/>
    <w:unhideWhenUsed/>
    <w:rsid w:val="00076F1E"/>
    <w:rPr>
      <w:rFonts w:ascii="Times New Roman" w:hAnsi="Times New Roman"/>
      <w:color w:val="0563C1" w:themeColor="hyperlink"/>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80ABB"/>
    <w:pPr>
      <w:spacing w:after="160" w:line="240" w:lineRule="exact"/>
    </w:pPr>
    <w:rPr>
      <w:rFonts w:asciiTheme="minorHAnsi" w:eastAsiaTheme="minorHAnsi" w:hAnsiTheme="minorHAnsi" w:cstheme="minorBidi"/>
      <w:kern w:val="2"/>
      <w:vertAlign w:val="superscript"/>
      <w:lang w:val="en-CA"/>
      <w14:ligatures w14:val="standardContextual"/>
    </w:rPr>
  </w:style>
  <w:style w:type="paragraph" w:customStyle="1" w:styleId="pf0">
    <w:name w:val="pf0"/>
    <w:basedOn w:val="Normal"/>
    <w:rsid w:val="00E50AA0"/>
    <w:pPr>
      <w:spacing w:before="100" w:beforeAutospacing="1" w:after="100" w:afterAutospacing="1"/>
      <w:jc w:val="left"/>
    </w:pPr>
    <w:rPr>
      <w:sz w:val="24"/>
      <w:lang w:val="nl-BE" w:eastAsia="nl-BE"/>
    </w:rPr>
  </w:style>
  <w:style w:type="paragraph" w:styleId="BalloonText">
    <w:name w:val="Balloon Text"/>
    <w:basedOn w:val="Normal"/>
    <w:link w:val="BalloonTextChar"/>
    <w:uiPriority w:val="99"/>
    <w:semiHidden/>
    <w:unhideWhenUsed/>
    <w:rsid w:val="00EF5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8A"/>
    <w:rPr>
      <w:rFonts w:ascii="Segoe UI" w:eastAsia="Times New Roman" w:hAnsi="Segoe UI" w:cs="Segoe UI"/>
      <w:kern w:val="0"/>
      <w:sz w:val="18"/>
      <w:szCs w:val="18"/>
      <w:lang w:val="en-GB"/>
      <w14:ligatures w14:val="none"/>
    </w:rPr>
  </w:style>
  <w:style w:type="paragraph" w:styleId="Revision">
    <w:name w:val="Revision"/>
    <w:hidden/>
    <w:uiPriority w:val="99"/>
    <w:semiHidden/>
    <w:rsid w:val="005B4710"/>
    <w:pPr>
      <w:spacing w:after="0" w:line="240" w:lineRule="auto"/>
    </w:pPr>
    <w:rPr>
      <w:rFonts w:ascii="Times New Roman" w:eastAsia="Times New Roman" w:hAnsi="Times New Roman" w:cs="Times New Roman"/>
      <w:kern w:val="0"/>
      <w:szCs w:val="24"/>
      <w:lang w:val="en-GB"/>
      <w14:ligatures w14:val="none"/>
    </w:rPr>
  </w:style>
  <w:style w:type="character" w:customStyle="1" w:styleId="UnresolvedMention1">
    <w:name w:val="Unresolved Mention1"/>
    <w:basedOn w:val="DefaultParagraphFont"/>
    <w:uiPriority w:val="99"/>
    <w:semiHidden/>
    <w:unhideWhenUsed/>
    <w:rsid w:val="00423DFD"/>
    <w:rPr>
      <w:color w:val="605E5C"/>
      <w:shd w:val="clear" w:color="auto" w:fill="E1DFDD"/>
    </w:rPr>
  </w:style>
  <w:style w:type="character" w:customStyle="1" w:styleId="normaltextrun">
    <w:name w:val="normaltextrun"/>
    <w:basedOn w:val="DefaultParagraphFont"/>
    <w:rsid w:val="00074C7F"/>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074C7F"/>
    <w:rPr>
      <w:rFonts w:ascii="Times New Roman" w:eastAsia="SimSun" w:hAnsi="Times New Roman" w:cs="Times New Roman"/>
      <w:kern w:val="0"/>
      <w:lang w:val="en-US"/>
      <w14:ligatures w14:val="none"/>
    </w:rPr>
  </w:style>
  <w:style w:type="paragraph" w:customStyle="1" w:styleId="Default">
    <w:name w:val="Default"/>
    <w:rsid w:val="00741CD8"/>
    <w:pPr>
      <w:autoSpaceDE w:val="0"/>
      <w:autoSpaceDN w:val="0"/>
      <w:adjustRightInd w:val="0"/>
      <w:spacing w:after="0" w:line="240" w:lineRule="auto"/>
    </w:pPr>
    <w:rPr>
      <w:rFonts w:ascii="Times New Roman" w:eastAsiaTheme="minorEastAsia" w:hAnsi="Times New Roman" w:cs="Times New Roman"/>
      <w:color w:val="000000"/>
      <w:kern w:val="0"/>
      <w:sz w:val="24"/>
      <w:szCs w:val="24"/>
      <w:lang w:val="nl-BE"/>
      <w14:ligatures w14:val="none"/>
    </w:rPr>
  </w:style>
  <w:style w:type="character" w:styleId="FollowedHyperlink">
    <w:name w:val="FollowedHyperlink"/>
    <w:basedOn w:val="DefaultParagraphFont"/>
    <w:uiPriority w:val="99"/>
    <w:unhideWhenUsed/>
    <w:rsid w:val="00985B9C"/>
    <w:rPr>
      <w:color w:val="954F72" w:themeColor="followedHyperlink"/>
      <w:u w:val="single"/>
    </w:rPr>
  </w:style>
  <w:style w:type="character" w:customStyle="1" w:styleId="ui-provider">
    <w:name w:val="ui-provider"/>
    <w:basedOn w:val="DefaultParagraphFont"/>
    <w:rsid w:val="00262ECE"/>
  </w:style>
  <w:style w:type="paragraph" w:customStyle="1" w:styleId="AEDistrNormal">
    <w:name w:val="AE_DistrNormal"/>
    <w:basedOn w:val="Normal"/>
    <w:unhideWhenUsed/>
    <w:rsid w:val="00076F1E"/>
    <w:pPr>
      <w:jc w:val="left"/>
    </w:pPr>
    <w:rPr>
      <w:lang w:val="en-GB"/>
    </w:rPr>
  </w:style>
  <w:style w:type="paragraph" w:customStyle="1" w:styleId="AASmallLogo">
    <w:name w:val="AA_SmallLogo"/>
    <w:basedOn w:val="AEDistrNormal"/>
    <w:unhideWhenUsed/>
    <w:rsid w:val="00076F1E"/>
    <w:pPr>
      <w:spacing w:before="40"/>
    </w:pPr>
    <w:rPr>
      <w:sz w:val="4"/>
    </w:rPr>
  </w:style>
  <w:style w:type="paragraph" w:customStyle="1" w:styleId="ABSymbol">
    <w:name w:val="AB_Symbol"/>
    <w:basedOn w:val="Normal"/>
    <w:qFormat/>
    <w:rsid w:val="00076F1E"/>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076F1E"/>
    <w:rPr>
      <w:lang w:val="en-GB"/>
    </w:rPr>
  </w:style>
  <w:style w:type="paragraph" w:customStyle="1" w:styleId="ACLargeLogo">
    <w:name w:val="AC_LargeLogo"/>
    <w:basedOn w:val="AFCorNotNormal"/>
    <w:next w:val="Normal"/>
    <w:unhideWhenUsed/>
    <w:rsid w:val="00076F1E"/>
    <w:pPr>
      <w:spacing w:before="120"/>
      <w:contextualSpacing/>
      <w:jc w:val="left"/>
    </w:pPr>
    <w:rPr>
      <w:sz w:val="8"/>
    </w:rPr>
  </w:style>
  <w:style w:type="paragraph" w:customStyle="1" w:styleId="AEDistrNormal6pt">
    <w:name w:val="AE_DistrNormal6pt"/>
    <w:basedOn w:val="AEDistrNormal"/>
    <w:next w:val="AFCorNotNormal"/>
    <w:unhideWhenUsed/>
    <w:qFormat/>
    <w:rsid w:val="00076F1E"/>
    <w:pPr>
      <w:spacing w:before="120"/>
    </w:pPr>
  </w:style>
  <w:style w:type="paragraph" w:customStyle="1" w:styleId="AENormal">
    <w:name w:val="AE_Normal"/>
    <w:basedOn w:val="Normal"/>
    <w:rsid w:val="00076F1E"/>
    <w:rPr>
      <w:lang w:val="en-GB"/>
    </w:rPr>
  </w:style>
  <w:style w:type="paragraph" w:customStyle="1" w:styleId="AFCorNot12Bold">
    <w:name w:val="AF_CorNot12Bold"/>
    <w:basedOn w:val="AFCorNotNormal"/>
    <w:next w:val="AFCorNotNormal"/>
    <w:unhideWhenUsed/>
    <w:qFormat/>
    <w:rsid w:val="00076F1E"/>
    <w:pPr>
      <w:jc w:val="left"/>
    </w:pPr>
    <w:rPr>
      <w:b/>
      <w:sz w:val="24"/>
    </w:rPr>
  </w:style>
  <w:style w:type="paragraph" w:customStyle="1" w:styleId="AFCorNotBold">
    <w:name w:val="AF_CorNotBold"/>
    <w:basedOn w:val="AFCorNotNormal"/>
    <w:next w:val="AFCorNotNormal"/>
    <w:unhideWhenUsed/>
    <w:qFormat/>
    <w:rsid w:val="00076F1E"/>
    <w:rPr>
      <w:b/>
    </w:rPr>
  </w:style>
  <w:style w:type="paragraph" w:customStyle="1" w:styleId="AISpacer">
    <w:name w:val="AI_Spacer"/>
    <w:next w:val="Normal"/>
    <w:unhideWhenUsed/>
    <w:qFormat/>
    <w:rsid w:val="00076F1E"/>
    <w:pPr>
      <w:spacing w:after="0" w:line="240" w:lineRule="auto"/>
    </w:pPr>
    <w:rPr>
      <w:rFonts w:ascii="Times New Roman" w:hAnsi="Times New Roman" w:cs="Times New Roman"/>
      <w:kern w:val="0"/>
      <w:sz w:val="2"/>
      <w:lang w:val="en-GB"/>
      <w14:ligatures w14:val="none"/>
    </w:rPr>
  </w:style>
  <w:style w:type="paragraph" w:customStyle="1" w:styleId="CBDAgendaItem">
    <w:name w:val="CBD_AgendaItem"/>
    <w:basedOn w:val="Normal"/>
    <w:qFormat/>
    <w:rsid w:val="00076F1E"/>
    <w:pPr>
      <w:keepNext/>
      <w:keepLines/>
      <w:spacing w:before="240" w:after="120"/>
      <w:jc w:val="left"/>
    </w:pPr>
    <w:rPr>
      <w:b/>
      <w:sz w:val="24"/>
    </w:rPr>
  </w:style>
  <w:style w:type="paragraph" w:customStyle="1" w:styleId="CBDNormal">
    <w:name w:val="CBD_Normal"/>
    <w:unhideWhenUsed/>
    <w:qFormat/>
    <w:rsid w:val="00076F1E"/>
    <w:pPr>
      <w:tabs>
        <w:tab w:val="left" w:pos="567"/>
        <w:tab w:val="left" w:pos="1134"/>
        <w:tab w:val="left" w:pos="1701"/>
        <w:tab w:val="left" w:pos="2268"/>
        <w:tab w:val="left" w:pos="2835"/>
        <w:tab w:val="left" w:pos="3402"/>
      </w:tabs>
      <w:spacing w:after="0" w:line="240" w:lineRule="auto"/>
      <w:jc w:val="both"/>
    </w:pPr>
    <w:rPr>
      <w:rFonts w:ascii="Times New Roman" w:hAnsi="Times New Roman" w:cs="Times New Roman"/>
      <w:kern w:val="0"/>
      <w:lang w:val="en-US"/>
      <w14:ligatures w14:val="none"/>
    </w:rPr>
  </w:style>
  <w:style w:type="paragraph" w:customStyle="1" w:styleId="CBDAnnex">
    <w:name w:val="CBD_Annex"/>
    <w:basedOn w:val="CBDNormal"/>
    <w:next w:val="Normal"/>
    <w:qFormat/>
    <w:rsid w:val="00076F1E"/>
    <w:pPr>
      <w:keepNext/>
      <w:keepLines/>
      <w:spacing w:after="240"/>
      <w:jc w:val="left"/>
    </w:pPr>
    <w:rPr>
      <w:b/>
      <w:sz w:val="28"/>
      <w:lang w:val="en-GB" w:bidi="ar-SY"/>
    </w:rPr>
  </w:style>
  <w:style w:type="paragraph" w:customStyle="1" w:styleId="CBDDesicionAnnex">
    <w:name w:val="CBD_DesicionAnnex"/>
    <w:basedOn w:val="CBDNormal"/>
    <w:next w:val="Normal"/>
    <w:qFormat/>
    <w:rsid w:val="00076F1E"/>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076F1E"/>
    <w:pPr>
      <w:spacing w:after="120"/>
      <w:ind w:left="567"/>
    </w:pPr>
  </w:style>
  <w:style w:type="paragraph" w:customStyle="1" w:styleId="CBDFigureTitle">
    <w:name w:val="CBD_FigureTitle"/>
    <w:basedOn w:val="CBDNormal"/>
    <w:next w:val="Normal"/>
    <w:qFormat/>
    <w:rsid w:val="00076F1E"/>
    <w:pPr>
      <w:keepNext/>
      <w:keepLines/>
      <w:spacing w:before="120" w:after="60"/>
      <w:ind w:left="567"/>
      <w:jc w:val="left"/>
    </w:pPr>
    <w:rPr>
      <w:b/>
    </w:rPr>
  </w:style>
  <w:style w:type="paragraph" w:customStyle="1" w:styleId="CBDFooter">
    <w:name w:val="CBD_Footer"/>
    <w:basedOn w:val="CBDNormal"/>
    <w:qFormat/>
    <w:rsid w:val="00076F1E"/>
    <w:rPr>
      <w:sz w:val="20"/>
    </w:rPr>
  </w:style>
  <w:style w:type="paragraph" w:customStyle="1" w:styleId="CBDFootnoteText">
    <w:name w:val="CBD_Footnote_Text"/>
    <w:basedOn w:val="CBDNormal"/>
    <w:qFormat/>
    <w:rsid w:val="00076F1E"/>
    <w:pPr>
      <w:jc w:val="left"/>
    </w:pPr>
    <w:rPr>
      <w:sz w:val="18"/>
    </w:rPr>
  </w:style>
  <w:style w:type="paragraph" w:customStyle="1" w:styleId="CBDH1">
    <w:name w:val="CBD_H1"/>
    <w:basedOn w:val="CBDNormal"/>
    <w:qFormat/>
    <w:rsid w:val="00076F1E"/>
    <w:pPr>
      <w:keepNext/>
      <w:keepLines/>
      <w:spacing w:before="240" w:after="120"/>
      <w:ind w:left="567" w:hanging="567"/>
      <w:jc w:val="left"/>
      <w:outlineLvl w:val="0"/>
    </w:pPr>
    <w:rPr>
      <w:b/>
      <w:sz w:val="28"/>
      <w:lang w:val="en-GB"/>
    </w:rPr>
  </w:style>
  <w:style w:type="paragraph" w:customStyle="1" w:styleId="CBDNormalNumber">
    <w:name w:val="CBD_Normal_Number"/>
    <w:basedOn w:val="CBDNormal"/>
    <w:qFormat/>
    <w:rsid w:val="00076F1E"/>
    <w:pPr>
      <w:numPr>
        <w:numId w:val="3"/>
      </w:numPr>
      <w:tabs>
        <w:tab w:val="left" w:pos="3969"/>
      </w:tabs>
      <w:spacing w:before="120" w:after="120"/>
    </w:pPr>
    <w:rPr>
      <w:lang w:val="en-GB"/>
    </w:rPr>
  </w:style>
  <w:style w:type="paragraph" w:customStyle="1" w:styleId="CBDH2">
    <w:name w:val="CBD_H2"/>
    <w:basedOn w:val="CBDNormalNumber"/>
    <w:qFormat/>
    <w:rsid w:val="00076F1E"/>
    <w:pPr>
      <w:keepNext/>
      <w:keepLines/>
      <w:numPr>
        <w:numId w:val="0"/>
      </w:numPr>
      <w:ind w:left="567" w:hanging="567"/>
    </w:pPr>
    <w:rPr>
      <w:b/>
      <w:sz w:val="24"/>
    </w:rPr>
  </w:style>
  <w:style w:type="paragraph" w:customStyle="1" w:styleId="CBDH3">
    <w:name w:val="CBD_H3"/>
    <w:basedOn w:val="CBDNormal"/>
    <w:qFormat/>
    <w:rsid w:val="00076F1E"/>
    <w:pPr>
      <w:keepNext/>
      <w:keepLines/>
      <w:spacing w:before="120" w:after="120"/>
      <w:ind w:left="567" w:hanging="567"/>
      <w:jc w:val="left"/>
    </w:pPr>
    <w:rPr>
      <w:b/>
    </w:rPr>
  </w:style>
  <w:style w:type="paragraph" w:customStyle="1" w:styleId="CBDH4">
    <w:name w:val="CBD_H4"/>
    <w:basedOn w:val="CBDNormal"/>
    <w:rsid w:val="00076F1E"/>
    <w:pPr>
      <w:keepNext/>
      <w:keepLines/>
      <w:spacing w:before="120" w:after="120"/>
      <w:ind w:left="567" w:hanging="567"/>
      <w:jc w:val="left"/>
    </w:pPr>
    <w:rPr>
      <w:b/>
    </w:rPr>
  </w:style>
  <w:style w:type="paragraph" w:customStyle="1" w:styleId="CBDH5">
    <w:name w:val="CBD_H5"/>
    <w:basedOn w:val="CBDNormal"/>
    <w:qFormat/>
    <w:rsid w:val="00076F1E"/>
    <w:pPr>
      <w:keepNext/>
      <w:keepLines/>
      <w:spacing w:before="120" w:after="120"/>
      <w:ind w:left="567" w:hanging="567"/>
      <w:jc w:val="left"/>
    </w:pPr>
    <w:rPr>
      <w:i/>
    </w:rPr>
  </w:style>
  <w:style w:type="paragraph" w:customStyle="1" w:styleId="CBDHeader">
    <w:name w:val="CBD_Header"/>
    <w:basedOn w:val="CBDNormal"/>
    <w:next w:val="CBDFooter"/>
    <w:qFormat/>
    <w:rsid w:val="00076F1E"/>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076F1E"/>
    <w:pPr>
      <w:numPr>
        <w:numId w:val="3"/>
      </w:numPr>
    </w:pPr>
  </w:style>
  <w:style w:type="numbering" w:customStyle="1" w:styleId="CBDHeadings">
    <w:name w:val="CBD_Headings"/>
    <w:basedOn w:val="ListCBD"/>
    <w:uiPriority w:val="99"/>
    <w:rsid w:val="00076F1E"/>
    <w:pPr>
      <w:numPr>
        <w:numId w:val="4"/>
      </w:numPr>
    </w:pPr>
  </w:style>
  <w:style w:type="paragraph" w:customStyle="1" w:styleId="CBDNormalNoNumber">
    <w:name w:val="CBD_Normal_NoNumber"/>
    <w:basedOn w:val="CBDNormal"/>
    <w:qFormat/>
    <w:rsid w:val="00076F1E"/>
    <w:pPr>
      <w:spacing w:after="120"/>
      <w:ind w:left="567"/>
    </w:pPr>
  </w:style>
  <w:style w:type="paragraph" w:customStyle="1" w:styleId="CBDSubTitle">
    <w:name w:val="CBD_SubTitle"/>
    <w:basedOn w:val="CBDNormal"/>
    <w:qFormat/>
    <w:rsid w:val="00076F1E"/>
    <w:pPr>
      <w:keepNext/>
      <w:keepLines/>
      <w:spacing w:before="240" w:after="240"/>
      <w:ind w:left="567"/>
      <w:jc w:val="left"/>
    </w:pPr>
    <w:rPr>
      <w:b/>
      <w:lang w:val="en-GB"/>
    </w:rPr>
  </w:style>
  <w:style w:type="paragraph" w:customStyle="1" w:styleId="CBDTableNormal">
    <w:name w:val="CBD_TableNormal"/>
    <w:basedOn w:val="CBDNormal"/>
    <w:qFormat/>
    <w:rsid w:val="00076F1E"/>
    <w:pPr>
      <w:spacing w:before="40" w:after="80"/>
      <w:jc w:val="left"/>
    </w:pPr>
    <w:rPr>
      <w:sz w:val="20"/>
    </w:rPr>
  </w:style>
  <w:style w:type="paragraph" w:customStyle="1" w:styleId="CBDTableTitle">
    <w:name w:val="CBD_TableTitle"/>
    <w:basedOn w:val="CBDNormal"/>
    <w:qFormat/>
    <w:rsid w:val="00076F1E"/>
    <w:pPr>
      <w:keepNext/>
      <w:keepLines/>
      <w:spacing w:before="120" w:after="60"/>
      <w:ind w:left="567"/>
      <w:jc w:val="left"/>
    </w:pPr>
    <w:rPr>
      <w:b/>
    </w:rPr>
  </w:style>
  <w:style w:type="paragraph" w:customStyle="1" w:styleId="CBDTitle">
    <w:name w:val="CBD_Title"/>
    <w:basedOn w:val="CBDNormal"/>
    <w:next w:val="CBDSubTitle"/>
    <w:qFormat/>
    <w:rsid w:val="00076F1E"/>
    <w:pPr>
      <w:keepNext/>
      <w:keepLines/>
      <w:spacing w:before="240" w:after="240"/>
      <w:ind w:left="567"/>
      <w:jc w:val="left"/>
    </w:pPr>
    <w:rPr>
      <w:b/>
      <w:sz w:val="28"/>
      <w:lang w:val="en-GB"/>
    </w:rPr>
  </w:style>
  <w:style w:type="character" w:customStyle="1" w:styleId="Heading6Char">
    <w:name w:val="Heading 6 Char"/>
    <w:basedOn w:val="DefaultParagraphFont"/>
    <w:link w:val="Heading6"/>
    <w:rsid w:val="00076F1E"/>
    <w:rPr>
      <w:rFonts w:ascii="Times New Roman" w:hAnsi="Times New Roman" w:cs="Times New Roman"/>
      <w:bCs/>
      <w:kern w:val="0"/>
      <w:sz w:val="24"/>
      <w:lang w:val="en-US"/>
      <w14:ligatures w14:val="none"/>
    </w:rPr>
  </w:style>
  <w:style w:type="character" w:customStyle="1" w:styleId="Heading7Char">
    <w:name w:val="Heading 7 Char"/>
    <w:basedOn w:val="DefaultParagraphFont"/>
    <w:link w:val="Heading7"/>
    <w:rsid w:val="00076F1E"/>
    <w:rPr>
      <w:rFonts w:ascii="Times New Roman" w:hAnsi="Times New Roman" w:cs="Times New Roman"/>
      <w:b/>
      <w:snapToGrid w:val="0"/>
      <w:kern w:val="0"/>
      <w:u w:val="single"/>
      <w:lang w:val="en-US"/>
      <w14:ligatures w14:val="none"/>
    </w:rPr>
  </w:style>
  <w:style w:type="character" w:customStyle="1" w:styleId="Heading8Char">
    <w:name w:val="Heading 8 Char"/>
    <w:basedOn w:val="DefaultParagraphFont"/>
    <w:link w:val="Heading8"/>
    <w:rsid w:val="00076F1E"/>
    <w:rPr>
      <w:rFonts w:ascii="Times New Roman" w:hAnsi="Times New Roman" w:cs="Times New Roman"/>
      <w:b/>
      <w:snapToGrid w:val="0"/>
      <w:kern w:val="0"/>
      <w:u w:val="single"/>
      <w:lang w:val="en-US"/>
      <w14:ligatures w14:val="none"/>
    </w:rPr>
  </w:style>
  <w:style w:type="character" w:customStyle="1" w:styleId="Heading9Char">
    <w:name w:val="Heading 9 Char"/>
    <w:basedOn w:val="DefaultParagraphFont"/>
    <w:link w:val="Heading9"/>
    <w:rsid w:val="00076F1E"/>
    <w:rPr>
      <w:rFonts w:ascii="Times New Roman" w:hAnsi="Times New Roman" w:cs="Times New Roman"/>
      <w:snapToGrid w:val="0"/>
      <w:kern w:val="0"/>
      <w:u w:val="single"/>
      <w:lang w:val="en-US"/>
      <w14:ligatures w14:val="none"/>
    </w:rPr>
  </w:style>
  <w:style w:type="paragraph" w:styleId="List">
    <w:name w:val="List"/>
    <w:basedOn w:val="Normal"/>
    <w:semiHidden/>
    <w:rsid w:val="00076F1E"/>
    <w:pPr>
      <w:contextualSpacing/>
    </w:pPr>
  </w:style>
  <w:style w:type="table" w:customStyle="1" w:styleId="TableGrid2">
    <w:name w:val="Table Grid2"/>
    <w:basedOn w:val="TableNormal"/>
    <w:next w:val="TableGrid"/>
    <w:uiPriority w:val="39"/>
    <w:qFormat/>
    <w:rsid w:val="006D6CF1"/>
    <w:pPr>
      <w:spacing w:after="0" w:line="240" w:lineRule="auto"/>
    </w:pPr>
    <w:rPr>
      <w:rFonts w:eastAsiaTheme="minorEastAsia"/>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9117A"/>
    <w:rPr>
      <w:i/>
      <w:iCs/>
    </w:rPr>
  </w:style>
  <w:style w:type="character" w:customStyle="1" w:styleId="Mention1">
    <w:name w:val="Mention1"/>
    <w:basedOn w:val="DefaultParagraphFont"/>
    <w:uiPriority w:val="99"/>
    <w:unhideWhenUsed/>
    <w:rsid w:val="0079117A"/>
    <w:rPr>
      <w:color w:val="2B579A"/>
      <w:shd w:val="clear" w:color="auto" w:fill="E6E6E6"/>
    </w:rPr>
  </w:style>
  <w:style w:type="character" w:customStyle="1" w:styleId="cf01">
    <w:name w:val="cf01"/>
    <w:basedOn w:val="DefaultParagraphFont"/>
    <w:rsid w:val="0079117A"/>
    <w:rPr>
      <w:rFonts w:ascii="Segoe UI" w:hAnsi="Segoe UI" w:cs="Segoe UI" w:hint="default"/>
      <w:sz w:val="18"/>
      <w:szCs w:val="18"/>
    </w:rPr>
  </w:style>
  <w:style w:type="paragraph" w:customStyle="1" w:styleId="meetingname">
    <w:name w:val="meeting name"/>
    <w:basedOn w:val="Normal"/>
    <w:qFormat/>
    <w:rsid w:val="0079117A"/>
    <w:pPr>
      <w:tabs>
        <w:tab w:val="clear" w:pos="567"/>
        <w:tab w:val="clear" w:pos="1134"/>
        <w:tab w:val="clear" w:pos="1701"/>
        <w:tab w:val="clear" w:pos="2268"/>
      </w:tabs>
      <w:ind w:left="142" w:right="4218" w:hanging="142"/>
    </w:pPr>
    <w:rPr>
      <w:rFonts w:eastAsia="Times New Roman"/>
      <w:caps/>
      <w:lang w:val="en-GB"/>
    </w:rPr>
  </w:style>
  <w:style w:type="paragraph" w:styleId="BodyTextIndent">
    <w:name w:val="Body Text Indent"/>
    <w:basedOn w:val="Normal"/>
    <w:link w:val="BodyTextIndentChar"/>
    <w:uiPriority w:val="99"/>
    <w:rsid w:val="0079117A"/>
    <w:pPr>
      <w:tabs>
        <w:tab w:val="clear" w:pos="567"/>
        <w:tab w:val="clear" w:pos="1134"/>
        <w:tab w:val="clear" w:pos="1701"/>
        <w:tab w:val="clear" w:pos="2268"/>
      </w:tabs>
      <w:spacing w:before="120" w:after="120"/>
      <w:ind w:left="1440" w:hanging="720"/>
      <w:jc w:val="left"/>
    </w:pPr>
    <w:rPr>
      <w:rFonts w:eastAsia="Times New Roman"/>
      <w:szCs w:val="24"/>
      <w:lang w:val="en-GB"/>
    </w:rPr>
  </w:style>
  <w:style w:type="character" w:customStyle="1" w:styleId="BodyTextIndentChar">
    <w:name w:val="Body Text Indent Char"/>
    <w:basedOn w:val="DefaultParagraphFont"/>
    <w:link w:val="BodyTextIndent"/>
    <w:rsid w:val="0079117A"/>
    <w:rPr>
      <w:rFonts w:ascii="Times New Roman" w:eastAsia="Times New Roman" w:hAnsi="Times New Roman" w:cs="Times New Roman"/>
      <w:kern w:val="0"/>
      <w:szCs w:val="24"/>
      <w:lang w:val="en-GB"/>
      <w14:ligatures w14:val="none"/>
    </w:rPr>
  </w:style>
  <w:style w:type="character" w:styleId="EndnoteReference">
    <w:name w:val="endnote reference"/>
    <w:semiHidden/>
    <w:rsid w:val="0079117A"/>
    <w:rPr>
      <w:vertAlign w:val="superscript"/>
    </w:rPr>
  </w:style>
  <w:style w:type="paragraph" w:styleId="EndnoteText">
    <w:name w:val="endnote text"/>
    <w:basedOn w:val="Normal"/>
    <w:link w:val="EndnoteTextChar"/>
    <w:semiHidden/>
    <w:rsid w:val="0079117A"/>
    <w:pPr>
      <w:widowControl w:val="0"/>
      <w:tabs>
        <w:tab w:val="clear" w:pos="567"/>
        <w:tab w:val="clear" w:pos="1134"/>
        <w:tab w:val="clear" w:pos="1701"/>
        <w:tab w:val="clear" w:pos="2268"/>
        <w:tab w:val="left" w:pos="-720"/>
      </w:tabs>
      <w:suppressAutoHyphens/>
    </w:pPr>
    <w:rPr>
      <w:rFonts w:ascii="Courier New" w:eastAsia="Times New Roman" w:hAnsi="Courier New"/>
      <w:szCs w:val="24"/>
      <w:lang w:val="en-GB"/>
    </w:rPr>
  </w:style>
  <w:style w:type="character" w:customStyle="1" w:styleId="EndnoteTextChar">
    <w:name w:val="Endnote Text Char"/>
    <w:basedOn w:val="DefaultParagraphFont"/>
    <w:link w:val="EndnoteText"/>
    <w:semiHidden/>
    <w:rsid w:val="0079117A"/>
    <w:rPr>
      <w:rFonts w:ascii="Courier New" w:eastAsia="Times New Roman" w:hAnsi="Courier New" w:cs="Times New Roman"/>
      <w:kern w:val="0"/>
      <w:szCs w:val="24"/>
      <w:lang w:val="en-GB"/>
      <w14:ligatures w14:val="none"/>
    </w:rPr>
  </w:style>
  <w:style w:type="paragraph" w:customStyle="1" w:styleId="HEADING">
    <w:name w:val="HEADING"/>
    <w:basedOn w:val="Normal"/>
    <w:rsid w:val="0079117A"/>
    <w:pPr>
      <w:keepNext/>
      <w:tabs>
        <w:tab w:val="clear" w:pos="567"/>
        <w:tab w:val="clear" w:pos="1134"/>
        <w:tab w:val="clear" w:pos="1701"/>
        <w:tab w:val="clear" w:pos="2268"/>
      </w:tabs>
      <w:spacing w:before="240" w:after="120"/>
      <w:jc w:val="center"/>
    </w:pPr>
    <w:rPr>
      <w:rFonts w:eastAsia="Times New Roman"/>
      <w:b/>
      <w:bCs/>
      <w:caps/>
      <w:szCs w:val="24"/>
      <w:lang w:val="en-GB"/>
    </w:rPr>
  </w:style>
  <w:style w:type="paragraph" w:customStyle="1" w:styleId="HEADINGNOTFORTOC">
    <w:name w:val="HEADING (NOT FOR TOC)"/>
    <w:basedOn w:val="Heading1"/>
    <w:next w:val="Heading2"/>
    <w:rsid w:val="0079117A"/>
    <w:pPr>
      <w:keepLines w:val="0"/>
      <w:numPr>
        <w:numId w:val="0"/>
      </w:numPr>
      <w:tabs>
        <w:tab w:val="clear" w:pos="1134"/>
        <w:tab w:val="clear" w:pos="1701"/>
        <w:tab w:val="clear" w:pos="2268"/>
        <w:tab w:val="left" w:pos="720"/>
      </w:tabs>
      <w:jc w:val="center"/>
    </w:pPr>
    <w:rPr>
      <w:rFonts w:eastAsia="Times New Roman" w:cs="Times New Roman"/>
      <w:bCs w:val="0"/>
      <w:caps/>
      <w:kern w:val="0"/>
      <w:sz w:val="22"/>
      <w:szCs w:val="24"/>
      <w:lang w:val="en-GB"/>
      <w14:ligatures w14:val="none"/>
    </w:rPr>
  </w:style>
  <w:style w:type="paragraph" w:customStyle="1" w:styleId="Heading1longmultiline">
    <w:name w:val="Heading 1 (long multiline)"/>
    <w:basedOn w:val="Heading1"/>
    <w:rsid w:val="0079117A"/>
    <w:pPr>
      <w:keepLines w:val="0"/>
      <w:numPr>
        <w:numId w:val="0"/>
      </w:numPr>
      <w:tabs>
        <w:tab w:val="clear" w:pos="1134"/>
        <w:tab w:val="clear" w:pos="1701"/>
        <w:tab w:val="clear" w:pos="2268"/>
        <w:tab w:val="left" w:pos="720"/>
      </w:tabs>
      <w:ind w:left="1843" w:hanging="1134"/>
    </w:pPr>
    <w:rPr>
      <w:rFonts w:eastAsia="Times New Roman" w:cs="Times New Roman"/>
      <w:bCs w:val="0"/>
      <w:caps/>
      <w:kern w:val="0"/>
      <w:sz w:val="22"/>
      <w:szCs w:val="24"/>
      <w:lang w:val="en-GB"/>
      <w14:ligatures w14:val="none"/>
    </w:rPr>
  </w:style>
  <w:style w:type="paragraph" w:customStyle="1" w:styleId="Heading1multiline">
    <w:name w:val="Heading 1 (multiline)"/>
    <w:basedOn w:val="Heading1"/>
    <w:rsid w:val="0079117A"/>
    <w:pPr>
      <w:keepLines w:val="0"/>
      <w:numPr>
        <w:numId w:val="0"/>
      </w:numPr>
      <w:tabs>
        <w:tab w:val="clear" w:pos="1134"/>
        <w:tab w:val="clear" w:pos="1701"/>
        <w:tab w:val="clear" w:pos="2268"/>
        <w:tab w:val="left" w:pos="720"/>
      </w:tabs>
      <w:ind w:left="1843" w:right="996" w:hanging="567"/>
    </w:pPr>
    <w:rPr>
      <w:rFonts w:eastAsia="Times New Roman" w:cs="Times New Roman"/>
      <w:bCs w:val="0"/>
      <w:caps/>
      <w:kern w:val="0"/>
      <w:sz w:val="22"/>
      <w:szCs w:val="24"/>
      <w:lang w:val="en-GB"/>
      <w14:ligatures w14:val="none"/>
    </w:rPr>
  </w:style>
  <w:style w:type="paragraph" w:customStyle="1" w:styleId="Heading2multiline">
    <w:name w:val="Heading 2 (multiline)"/>
    <w:basedOn w:val="Heading1"/>
    <w:next w:val="Normal"/>
    <w:rsid w:val="0079117A"/>
    <w:pPr>
      <w:keepLines w:val="0"/>
      <w:numPr>
        <w:numId w:val="0"/>
      </w:numPr>
      <w:tabs>
        <w:tab w:val="clear" w:pos="1134"/>
        <w:tab w:val="clear" w:pos="1701"/>
        <w:tab w:val="clear" w:pos="2268"/>
        <w:tab w:val="left" w:pos="720"/>
      </w:tabs>
      <w:spacing w:before="120"/>
      <w:ind w:left="1843" w:right="998" w:hanging="567"/>
    </w:pPr>
    <w:rPr>
      <w:rFonts w:eastAsia="Times New Roman" w:cs="Times New Roman"/>
      <w:bCs w:val="0"/>
      <w:i/>
      <w:iCs/>
      <w:kern w:val="0"/>
      <w:sz w:val="22"/>
      <w:szCs w:val="24"/>
      <w:lang w:val="en-GB"/>
      <w14:ligatures w14:val="none"/>
    </w:rPr>
  </w:style>
  <w:style w:type="paragraph" w:customStyle="1" w:styleId="Heading2longmultiline">
    <w:name w:val="Heading 2 (long multiline)"/>
    <w:basedOn w:val="Heading2multiline"/>
    <w:rsid w:val="0079117A"/>
    <w:pPr>
      <w:ind w:left="2127" w:hanging="1276"/>
    </w:pPr>
  </w:style>
  <w:style w:type="paragraph" w:customStyle="1" w:styleId="heading2notforTOC">
    <w:name w:val="heading 2 not for TOC"/>
    <w:basedOn w:val="Heading3"/>
    <w:rsid w:val="0079117A"/>
    <w:pPr>
      <w:keepLines w:val="0"/>
      <w:numPr>
        <w:ilvl w:val="0"/>
        <w:numId w:val="0"/>
      </w:numPr>
      <w:tabs>
        <w:tab w:val="clear" w:pos="1134"/>
        <w:tab w:val="clear" w:pos="1701"/>
        <w:tab w:val="clear" w:pos="2268"/>
        <w:tab w:val="left" w:pos="567"/>
      </w:tabs>
      <w:jc w:val="center"/>
    </w:pPr>
    <w:rPr>
      <w:rFonts w:eastAsia="Times New Roman"/>
      <w:b w:val="0"/>
      <w:bCs w:val="0"/>
      <w:i/>
      <w:iCs/>
      <w:szCs w:val="24"/>
      <w:lang w:val="en-GB"/>
    </w:rPr>
  </w:style>
  <w:style w:type="paragraph" w:customStyle="1" w:styleId="Heading3multiline">
    <w:name w:val="Heading 3 (multiline)"/>
    <w:basedOn w:val="Heading3"/>
    <w:next w:val="Normal"/>
    <w:rsid w:val="0079117A"/>
    <w:pPr>
      <w:keepLines w:val="0"/>
      <w:numPr>
        <w:ilvl w:val="0"/>
        <w:numId w:val="0"/>
      </w:numPr>
      <w:tabs>
        <w:tab w:val="clear" w:pos="1134"/>
        <w:tab w:val="clear" w:pos="1701"/>
        <w:tab w:val="clear" w:pos="2268"/>
        <w:tab w:val="left" w:pos="567"/>
      </w:tabs>
      <w:ind w:left="1418" w:hanging="425"/>
    </w:pPr>
    <w:rPr>
      <w:rFonts w:eastAsia="Times New Roman"/>
      <w:b w:val="0"/>
      <w:bCs w:val="0"/>
      <w:i/>
      <w:iCs/>
      <w:szCs w:val="24"/>
      <w:lang w:val="en-GB"/>
    </w:rPr>
  </w:style>
  <w:style w:type="paragraph" w:customStyle="1" w:styleId="Heading4indent">
    <w:name w:val="Heading 4 indent"/>
    <w:basedOn w:val="Heading4"/>
    <w:rsid w:val="0079117A"/>
    <w:pPr>
      <w:numPr>
        <w:ilvl w:val="0"/>
        <w:numId w:val="0"/>
      </w:numPr>
      <w:tabs>
        <w:tab w:val="clear" w:pos="1134"/>
        <w:tab w:val="clear" w:pos="1701"/>
        <w:tab w:val="clear" w:pos="2268"/>
      </w:tabs>
      <w:ind w:left="720"/>
      <w:jc w:val="both"/>
      <w:outlineLvl w:val="9"/>
    </w:pPr>
    <w:rPr>
      <w:rFonts w:eastAsia="Arial Unicode MS" w:cs="Arial"/>
      <w:i/>
      <w:szCs w:val="24"/>
      <w:lang w:val="en-GB"/>
    </w:rPr>
  </w:style>
  <w:style w:type="character" w:styleId="PageNumber">
    <w:name w:val="page number"/>
    <w:rsid w:val="0079117A"/>
    <w:rPr>
      <w:rFonts w:ascii="Times New Roman" w:hAnsi="Times New Roman"/>
      <w:sz w:val="22"/>
    </w:rPr>
  </w:style>
  <w:style w:type="paragraph" w:customStyle="1" w:styleId="Para20">
    <w:name w:val="Para2"/>
    <w:basedOn w:val="Para10"/>
    <w:rsid w:val="0079117A"/>
    <w:pPr>
      <w:tabs>
        <w:tab w:val="clear" w:pos="567"/>
        <w:tab w:val="clear" w:pos="1134"/>
        <w:tab w:val="clear" w:pos="1701"/>
        <w:tab w:val="clear" w:pos="2268"/>
      </w:tabs>
      <w:autoSpaceDE w:val="0"/>
      <w:autoSpaceDN w:val="0"/>
    </w:pPr>
    <w:rPr>
      <w:rFonts w:eastAsia="Times New Roman"/>
      <w:lang w:val="en-GB"/>
    </w:rPr>
  </w:style>
  <w:style w:type="paragraph" w:customStyle="1" w:styleId="Para3">
    <w:name w:val="Para3"/>
    <w:basedOn w:val="Normal"/>
    <w:rsid w:val="0079117A"/>
    <w:pPr>
      <w:numPr>
        <w:ilvl w:val="3"/>
        <w:numId w:val="7"/>
      </w:numPr>
      <w:tabs>
        <w:tab w:val="clear" w:pos="567"/>
        <w:tab w:val="clear" w:pos="1134"/>
        <w:tab w:val="clear" w:pos="1701"/>
        <w:tab w:val="clear" w:pos="2268"/>
        <w:tab w:val="left" w:pos="1980"/>
      </w:tabs>
      <w:spacing w:before="80" w:after="80"/>
    </w:pPr>
    <w:rPr>
      <w:rFonts w:eastAsia="Times New Roman"/>
      <w:szCs w:val="20"/>
      <w:lang w:val="en-GB"/>
    </w:rPr>
  </w:style>
  <w:style w:type="paragraph" w:customStyle="1" w:styleId="para4">
    <w:name w:val="para4"/>
    <w:basedOn w:val="Normal"/>
    <w:rsid w:val="0079117A"/>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lang w:val="en-GB"/>
    </w:rPr>
  </w:style>
  <w:style w:type="paragraph" w:customStyle="1" w:styleId="Para-decision">
    <w:name w:val="Para-decision"/>
    <w:basedOn w:val="Normal"/>
    <w:rsid w:val="0079117A"/>
    <w:pPr>
      <w:tabs>
        <w:tab w:val="clear" w:pos="567"/>
        <w:tab w:val="clear" w:pos="1134"/>
        <w:tab w:val="clear" w:pos="1701"/>
        <w:tab w:val="clear" w:pos="2268"/>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Cs w:val="24"/>
      <w:lang w:val="en-GB"/>
    </w:rPr>
  </w:style>
  <w:style w:type="paragraph" w:customStyle="1" w:styleId="Quotationtextindented">
    <w:name w:val="Quotation text (indented)"/>
    <w:basedOn w:val="Normal"/>
    <w:qFormat/>
    <w:rsid w:val="0079117A"/>
    <w:pPr>
      <w:tabs>
        <w:tab w:val="clear" w:pos="567"/>
        <w:tab w:val="clear" w:pos="1134"/>
        <w:tab w:val="clear" w:pos="1701"/>
        <w:tab w:val="clear" w:pos="2268"/>
      </w:tabs>
      <w:spacing w:before="120" w:after="120"/>
      <w:ind w:left="720" w:right="720"/>
    </w:pPr>
    <w:rPr>
      <w:rFonts w:eastAsia="Times New Roman"/>
      <w:bCs/>
      <w:szCs w:val="24"/>
      <w:lang w:val="en-GB"/>
    </w:rPr>
  </w:style>
  <w:style w:type="paragraph" w:customStyle="1" w:styleId="recommendationheader">
    <w:name w:val="recommendation header"/>
    <w:basedOn w:val="Heading2"/>
    <w:qFormat/>
    <w:rsid w:val="0079117A"/>
    <w:pPr>
      <w:keepLines w:val="0"/>
      <w:numPr>
        <w:ilvl w:val="0"/>
        <w:numId w:val="0"/>
      </w:numPr>
      <w:tabs>
        <w:tab w:val="clear" w:pos="1134"/>
        <w:tab w:val="clear" w:pos="1701"/>
        <w:tab w:val="clear" w:pos="2268"/>
        <w:tab w:val="left" w:pos="720"/>
      </w:tabs>
      <w:jc w:val="center"/>
    </w:pPr>
    <w:rPr>
      <w:rFonts w:ascii="Times New Roman" w:eastAsia="Times New Roman" w:hAnsi="Times New Roman" w:cs="Times New Roman"/>
      <w:bCs/>
      <w:iCs/>
      <w:sz w:val="22"/>
      <w:szCs w:val="24"/>
      <w:lang w:val="en-GB"/>
    </w:rPr>
  </w:style>
  <w:style w:type="paragraph" w:customStyle="1" w:styleId="recommendationheaderlong">
    <w:name w:val="recommendation header long"/>
    <w:basedOn w:val="Heading2longmultiline"/>
    <w:qFormat/>
    <w:rsid w:val="0079117A"/>
  </w:style>
  <w:style w:type="paragraph" w:customStyle="1" w:styleId="reference">
    <w:name w:val="reference"/>
    <w:basedOn w:val="Heading9"/>
    <w:qFormat/>
    <w:rsid w:val="0079117A"/>
    <w:pPr>
      <w:widowControl/>
      <w:numPr>
        <w:ilvl w:val="0"/>
        <w:numId w:val="0"/>
      </w:numPr>
      <w:tabs>
        <w:tab w:val="clear" w:pos="567"/>
        <w:tab w:val="clear" w:pos="1134"/>
        <w:tab w:val="clear" w:pos="1701"/>
        <w:tab w:val="clear" w:pos="2268"/>
      </w:tabs>
      <w:suppressAutoHyphens w:val="0"/>
      <w:spacing w:before="100" w:beforeAutospacing="1" w:after="120"/>
      <w:jc w:val="both"/>
    </w:pPr>
    <w:rPr>
      <w:rFonts w:eastAsia="Times New Roman"/>
      <w:iCs/>
      <w:snapToGrid/>
      <w:sz w:val="18"/>
      <w:szCs w:val="24"/>
      <w:u w:val="none"/>
      <w:lang w:val="en-GB"/>
    </w:rPr>
  </w:style>
  <w:style w:type="character" w:customStyle="1" w:styleId="StyleFootnoteReferenceNounderline">
    <w:name w:val="Style Footnote Reference + No underline"/>
    <w:rsid w:val="0079117A"/>
    <w:rPr>
      <w:sz w:val="18"/>
      <w:u w:val="none"/>
      <w:vertAlign w:val="baseline"/>
    </w:rPr>
  </w:style>
  <w:style w:type="paragraph" w:customStyle="1" w:styleId="tabletitle">
    <w:name w:val="table title"/>
    <w:basedOn w:val="Heading2"/>
    <w:qFormat/>
    <w:rsid w:val="0079117A"/>
    <w:pPr>
      <w:keepLines w:val="0"/>
      <w:numPr>
        <w:ilvl w:val="0"/>
        <w:numId w:val="0"/>
      </w:numPr>
      <w:tabs>
        <w:tab w:val="clear" w:pos="1134"/>
        <w:tab w:val="clear" w:pos="1701"/>
        <w:tab w:val="clear" w:pos="2268"/>
        <w:tab w:val="left" w:pos="720"/>
      </w:tabs>
      <w:outlineLvl w:val="9"/>
    </w:pPr>
    <w:rPr>
      <w:rFonts w:ascii="Times New Roman" w:eastAsia="Times New Roman" w:hAnsi="Times New Roman" w:cs="Times New Roman"/>
      <w:bCs/>
      <w:i/>
      <w:iCs/>
      <w:sz w:val="22"/>
      <w:szCs w:val="24"/>
      <w:lang w:val="en-GB"/>
    </w:rPr>
  </w:style>
  <w:style w:type="paragraph" w:styleId="TOAHeading">
    <w:name w:val="toa heading"/>
    <w:basedOn w:val="Normal"/>
    <w:next w:val="Normal"/>
    <w:semiHidden/>
    <w:rsid w:val="0079117A"/>
    <w:pPr>
      <w:tabs>
        <w:tab w:val="clear" w:pos="567"/>
        <w:tab w:val="clear" w:pos="1134"/>
        <w:tab w:val="clear" w:pos="1701"/>
        <w:tab w:val="clear" w:pos="2268"/>
      </w:tabs>
      <w:spacing w:before="120"/>
    </w:pPr>
    <w:rPr>
      <w:rFonts w:eastAsia="Times New Roman" w:cs="Arial"/>
      <w:b/>
      <w:bCs/>
      <w:sz w:val="24"/>
      <w:szCs w:val="24"/>
      <w:lang w:val="en-GB"/>
    </w:rPr>
  </w:style>
  <w:style w:type="paragraph" w:styleId="TOC1">
    <w:name w:val="toc 1"/>
    <w:basedOn w:val="Normal"/>
    <w:next w:val="Normal"/>
    <w:autoRedefine/>
    <w:uiPriority w:val="39"/>
    <w:rsid w:val="00321AE5"/>
    <w:pPr>
      <w:tabs>
        <w:tab w:val="clear" w:pos="567"/>
        <w:tab w:val="clear" w:pos="1134"/>
        <w:tab w:val="clear" w:pos="1701"/>
        <w:tab w:val="clear" w:pos="2268"/>
        <w:tab w:val="right" w:leader="dot" w:pos="9372"/>
      </w:tabs>
      <w:spacing w:after="100"/>
      <w:ind w:left="567" w:hanging="567"/>
      <w:jc w:val="left"/>
    </w:pPr>
    <w:rPr>
      <w:rFonts w:ascii="SimSun" w:hAnsi="SimSun"/>
      <w:caps/>
      <w:noProof/>
      <w:sz w:val="24"/>
      <w:szCs w:val="24"/>
    </w:rPr>
  </w:style>
  <w:style w:type="paragraph" w:styleId="TOC2">
    <w:name w:val="toc 2"/>
    <w:basedOn w:val="Normal"/>
    <w:next w:val="Normal"/>
    <w:autoRedefine/>
    <w:semiHidden/>
    <w:rsid w:val="0079117A"/>
    <w:pPr>
      <w:tabs>
        <w:tab w:val="clear" w:pos="567"/>
        <w:tab w:val="clear" w:pos="1134"/>
        <w:tab w:val="clear" w:pos="1701"/>
        <w:tab w:val="clear" w:pos="2268"/>
        <w:tab w:val="right" w:leader="dot" w:pos="9356"/>
      </w:tabs>
      <w:ind w:left="1440" w:hanging="720"/>
    </w:pPr>
    <w:rPr>
      <w:rFonts w:eastAsia="Times New Roman"/>
      <w:noProof/>
      <w:lang w:val="en-GB"/>
    </w:rPr>
  </w:style>
  <w:style w:type="paragraph" w:styleId="TOC3">
    <w:name w:val="toc 3"/>
    <w:basedOn w:val="Normal"/>
    <w:next w:val="Normal"/>
    <w:autoRedefine/>
    <w:semiHidden/>
    <w:rsid w:val="0079117A"/>
    <w:pPr>
      <w:tabs>
        <w:tab w:val="clear" w:pos="567"/>
        <w:tab w:val="clear" w:pos="1134"/>
        <w:tab w:val="clear" w:pos="1701"/>
        <w:tab w:val="clear" w:pos="2268"/>
      </w:tabs>
      <w:ind w:left="2160" w:hanging="720"/>
    </w:pPr>
    <w:rPr>
      <w:rFonts w:eastAsia="Times New Roman"/>
      <w:szCs w:val="24"/>
      <w:lang w:val="en-GB"/>
    </w:rPr>
  </w:style>
  <w:style w:type="paragraph" w:styleId="TOC4">
    <w:name w:val="toc 4"/>
    <w:basedOn w:val="Normal"/>
    <w:next w:val="Normal"/>
    <w:autoRedefine/>
    <w:semiHidden/>
    <w:rsid w:val="0079117A"/>
    <w:pPr>
      <w:tabs>
        <w:tab w:val="clear" w:pos="567"/>
        <w:tab w:val="clear" w:pos="1134"/>
        <w:tab w:val="clear" w:pos="1701"/>
        <w:tab w:val="clear" w:pos="2268"/>
      </w:tabs>
      <w:spacing w:before="120" w:after="120"/>
      <w:ind w:left="660"/>
      <w:jc w:val="left"/>
    </w:pPr>
    <w:rPr>
      <w:rFonts w:eastAsia="Times New Roman"/>
      <w:szCs w:val="24"/>
      <w:lang w:val="en-GB"/>
    </w:rPr>
  </w:style>
  <w:style w:type="paragraph" w:styleId="TOC5">
    <w:name w:val="toc 5"/>
    <w:basedOn w:val="Normal"/>
    <w:next w:val="Normal"/>
    <w:autoRedefine/>
    <w:semiHidden/>
    <w:rsid w:val="0079117A"/>
    <w:pPr>
      <w:tabs>
        <w:tab w:val="clear" w:pos="567"/>
        <w:tab w:val="clear" w:pos="1134"/>
        <w:tab w:val="clear" w:pos="1701"/>
        <w:tab w:val="clear" w:pos="2268"/>
      </w:tabs>
      <w:spacing w:before="120" w:after="120"/>
      <w:ind w:left="880"/>
      <w:jc w:val="left"/>
    </w:pPr>
    <w:rPr>
      <w:rFonts w:eastAsia="Times New Roman"/>
      <w:szCs w:val="24"/>
      <w:lang w:val="en-GB"/>
    </w:rPr>
  </w:style>
  <w:style w:type="paragraph" w:styleId="TOC6">
    <w:name w:val="toc 6"/>
    <w:basedOn w:val="Normal"/>
    <w:next w:val="Normal"/>
    <w:autoRedefine/>
    <w:semiHidden/>
    <w:rsid w:val="0079117A"/>
    <w:pPr>
      <w:tabs>
        <w:tab w:val="clear" w:pos="567"/>
        <w:tab w:val="clear" w:pos="1134"/>
        <w:tab w:val="clear" w:pos="1701"/>
        <w:tab w:val="clear" w:pos="2268"/>
      </w:tabs>
      <w:spacing w:before="120" w:after="120"/>
      <w:ind w:left="1100"/>
      <w:jc w:val="left"/>
    </w:pPr>
    <w:rPr>
      <w:rFonts w:eastAsia="Times New Roman"/>
      <w:szCs w:val="24"/>
      <w:lang w:val="en-GB"/>
    </w:rPr>
  </w:style>
  <w:style w:type="paragraph" w:styleId="TOC7">
    <w:name w:val="toc 7"/>
    <w:basedOn w:val="Normal"/>
    <w:next w:val="Normal"/>
    <w:autoRedefine/>
    <w:semiHidden/>
    <w:rsid w:val="0079117A"/>
    <w:pPr>
      <w:tabs>
        <w:tab w:val="clear" w:pos="567"/>
        <w:tab w:val="clear" w:pos="1134"/>
        <w:tab w:val="clear" w:pos="1701"/>
        <w:tab w:val="clear" w:pos="2268"/>
      </w:tabs>
      <w:spacing w:before="120" w:after="120"/>
      <w:ind w:left="1320"/>
      <w:jc w:val="left"/>
    </w:pPr>
    <w:rPr>
      <w:rFonts w:eastAsia="Times New Roman"/>
      <w:szCs w:val="24"/>
      <w:lang w:val="en-GB"/>
    </w:rPr>
  </w:style>
  <w:style w:type="paragraph" w:styleId="TOC8">
    <w:name w:val="toc 8"/>
    <w:basedOn w:val="Normal"/>
    <w:next w:val="Normal"/>
    <w:autoRedefine/>
    <w:semiHidden/>
    <w:rsid w:val="0079117A"/>
    <w:pPr>
      <w:tabs>
        <w:tab w:val="clear" w:pos="567"/>
        <w:tab w:val="clear" w:pos="1134"/>
        <w:tab w:val="clear" w:pos="1701"/>
        <w:tab w:val="clear" w:pos="2268"/>
      </w:tabs>
      <w:spacing w:before="120" w:after="120"/>
      <w:ind w:left="1540"/>
      <w:jc w:val="left"/>
    </w:pPr>
    <w:rPr>
      <w:rFonts w:eastAsia="Times New Roman"/>
      <w:szCs w:val="24"/>
      <w:lang w:val="en-GB"/>
    </w:rPr>
  </w:style>
  <w:style w:type="paragraph" w:styleId="TOC9">
    <w:name w:val="toc 9"/>
    <w:basedOn w:val="Normal"/>
    <w:next w:val="Normal"/>
    <w:autoRedefine/>
    <w:uiPriority w:val="39"/>
    <w:semiHidden/>
    <w:rsid w:val="0079117A"/>
    <w:pPr>
      <w:tabs>
        <w:tab w:val="clear" w:pos="567"/>
        <w:tab w:val="clear" w:pos="1134"/>
        <w:tab w:val="clear" w:pos="1701"/>
        <w:tab w:val="clear" w:pos="2268"/>
      </w:tabs>
      <w:spacing w:before="120" w:after="120"/>
      <w:ind w:left="1760"/>
      <w:jc w:val="left"/>
    </w:pPr>
    <w:rPr>
      <w:rFonts w:eastAsia="Times New Roman"/>
      <w:szCs w:val="24"/>
      <w:lang w:val="en-GB"/>
    </w:rPr>
  </w:style>
  <w:style w:type="paragraph" w:customStyle="1" w:styleId="CBD-Doc-Type">
    <w:name w:val="CBD-Doc-Type"/>
    <w:basedOn w:val="Normal"/>
    <w:rsid w:val="0079117A"/>
    <w:pPr>
      <w:keepLines/>
      <w:tabs>
        <w:tab w:val="clear" w:pos="567"/>
        <w:tab w:val="clear" w:pos="1134"/>
        <w:tab w:val="clear" w:pos="1701"/>
        <w:tab w:val="clear" w:pos="2268"/>
      </w:tabs>
      <w:spacing w:before="240" w:after="120"/>
    </w:pPr>
    <w:rPr>
      <w:rFonts w:eastAsia="Times New Roman" w:cs="Angsana New"/>
      <w:b/>
      <w:i/>
      <w:sz w:val="24"/>
      <w:szCs w:val="24"/>
      <w:lang w:val="en-GB"/>
    </w:rPr>
  </w:style>
  <w:style w:type="paragraph" w:customStyle="1" w:styleId="CBD-Doc">
    <w:name w:val="CBD-Doc"/>
    <w:basedOn w:val="Normal"/>
    <w:rsid w:val="0079117A"/>
    <w:pPr>
      <w:keepLines/>
      <w:numPr>
        <w:numId w:val="8"/>
      </w:numPr>
      <w:tabs>
        <w:tab w:val="clear" w:pos="1134"/>
        <w:tab w:val="clear" w:pos="1701"/>
        <w:tab w:val="clear" w:pos="2268"/>
      </w:tabs>
      <w:spacing w:after="120"/>
    </w:pPr>
    <w:rPr>
      <w:rFonts w:eastAsia="Times New Roman" w:cs="Angsana New"/>
      <w:szCs w:val="24"/>
      <w:lang w:val="en-GB"/>
    </w:rPr>
  </w:style>
  <w:style w:type="paragraph" w:styleId="Caption">
    <w:name w:val="caption"/>
    <w:basedOn w:val="Normal"/>
    <w:next w:val="Normal"/>
    <w:uiPriority w:val="35"/>
    <w:unhideWhenUsed/>
    <w:qFormat/>
    <w:rsid w:val="0079117A"/>
    <w:pPr>
      <w:keepNext/>
      <w:keepLines/>
      <w:tabs>
        <w:tab w:val="clear" w:pos="567"/>
        <w:tab w:val="clear" w:pos="1134"/>
        <w:tab w:val="clear" w:pos="1701"/>
        <w:tab w:val="clear" w:pos="2268"/>
      </w:tabs>
      <w:spacing w:after="200"/>
    </w:pPr>
    <w:rPr>
      <w:rFonts w:eastAsia="Times New Roman"/>
      <w:b/>
      <w:iCs/>
      <w:szCs w:val="18"/>
      <w:lang w:val="en-GB"/>
    </w:rPr>
  </w:style>
  <w:style w:type="paragraph" w:customStyle="1" w:styleId="Style1">
    <w:name w:val="Style1"/>
    <w:basedOn w:val="Heading2"/>
    <w:qFormat/>
    <w:rsid w:val="0079117A"/>
    <w:pPr>
      <w:keepLines w:val="0"/>
      <w:numPr>
        <w:ilvl w:val="0"/>
        <w:numId w:val="0"/>
      </w:numPr>
      <w:tabs>
        <w:tab w:val="clear" w:pos="1134"/>
        <w:tab w:val="clear" w:pos="1701"/>
        <w:tab w:val="clear" w:pos="2268"/>
        <w:tab w:val="left" w:pos="720"/>
      </w:tabs>
      <w:jc w:val="center"/>
    </w:pPr>
    <w:rPr>
      <w:rFonts w:ascii="Times New Roman" w:eastAsia="Times New Roman" w:hAnsi="Times New Roman" w:cs="Times New Roman"/>
      <w:bCs/>
      <w:i/>
      <w:iCs/>
      <w:sz w:val="22"/>
      <w:szCs w:val="24"/>
      <w:lang w:val="en-GB"/>
    </w:rPr>
  </w:style>
  <w:style w:type="paragraph" w:customStyle="1" w:styleId="CBD-Para">
    <w:name w:val="CBD-Para"/>
    <w:basedOn w:val="Normal"/>
    <w:link w:val="CBD-ParaCharChar"/>
    <w:uiPriority w:val="99"/>
    <w:rsid w:val="0079117A"/>
    <w:pPr>
      <w:keepLines/>
      <w:numPr>
        <w:numId w:val="9"/>
      </w:numPr>
      <w:tabs>
        <w:tab w:val="clear" w:pos="567"/>
        <w:tab w:val="clear" w:pos="1134"/>
        <w:tab w:val="clear" w:pos="1701"/>
        <w:tab w:val="clear" w:pos="2268"/>
      </w:tabs>
      <w:spacing w:before="120" w:after="120"/>
    </w:pPr>
    <w:rPr>
      <w:rFonts w:eastAsia="Times New Roman"/>
    </w:rPr>
  </w:style>
  <w:style w:type="character" w:customStyle="1" w:styleId="CBD-ParaCharChar">
    <w:name w:val="CBD-Para Char Char"/>
    <w:link w:val="CBD-Para"/>
    <w:uiPriority w:val="99"/>
    <w:locked/>
    <w:rsid w:val="0079117A"/>
    <w:rPr>
      <w:rFonts w:ascii="Times New Roman" w:eastAsia="Times New Roman" w:hAnsi="Times New Roman" w:cs="Times New Roman"/>
      <w:kern w:val="0"/>
      <w:lang w:val="en-US"/>
      <w14:ligatures w14:val="none"/>
    </w:rPr>
  </w:style>
  <w:style w:type="character" w:customStyle="1" w:styleId="Link">
    <w:name w:val="Link"/>
    <w:rsid w:val="0079117A"/>
    <w:rPr>
      <w:color w:val="0000FF"/>
      <w:sz w:val="18"/>
      <w:szCs w:val="18"/>
      <w:u w:val="single" w:color="0000FF"/>
    </w:rPr>
  </w:style>
  <w:style w:type="character" w:customStyle="1" w:styleId="eop">
    <w:name w:val="eop"/>
    <w:basedOn w:val="DefaultParagraphFont"/>
    <w:rsid w:val="0079117A"/>
  </w:style>
  <w:style w:type="paragraph" w:customStyle="1" w:styleId="paragraph">
    <w:name w:val="paragraph"/>
    <w:basedOn w:val="Normal"/>
    <w:rsid w:val="0079117A"/>
    <w:pPr>
      <w:tabs>
        <w:tab w:val="clear" w:pos="567"/>
        <w:tab w:val="clear" w:pos="1134"/>
        <w:tab w:val="clear" w:pos="1701"/>
        <w:tab w:val="clear" w:pos="2268"/>
      </w:tabs>
      <w:spacing w:before="100" w:beforeAutospacing="1" w:after="100" w:afterAutospacing="1"/>
      <w:jc w:val="left"/>
    </w:pPr>
    <w:rPr>
      <w:rFonts w:eastAsia="Times New Roman"/>
      <w:sz w:val="24"/>
      <w:szCs w:val="24"/>
      <w:lang w:eastAsia="zh-CN"/>
    </w:rPr>
  </w:style>
  <w:style w:type="paragraph" w:customStyle="1" w:styleId="Normalnumber">
    <w:name w:val="Normal_number"/>
    <w:basedOn w:val="Normal"/>
    <w:rsid w:val="0079117A"/>
    <w:pPr>
      <w:tabs>
        <w:tab w:val="left" w:pos="2835"/>
        <w:tab w:val="left" w:pos="3402"/>
        <w:tab w:val="left" w:pos="3969"/>
      </w:tabs>
      <w:spacing w:after="120"/>
      <w:ind w:left="567"/>
      <w:jc w:val="left"/>
    </w:pPr>
    <w:rPr>
      <w:lang w:val="en-GB"/>
    </w:rPr>
  </w:style>
  <w:style w:type="numbering" w:customStyle="1" w:styleId="ListCBD1">
    <w:name w:val="ListCBD1"/>
    <w:basedOn w:val="NoList"/>
    <w:uiPriority w:val="99"/>
    <w:rsid w:val="0079117A"/>
  </w:style>
  <w:style w:type="paragraph" w:customStyle="1" w:styleId="StylePara1Before0pt">
    <w:name w:val="Style Para1 + Before:  0 pt"/>
    <w:basedOn w:val="Normal"/>
    <w:rsid w:val="00CA7DA5"/>
    <w:pPr>
      <w:numPr>
        <w:numId w:val="13"/>
      </w:numPr>
      <w:tabs>
        <w:tab w:val="clear" w:pos="1080"/>
      </w:tabs>
      <w:spacing w:before="120" w:after="120"/>
      <w:ind w:left="927"/>
      <w:jc w:val="left"/>
    </w:pPr>
    <w:rPr>
      <w:snapToGrid w:val="0"/>
      <w:sz w:val="24"/>
      <w:szCs w:val="20"/>
      <w:lang w:val="en-CA"/>
    </w:rPr>
  </w:style>
  <w:style w:type="character" w:customStyle="1" w:styleId="None">
    <w:name w:val="None"/>
    <w:rsid w:val="00CA7DA5"/>
  </w:style>
  <w:style w:type="paragraph" w:styleId="ListBullet2">
    <w:name w:val="List Bullet 2"/>
    <w:basedOn w:val="Normal"/>
    <w:uiPriority w:val="99"/>
    <w:semiHidden/>
    <w:unhideWhenUsed/>
    <w:rsid w:val="00CA7DA5"/>
    <w:pPr>
      <w:numPr>
        <w:numId w:val="14"/>
      </w:numPr>
      <w:contextualSpacing/>
    </w:pPr>
    <w:rPr>
      <w:lang w:val="en-GB"/>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rsid w:val="00CA7DA5"/>
    <w:pPr>
      <w:tabs>
        <w:tab w:val="clear" w:pos="567"/>
        <w:tab w:val="clear" w:pos="1134"/>
        <w:tab w:val="clear" w:pos="1701"/>
        <w:tab w:val="clear" w:pos="2268"/>
      </w:tabs>
      <w:snapToGrid w:val="0"/>
      <w:spacing w:before="60" w:after="160" w:line="240" w:lineRule="exact"/>
    </w:pPr>
    <w:rPr>
      <w:rFonts w:asciiTheme="minorHAnsi" w:eastAsiaTheme="minorHAnsi" w:hAnsiTheme="minorHAnsi" w:cstheme="minorBidi"/>
      <w:kern w:val="2"/>
      <w:vertAlign w:val="superscript"/>
      <w:lang w:val="en-GB"/>
      <w14:ligatures w14:val="standardContextual"/>
    </w:rPr>
  </w:style>
  <w:style w:type="table" w:customStyle="1" w:styleId="TableGrid3">
    <w:name w:val="Table Grid3"/>
    <w:basedOn w:val="TableNormal"/>
    <w:next w:val="TableGrid"/>
    <w:rsid w:val="00153B5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1Kernat11pt">
    <w:name w:val="Style Para1 + Kern at 11 pt"/>
    <w:basedOn w:val="Normal"/>
    <w:rsid w:val="00E34A3F"/>
    <w:pPr>
      <w:spacing w:before="120" w:after="120"/>
    </w:pPr>
    <w:rPr>
      <w:snapToGrid w:val="0"/>
      <w:kern w:val="22"/>
      <w:szCs w:val="18"/>
      <w14:ligatures w14:val="standardContextual"/>
    </w:rPr>
  </w:style>
  <w:style w:type="paragraph" w:styleId="ListBullet">
    <w:name w:val="List Bullet"/>
    <w:basedOn w:val="Normal"/>
    <w:uiPriority w:val="99"/>
    <w:semiHidden/>
    <w:unhideWhenUsed/>
    <w:rsid w:val="00160474"/>
    <w:pPr>
      <w:numPr>
        <w:numId w:val="15"/>
      </w:numPr>
      <w:contextualSpacing/>
    </w:pPr>
    <w:rPr>
      <w:lang w:val="en-GB"/>
    </w:rPr>
  </w:style>
  <w:style w:type="paragraph" w:styleId="ListBullet3">
    <w:name w:val="List Bullet 3"/>
    <w:basedOn w:val="Normal"/>
    <w:uiPriority w:val="99"/>
    <w:semiHidden/>
    <w:unhideWhenUsed/>
    <w:rsid w:val="00160474"/>
    <w:pPr>
      <w:numPr>
        <w:numId w:val="16"/>
      </w:numPr>
      <w:contextualSpacing/>
    </w:pPr>
    <w:rPr>
      <w:lang w:val="en-GB"/>
    </w:rPr>
  </w:style>
  <w:style w:type="character" w:customStyle="1" w:styleId="style21">
    <w:name w:val="style21"/>
    <w:basedOn w:val="DefaultParagraphFont"/>
    <w:rsid w:val="00803EB4"/>
    <w:rPr>
      <w:b w:val="0"/>
      <w:bCs w:val="0"/>
      <w:i w:val="0"/>
      <w:iCs w:val="0"/>
      <w:color w:val="000080"/>
      <w:sz w:val="24"/>
      <w:szCs w:val="24"/>
    </w:rPr>
  </w:style>
  <w:style w:type="character" w:styleId="UnresolvedMention">
    <w:name w:val="Unresolved Mention"/>
    <w:basedOn w:val="DefaultParagraphFont"/>
    <w:uiPriority w:val="99"/>
    <w:semiHidden/>
    <w:unhideWhenUsed/>
    <w:rsid w:val="00B97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164605">
      <w:bodyDiv w:val="1"/>
      <w:marLeft w:val="0"/>
      <w:marRight w:val="0"/>
      <w:marTop w:val="0"/>
      <w:marBottom w:val="0"/>
      <w:divBdr>
        <w:top w:val="none" w:sz="0" w:space="0" w:color="auto"/>
        <w:left w:val="none" w:sz="0" w:space="0" w:color="auto"/>
        <w:bottom w:val="none" w:sz="0" w:space="0" w:color="auto"/>
        <w:right w:val="none" w:sz="0" w:space="0" w:color="auto"/>
      </w:divBdr>
      <w:divsChild>
        <w:div w:id="1767581697">
          <w:marLeft w:val="0"/>
          <w:marRight w:val="0"/>
          <w:marTop w:val="0"/>
          <w:marBottom w:val="0"/>
          <w:divBdr>
            <w:top w:val="none" w:sz="0" w:space="0" w:color="auto"/>
            <w:left w:val="none" w:sz="0" w:space="0" w:color="auto"/>
            <w:bottom w:val="none" w:sz="0" w:space="0" w:color="auto"/>
            <w:right w:val="none" w:sz="0" w:space="0" w:color="auto"/>
          </w:divBdr>
        </w:div>
        <w:div w:id="1016225183">
          <w:marLeft w:val="0"/>
          <w:marRight w:val="0"/>
          <w:marTop w:val="0"/>
          <w:marBottom w:val="0"/>
          <w:divBdr>
            <w:top w:val="none" w:sz="0" w:space="0" w:color="auto"/>
            <w:left w:val="none" w:sz="0" w:space="0" w:color="auto"/>
            <w:bottom w:val="none" w:sz="0" w:space="0" w:color="auto"/>
            <w:right w:val="none" w:sz="0" w:space="0" w:color="auto"/>
          </w:divBdr>
        </w:div>
        <w:div w:id="995381561">
          <w:marLeft w:val="0"/>
          <w:marRight w:val="0"/>
          <w:marTop w:val="0"/>
          <w:marBottom w:val="0"/>
          <w:divBdr>
            <w:top w:val="none" w:sz="0" w:space="0" w:color="auto"/>
            <w:left w:val="none" w:sz="0" w:space="0" w:color="auto"/>
            <w:bottom w:val="none" w:sz="0" w:space="0" w:color="auto"/>
            <w:right w:val="none" w:sz="0" w:space="0" w:color="auto"/>
          </w:divBdr>
        </w:div>
      </w:divsChild>
    </w:div>
    <w:div w:id="474877465">
      <w:bodyDiv w:val="1"/>
      <w:marLeft w:val="0"/>
      <w:marRight w:val="0"/>
      <w:marTop w:val="0"/>
      <w:marBottom w:val="0"/>
      <w:divBdr>
        <w:top w:val="none" w:sz="0" w:space="0" w:color="auto"/>
        <w:left w:val="none" w:sz="0" w:space="0" w:color="auto"/>
        <w:bottom w:val="none" w:sz="0" w:space="0" w:color="auto"/>
        <w:right w:val="none" w:sz="0" w:space="0" w:color="auto"/>
      </w:divBdr>
    </w:div>
    <w:div w:id="916355949">
      <w:bodyDiv w:val="1"/>
      <w:marLeft w:val="0"/>
      <w:marRight w:val="0"/>
      <w:marTop w:val="0"/>
      <w:marBottom w:val="0"/>
      <w:divBdr>
        <w:top w:val="none" w:sz="0" w:space="0" w:color="auto"/>
        <w:left w:val="none" w:sz="0" w:space="0" w:color="auto"/>
        <w:bottom w:val="none" w:sz="0" w:space="0" w:color="auto"/>
        <w:right w:val="none" w:sz="0" w:space="0" w:color="auto"/>
      </w:divBdr>
    </w:div>
    <w:div w:id="1249074917">
      <w:bodyDiv w:val="1"/>
      <w:marLeft w:val="0"/>
      <w:marRight w:val="0"/>
      <w:marTop w:val="0"/>
      <w:marBottom w:val="0"/>
      <w:divBdr>
        <w:top w:val="none" w:sz="0" w:space="0" w:color="auto"/>
        <w:left w:val="none" w:sz="0" w:space="0" w:color="auto"/>
        <w:bottom w:val="none" w:sz="0" w:space="0" w:color="auto"/>
        <w:right w:val="none" w:sz="0" w:space="0" w:color="auto"/>
      </w:divBdr>
      <w:divsChild>
        <w:div w:id="1628077572">
          <w:marLeft w:val="0"/>
          <w:marRight w:val="0"/>
          <w:marTop w:val="150"/>
          <w:marBottom w:val="150"/>
          <w:divBdr>
            <w:top w:val="none" w:sz="0" w:space="0" w:color="auto"/>
            <w:left w:val="none" w:sz="0" w:space="0" w:color="auto"/>
            <w:bottom w:val="none" w:sz="0" w:space="0" w:color="auto"/>
            <w:right w:val="none" w:sz="0" w:space="0" w:color="auto"/>
          </w:divBdr>
          <w:divsChild>
            <w:div w:id="1291862553">
              <w:marLeft w:val="0"/>
              <w:marRight w:val="0"/>
              <w:marTop w:val="0"/>
              <w:marBottom w:val="0"/>
              <w:divBdr>
                <w:top w:val="none" w:sz="0" w:space="0" w:color="auto"/>
                <w:left w:val="none" w:sz="0" w:space="0" w:color="auto"/>
                <w:bottom w:val="none" w:sz="0" w:space="0" w:color="auto"/>
                <w:right w:val="none" w:sz="0" w:space="0" w:color="auto"/>
              </w:divBdr>
            </w:div>
          </w:divsChild>
        </w:div>
        <w:div w:id="1755516003">
          <w:marLeft w:val="0"/>
          <w:marRight w:val="0"/>
          <w:marTop w:val="150"/>
          <w:marBottom w:val="150"/>
          <w:divBdr>
            <w:top w:val="none" w:sz="0" w:space="0" w:color="auto"/>
            <w:left w:val="none" w:sz="0" w:space="0" w:color="auto"/>
            <w:bottom w:val="none" w:sz="0" w:space="0" w:color="auto"/>
            <w:right w:val="none" w:sz="0" w:space="0" w:color="auto"/>
          </w:divBdr>
          <w:divsChild>
            <w:div w:id="438528113">
              <w:marLeft w:val="0"/>
              <w:marRight w:val="0"/>
              <w:marTop w:val="0"/>
              <w:marBottom w:val="0"/>
              <w:divBdr>
                <w:top w:val="none" w:sz="0" w:space="0" w:color="auto"/>
                <w:left w:val="none" w:sz="0" w:space="0" w:color="auto"/>
                <w:bottom w:val="none" w:sz="0" w:space="0" w:color="auto"/>
                <w:right w:val="none" w:sz="0" w:space="0" w:color="auto"/>
              </w:divBdr>
            </w:div>
          </w:divsChild>
        </w:div>
        <w:div w:id="1940873398">
          <w:marLeft w:val="0"/>
          <w:marRight w:val="0"/>
          <w:marTop w:val="150"/>
          <w:marBottom w:val="150"/>
          <w:divBdr>
            <w:top w:val="none" w:sz="0" w:space="0" w:color="auto"/>
            <w:left w:val="none" w:sz="0" w:space="0" w:color="auto"/>
            <w:bottom w:val="none" w:sz="0" w:space="0" w:color="auto"/>
            <w:right w:val="none" w:sz="0" w:space="0" w:color="auto"/>
          </w:divBdr>
          <w:divsChild>
            <w:div w:id="114146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02678">
      <w:bodyDiv w:val="1"/>
      <w:marLeft w:val="0"/>
      <w:marRight w:val="0"/>
      <w:marTop w:val="0"/>
      <w:marBottom w:val="0"/>
      <w:divBdr>
        <w:top w:val="none" w:sz="0" w:space="0" w:color="auto"/>
        <w:left w:val="none" w:sz="0" w:space="0" w:color="auto"/>
        <w:bottom w:val="none" w:sz="0" w:space="0" w:color="auto"/>
        <w:right w:val="none" w:sz="0" w:space="0" w:color="auto"/>
      </w:divBdr>
      <w:divsChild>
        <w:div w:id="30542914">
          <w:marLeft w:val="0"/>
          <w:marRight w:val="0"/>
          <w:marTop w:val="150"/>
          <w:marBottom w:val="150"/>
          <w:divBdr>
            <w:top w:val="none" w:sz="0" w:space="0" w:color="auto"/>
            <w:left w:val="none" w:sz="0" w:space="0" w:color="auto"/>
            <w:bottom w:val="none" w:sz="0" w:space="0" w:color="auto"/>
            <w:right w:val="none" w:sz="0" w:space="0" w:color="auto"/>
          </w:divBdr>
          <w:divsChild>
            <w:div w:id="1098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48522">
      <w:bodyDiv w:val="1"/>
      <w:marLeft w:val="0"/>
      <w:marRight w:val="0"/>
      <w:marTop w:val="0"/>
      <w:marBottom w:val="0"/>
      <w:divBdr>
        <w:top w:val="none" w:sz="0" w:space="0" w:color="auto"/>
        <w:left w:val="none" w:sz="0" w:space="0" w:color="auto"/>
        <w:bottom w:val="none" w:sz="0" w:space="0" w:color="auto"/>
        <w:right w:val="none" w:sz="0" w:space="0" w:color="auto"/>
      </w:divBdr>
    </w:div>
    <w:div w:id="1510219885">
      <w:bodyDiv w:val="1"/>
      <w:marLeft w:val="0"/>
      <w:marRight w:val="0"/>
      <w:marTop w:val="0"/>
      <w:marBottom w:val="0"/>
      <w:divBdr>
        <w:top w:val="none" w:sz="0" w:space="0" w:color="auto"/>
        <w:left w:val="none" w:sz="0" w:space="0" w:color="auto"/>
        <w:bottom w:val="none" w:sz="0" w:space="0" w:color="auto"/>
        <w:right w:val="none" w:sz="0" w:space="0" w:color="auto"/>
      </w:divBdr>
    </w:div>
    <w:div w:id="1936786678">
      <w:bodyDiv w:val="1"/>
      <w:marLeft w:val="0"/>
      <w:marRight w:val="0"/>
      <w:marTop w:val="0"/>
      <w:marBottom w:val="0"/>
      <w:divBdr>
        <w:top w:val="none" w:sz="0" w:space="0" w:color="auto"/>
        <w:left w:val="none" w:sz="0" w:space="0" w:color="auto"/>
        <w:bottom w:val="none" w:sz="0" w:space="0" w:color="auto"/>
        <w:right w:val="none" w:sz="0" w:space="0" w:color="auto"/>
      </w:divBdr>
      <w:divsChild>
        <w:div w:id="447971295">
          <w:marLeft w:val="0"/>
          <w:marRight w:val="0"/>
          <w:marTop w:val="0"/>
          <w:marBottom w:val="0"/>
          <w:divBdr>
            <w:top w:val="none" w:sz="0" w:space="0" w:color="auto"/>
            <w:left w:val="none" w:sz="0" w:space="0" w:color="auto"/>
            <w:bottom w:val="none" w:sz="0" w:space="0" w:color="auto"/>
            <w:right w:val="none" w:sz="0" w:space="0" w:color="auto"/>
          </w:divBdr>
        </w:div>
        <w:div w:id="716245810">
          <w:marLeft w:val="0"/>
          <w:marRight w:val="0"/>
          <w:marTop w:val="0"/>
          <w:marBottom w:val="0"/>
          <w:divBdr>
            <w:top w:val="none" w:sz="0" w:space="0" w:color="auto"/>
            <w:left w:val="none" w:sz="0" w:space="0" w:color="auto"/>
            <w:bottom w:val="none" w:sz="0" w:space="0" w:color="auto"/>
            <w:right w:val="none" w:sz="0" w:space="0" w:color="auto"/>
          </w:divBdr>
        </w:div>
        <w:div w:id="136336833">
          <w:marLeft w:val="0"/>
          <w:marRight w:val="0"/>
          <w:marTop w:val="0"/>
          <w:marBottom w:val="0"/>
          <w:divBdr>
            <w:top w:val="none" w:sz="0" w:space="0" w:color="auto"/>
            <w:left w:val="none" w:sz="0" w:space="0" w:color="auto"/>
            <w:bottom w:val="none" w:sz="0" w:space="0" w:color="auto"/>
            <w:right w:val="none" w:sz="0" w:space="0" w:color="auto"/>
          </w:divBdr>
        </w:div>
      </w:divsChild>
    </w:div>
    <w:div w:id="2112387979">
      <w:bodyDiv w:val="1"/>
      <w:marLeft w:val="0"/>
      <w:marRight w:val="0"/>
      <w:marTop w:val="0"/>
      <w:marBottom w:val="0"/>
      <w:divBdr>
        <w:top w:val="none" w:sz="0" w:space="0" w:color="auto"/>
        <w:left w:val="none" w:sz="0" w:space="0" w:color="auto"/>
        <w:bottom w:val="none" w:sz="0" w:space="0" w:color="auto"/>
        <w:right w:val="none" w:sz="0" w:space="0" w:color="auto"/>
      </w:divBdr>
      <w:divsChild>
        <w:div w:id="111023565">
          <w:marLeft w:val="0"/>
          <w:marRight w:val="0"/>
          <w:marTop w:val="150"/>
          <w:marBottom w:val="150"/>
          <w:divBdr>
            <w:top w:val="none" w:sz="0" w:space="0" w:color="auto"/>
            <w:left w:val="none" w:sz="0" w:space="0" w:color="auto"/>
            <w:bottom w:val="none" w:sz="0" w:space="0" w:color="auto"/>
            <w:right w:val="none" w:sz="0" w:space="0" w:color="auto"/>
          </w:divBdr>
          <w:divsChild>
            <w:div w:id="1260136598">
              <w:marLeft w:val="0"/>
              <w:marRight w:val="0"/>
              <w:marTop w:val="0"/>
              <w:marBottom w:val="0"/>
              <w:divBdr>
                <w:top w:val="none" w:sz="0" w:space="0" w:color="auto"/>
                <w:left w:val="none" w:sz="0" w:space="0" w:color="auto"/>
                <w:bottom w:val="none" w:sz="0" w:space="0" w:color="auto"/>
                <w:right w:val="none" w:sz="0" w:space="0" w:color="auto"/>
              </w:divBdr>
            </w:div>
          </w:divsChild>
        </w:div>
        <w:div w:id="1936551373">
          <w:marLeft w:val="0"/>
          <w:marRight w:val="0"/>
          <w:marTop w:val="150"/>
          <w:marBottom w:val="150"/>
          <w:divBdr>
            <w:top w:val="none" w:sz="0" w:space="0" w:color="auto"/>
            <w:left w:val="none" w:sz="0" w:space="0" w:color="auto"/>
            <w:bottom w:val="none" w:sz="0" w:space="0" w:color="auto"/>
            <w:right w:val="none" w:sz="0" w:space="0" w:color="auto"/>
          </w:divBdr>
          <w:divsChild>
            <w:div w:id="1838304558">
              <w:marLeft w:val="0"/>
              <w:marRight w:val="0"/>
              <w:marTop w:val="0"/>
              <w:marBottom w:val="0"/>
              <w:divBdr>
                <w:top w:val="none" w:sz="0" w:space="0" w:color="auto"/>
                <w:left w:val="none" w:sz="0" w:space="0" w:color="auto"/>
                <w:bottom w:val="none" w:sz="0" w:space="0" w:color="auto"/>
                <w:right w:val="none" w:sz="0" w:space="0" w:color="auto"/>
              </w:divBdr>
            </w:div>
          </w:divsChild>
        </w:div>
        <w:div w:id="440221920">
          <w:marLeft w:val="0"/>
          <w:marRight w:val="0"/>
          <w:marTop w:val="150"/>
          <w:marBottom w:val="150"/>
          <w:divBdr>
            <w:top w:val="none" w:sz="0" w:space="0" w:color="auto"/>
            <w:left w:val="none" w:sz="0" w:space="0" w:color="auto"/>
            <w:bottom w:val="none" w:sz="0" w:space="0" w:color="auto"/>
            <w:right w:val="none" w:sz="0" w:space="0" w:color="auto"/>
          </w:divBdr>
          <w:divsChild>
            <w:div w:id="174741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mop-01/full/mop-01-dec-zh.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cbd.int/documents/CBD/CP/MOP/11/3" TargetMode="External"/><Relationship Id="rId10" Type="http://schemas.openxmlformats.org/officeDocument/2006/relationships/image" Target="media/image1.emf"/><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oc/decisions/mop-05/full/mop-05-dec-zh.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lherme.patury\Downloads\template-sbi-04%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148846-F5CC-4FA6-A014-7A05D7E282D3}">
  <ds:schemaRefs>
    <ds:schemaRef ds:uri="http://schemas.openxmlformats.org/officeDocument/2006/bibliography"/>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6AD59198-7182-486C-A62B-35E72CD8C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template-sbi-04 (1).dotm</Template>
  <TotalTime>102</TotalTime>
  <Pages>3</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为作为卡塔赫纳生物安全议定书缔约方会议的生物多样性公约缔约方大会第十一次会议编制的决定草案汇编</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为作为卡塔赫纳生物安全议定书缔约方会议的生物多样性公约缔约方大会第十一次会议编制的决定草案汇编</dc:title>
  <dc:creator>guilherme.patury</dc:creator>
  <cp:lastModifiedBy>SCBD</cp:lastModifiedBy>
  <cp:revision>9</cp:revision>
  <cp:lastPrinted>2024-09-10T13:48:00Z</cp:lastPrinted>
  <dcterms:created xsi:type="dcterms:W3CDTF">2025-02-06T22:49:00Z</dcterms:created>
  <dcterms:modified xsi:type="dcterms:W3CDTF">2025-02-07T01:09:00Z</dcterms:modified>
</cp:coreProperties>
</file>