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2" w:type="dxa"/>
        <w:tblInd w:w="-283" w:type="dxa"/>
        <w:tblLayout w:type="fixed"/>
        <w:tblLook w:val="0000" w:firstRow="0" w:lastRow="0" w:firstColumn="0" w:lastColumn="0" w:noHBand="0" w:noVBand="0"/>
      </w:tblPr>
      <w:tblGrid>
        <w:gridCol w:w="975"/>
        <w:gridCol w:w="1434"/>
        <w:gridCol w:w="8073"/>
      </w:tblGrid>
      <w:tr w:rsidR="00826B18" w:rsidRPr="003E50EB" w14:paraId="70DBD24E" w14:textId="77777777" w:rsidTr="00826B18">
        <w:trPr>
          <w:trHeight w:val="850"/>
        </w:trPr>
        <w:tc>
          <w:tcPr>
            <w:tcW w:w="975" w:type="dxa"/>
            <w:shd w:val="clear" w:color="auto" w:fill="auto"/>
            <w:vAlign w:val="bottom"/>
          </w:tcPr>
          <w:p w14:paraId="55627B33" w14:textId="03D4B91F" w:rsidR="00826B18" w:rsidRPr="003E50EB" w:rsidRDefault="00826B18" w:rsidP="00826B18">
            <w:pPr>
              <w:pStyle w:val="AASmallLogo"/>
            </w:pPr>
            <w:bookmarkStart w:id="0" w:name="_GoBack"/>
            <w:bookmarkEnd w:id="0"/>
            <w:r w:rsidRPr="003E50EB">
              <w:rPr>
                <w:noProof/>
                <w:lang w:val="en-CA" w:eastAsia="en-CA"/>
                <w14:ligatures w14:val="standardContextual"/>
              </w:rPr>
              <w:drawing>
                <wp:inline distT="0" distB="0" distL="0" distR="0" wp14:anchorId="12CE8E1D" wp14:editId="5236394E">
                  <wp:extent cx="474727" cy="402337"/>
                  <wp:effectExtent l="0" t="0" r="1905" b="0"/>
                  <wp:docPr id="2136593255" name="Picture 1"/>
                  <wp:cNvGraphicFramePr/>
                  <a:graphic xmlns:a="http://schemas.openxmlformats.org/drawingml/2006/main">
                    <a:graphicData uri="http://schemas.openxmlformats.org/drawingml/2006/picture">
                      <pic:pic xmlns:pic="http://schemas.openxmlformats.org/drawingml/2006/picture">
                        <pic:nvPicPr>
                          <pic:cNvPr id="2136593255"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3E50EB">
              <w:t xml:space="preserve"> </w:t>
            </w:r>
          </w:p>
          <w:p w14:paraId="7BB3E199" w14:textId="0A435D64" w:rsidR="00826B18" w:rsidRPr="003E50EB" w:rsidRDefault="00826B18" w:rsidP="00826B18">
            <w:pPr>
              <w:pStyle w:val="AASmallLogo"/>
            </w:pPr>
          </w:p>
        </w:tc>
        <w:tc>
          <w:tcPr>
            <w:tcW w:w="1434" w:type="dxa"/>
            <w:shd w:val="clear" w:color="auto" w:fill="auto"/>
            <w:noWrap/>
            <w:vAlign w:val="bottom"/>
          </w:tcPr>
          <w:p w14:paraId="34214783" w14:textId="3D6D8187" w:rsidR="00826B18" w:rsidRPr="003E50EB" w:rsidRDefault="00826B18" w:rsidP="00826B18">
            <w:pPr>
              <w:pStyle w:val="AASmallLogo"/>
            </w:pPr>
            <w:r w:rsidRPr="003E50EB">
              <w:rPr>
                <w:noProof/>
                <w:lang w:val="en-CA" w:eastAsia="en-CA"/>
                <w14:ligatures w14:val="standardContextual"/>
              </w:rPr>
              <w:drawing>
                <wp:inline distT="0" distB="0" distL="0" distR="0" wp14:anchorId="2D0EDD5A" wp14:editId="5208AD75">
                  <wp:extent cx="498788" cy="357465"/>
                  <wp:effectExtent l="0" t="0" r="0" b="5080"/>
                  <wp:docPr id="2117720663" name="Picture 2"/>
                  <wp:cNvGraphicFramePr/>
                  <a:graphic xmlns:a="http://schemas.openxmlformats.org/drawingml/2006/main">
                    <a:graphicData uri="http://schemas.openxmlformats.org/drawingml/2006/picture">
                      <pic:pic xmlns:pic="http://schemas.openxmlformats.org/drawingml/2006/picture">
                        <pic:nvPicPr>
                          <pic:cNvPr id="2117720663" name=""/>
                          <pic:cNvPicPr/>
                        </pic:nvPicPr>
                        <pic:blipFill>
                          <a:blip r:embed="rId11">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3E50EB">
              <w:t xml:space="preserve"> </w:t>
            </w:r>
          </w:p>
          <w:p w14:paraId="3EE2A4CA" w14:textId="054145D9" w:rsidR="00826B18" w:rsidRPr="003E50EB" w:rsidRDefault="00826B18" w:rsidP="00826B18">
            <w:pPr>
              <w:pStyle w:val="AASmallLogo"/>
            </w:pPr>
          </w:p>
        </w:tc>
        <w:tc>
          <w:tcPr>
            <w:tcW w:w="8073" w:type="dxa"/>
            <w:shd w:val="clear" w:color="auto" w:fill="auto"/>
            <w:vAlign w:val="bottom"/>
          </w:tcPr>
          <w:p w14:paraId="17D8BD1D" w14:textId="697FA1E1" w:rsidR="00826B18" w:rsidRPr="003E50EB" w:rsidRDefault="00CA59AB" w:rsidP="00826B18">
            <w:pPr>
              <w:pStyle w:val="ABSymbol"/>
              <w:rPr>
                <w:sz w:val="22"/>
                <w:szCs w:val="22"/>
              </w:rPr>
            </w:pPr>
            <w:r w:rsidRPr="003E50EB">
              <w:rPr>
                <w:sz w:val="22"/>
                <w:szCs w:val="22"/>
              </w:rPr>
              <w:fldChar w:fldCharType="begin"/>
            </w:r>
            <w:r w:rsidRPr="003E50EB">
              <w:rPr>
                <w:sz w:val="22"/>
                <w:szCs w:val="22"/>
              </w:rPr>
              <w:instrText xml:space="preserve"> DOCPROPERTY Subject \* MERGEFORMAT </w:instrText>
            </w:r>
            <w:r w:rsidRPr="003E50EB">
              <w:rPr>
                <w:sz w:val="22"/>
                <w:szCs w:val="22"/>
              </w:rPr>
              <w:fldChar w:fldCharType="separate"/>
            </w:r>
            <w:r w:rsidRPr="003E50EB">
              <w:rPr>
                <w:sz w:val="40"/>
                <w:szCs w:val="40"/>
              </w:rPr>
              <w:t>CBD</w:t>
            </w:r>
            <w:r w:rsidRPr="003E50EB">
              <w:rPr>
                <w:sz w:val="22"/>
                <w:szCs w:val="22"/>
              </w:rPr>
              <w:t>/CP/MOP/DEC/11/7</w:t>
            </w:r>
            <w:r w:rsidRPr="003E50EB">
              <w:rPr>
                <w:sz w:val="22"/>
                <w:szCs w:val="22"/>
              </w:rPr>
              <w:fldChar w:fldCharType="end"/>
            </w:r>
          </w:p>
        </w:tc>
      </w:tr>
    </w:tbl>
    <w:p w14:paraId="39A877E0" w14:textId="77777777" w:rsidR="009443D7" w:rsidRPr="003E50EB" w:rsidRDefault="009443D7" w:rsidP="00826B18">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26B18" w:rsidRPr="003E50EB" w14:paraId="52A9537E" w14:textId="77777777" w:rsidTr="00826B18">
        <w:trPr>
          <w:trHeight w:val="1814"/>
        </w:trPr>
        <w:tc>
          <w:tcPr>
            <w:tcW w:w="7370" w:type="dxa"/>
            <w:shd w:val="clear" w:color="auto" w:fill="auto"/>
          </w:tcPr>
          <w:p w14:paraId="59FC3EDD" w14:textId="7507AE03" w:rsidR="00826B18" w:rsidRPr="003E50EB" w:rsidRDefault="00826B18" w:rsidP="00826B18">
            <w:pPr>
              <w:pStyle w:val="ACLargeLogo"/>
            </w:pPr>
            <w:r w:rsidRPr="003E50EB">
              <w:rPr>
                <w:noProof/>
                <w:lang w:val="en-CA" w:eastAsia="en-CA"/>
                <w14:ligatures w14:val="standardContextual"/>
              </w:rPr>
              <w:drawing>
                <wp:inline distT="0" distB="0" distL="0" distR="0" wp14:anchorId="42AB9EF4" wp14:editId="3E9BA2B8">
                  <wp:extent cx="2755631" cy="1030313"/>
                  <wp:effectExtent l="0" t="0" r="0" b="0"/>
                  <wp:docPr id="1146546960" name="Picture 3"/>
                  <wp:cNvGraphicFramePr/>
                  <a:graphic xmlns:a="http://schemas.openxmlformats.org/drawingml/2006/main">
                    <a:graphicData uri="http://schemas.openxmlformats.org/drawingml/2006/picture">
                      <pic:pic xmlns:pic="http://schemas.openxmlformats.org/drawingml/2006/picture">
                        <pic:nvPicPr>
                          <pic:cNvPr id="1146546960" name=""/>
                          <pic:cNvPicPr/>
                        </pic:nvPicPr>
                        <pic:blipFill>
                          <a:blip r:embed="rId12">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3E50EB">
              <w:t xml:space="preserve"> </w:t>
            </w:r>
          </w:p>
          <w:p w14:paraId="14373D68" w14:textId="31F3331A" w:rsidR="00826B18" w:rsidRPr="003E50EB" w:rsidRDefault="00826B18" w:rsidP="00826B18">
            <w:pPr>
              <w:pStyle w:val="ACLargeLogo"/>
            </w:pPr>
          </w:p>
        </w:tc>
        <w:tc>
          <w:tcPr>
            <w:tcW w:w="3112" w:type="dxa"/>
            <w:shd w:val="clear" w:color="auto" w:fill="auto"/>
          </w:tcPr>
          <w:p w14:paraId="281C19C6" w14:textId="72D9EBB3" w:rsidR="00826B18" w:rsidRPr="003E50EB" w:rsidRDefault="00826B18" w:rsidP="00826B18">
            <w:pPr>
              <w:pStyle w:val="AEDistrNormal"/>
            </w:pPr>
            <w:r w:rsidRPr="003E50EB">
              <w:t xml:space="preserve">Distr.: </w:t>
            </w:r>
            <w:sdt>
              <w:sdtPr>
                <w:alias w:val="DistributionType"/>
                <w:id w:val="-943536495"/>
                <w:placeholder>
                  <w:docPart w:val="537D9D7C40F1433C964135921AE6D203"/>
                </w:placeholder>
                <w15:color w:val="800000"/>
              </w:sdtPr>
              <w:sdtEndPr/>
              <w:sdtContent>
                <w:r w:rsidRPr="003E50EB">
                  <w:t>General</w:t>
                </w:r>
              </w:sdtContent>
            </w:sdt>
            <w:r w:rsidRPr="003E50EB">
              <w:t xml:space="preserve"> </w:t>
            </w:r>
          </w:p>
          <w:p w14:paraId="40626E3D" w14:textId="738CD91C" w:rsidR="00826B18" w:rsidRPr="003E50EB" w:rsidRDefault="003B2E75" w:rsidP="00826B18">
            <w:pPr>
              <w:pStyle w:val="AEDistrNormal"/>
            </w:pPr>
            <w:sdt>
              <w:sdtPr>
                <w:alias w:val="DistributionDate"/>
                <w:id w:val="1090040067"/>
                <w:placeholder>
                  <w:docPart w:val="589DAB67B08C4894BD605321B97EB4D9"/>
                </w:placeholder>
                <w15:color w:val="800000"/>
              </w:sdtPr>
              <w:sdtEndPr/>
              <w:sdtContent>
                <w:r w:rsidR="00E7517B" w:rsidRPr="003E50EB">
                  <w:t>3</w:t>
                </w:r>
                <w:r w:rsidR="006207B4">
                  <w:t>0</w:t>
                </w:r>
                <w:r w:rsidR="00826B18" w:rsidRPr="003E50EB">
                  <w:t xml:space="preserve"> October 202</w:t>
                </w:r>
                <w:r w:rsidR="008E6FA1" w:rsidRPr="003E50EB">
                  <w:t>4</w:t>
                </w:r>
              </w:sdtContent>
            </w:sdt>
            <w:r w:rsidR="00826B18" w:rsidRPr="003E50EB">
              <w:t xml:space="preserve"> </w:t>
            </w:r>
          </w:p>
          <w:p w14:paraId="6885AE69" w14:textId="0DB58DE3" w:rsidR="00826B18" w:rsidRPr="003E50EB" w:rsidRDefault="003B2E75" w:rsidP="00826B18">
            <w:pPr>
              <w:pStyle w:val="AEDistrNormal6pt"/>
            </w:pPr>
            <w:sdt>
              <w:sdtPr>
                <w:alias w:val="DistributionLanguage"/>
                <w:id w:val="-1478219683"/>
                <w:placeholder>
                  <w:docPart w:val="7588511DD0584B9C87618C4D7AABEB34"/>
                </w:placeholder>
                <w15:color w:val="800000"/>
              </w:sdtPr>
              <w:sdtEndPr/>
              <w:sdtContent>
                <w:r w:rsidR="00826B18" w:rsidRPr="003E50EB">
                  <w:t>Original: English</w:t>
                </w:r>
              </w:sdtContent>
            </w:sdt>
            <w:r w:rsidR="00826B18" w:rsidRPr="003E50EB">
              <w:t xml:space="preserve"> </w:t>
            </w:r>
          </w:p>
          <w:p w14:paraId="263B794D" w14:textId="45B2697D" w:rsidR="00826B18" w:rsidRPr="003E50EB" w:rsidRDefault="00826B18" w:rsidP="00826B18">
            <w:pPr>
              <w:pStyle w:val="AEDistrNormal6pt"/>
            </w:pPr>
          </w:p>
        </w:tc>
      </w:tr>
    </w:tbl>
    <w:p w14:paraId="27487BE5" w14:textId="77777777" w:rsidR="00826B18" w:rsidRPr="003E50EB" w:rsidRDefault="00826B18" w:rsidP="00826B18">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26B18" w:rsidRPr="003E50EB" w14:paraId="32F8FA33" w14:textId="77777777" w:rsidTr="00826B18">
        <w:trPr>
          <w:trHeight w:val="57"/>
        </w:trPr>
        <w:tc>
          <w:tcPr>
            <w:tcW w:w="6094" w:type="dxa"/>
            <w:shd w:val="clear" w:color="auto" w:fill="auto"/>
          </w:tcPr>
          <w:p w14:paraId="7E769921" w14:textId="2306F975" w:rsidR="00826B18" w:rsidRPr="003E50EB" w:rsidRDefault="003B2E75" w:rsidP="00826B18">
            <w:pPr>
              <w:pStyle w:val="AFCorN12Bold"/>
            </w:pPr>
            <w:sdt>
              <w:sdtPr>
                <w:alias w:val="CorNot1Text"/>
                <w:id w:val="1971018176"/>
                <w:placeholder>
                  <w:docPart w:val="9F1F261572B44A579B41DC5262C7583E"/>
                </w:placeholder>
                <w15:color w:val="800000"/>
                <w:text w:multiLine="1"/>
              </w:sdtPr>
              <w:sdtEndPr/>
              <w:sdtContent>
                <w:r w:rsidR="00826B18" w:rsidRPr="003E50EB">
                  <w:t xml:space="preserve">Conference of the Parties to the Convention on </w:t>
                </w:r>
                <w:r w:rsidR="00826B18" w:rsidRPr="003E50EB">
                  <w:br/>
                  <w:t xml:space="preserve">Biological Diversity serving as the meeting of the </w:t>
                </w:r>
                <w:r w:rsidR="00826B18" w:rsidRPr="003E50EB">
                  <w:br/>
                  <w:t>Parties to the Cartagena Protocol on Biosafety</w:t>
                </w:r>
              </w:sdtContent>
            </w:sdt>
            <w:r w:rsidR="00826B18" w:rsidRPr="003E50EB">
              <w:t xml:space="preserve"> </w:t>
            </w:r>
          </w:p>
          <w:p w14:paraId="59C22D78" w14:textId="089F0551" w:rsidR="00826B18" w:rsidRPr="003E50EB" w:rsidRDefault="003B2E75" w:rsidP="00826B18">
            <w:pPr>
              <w:pStyle w:val="AFCorNBold"/>
            </w:pPr>
            <w:sdt>
              <w:sdtPr>
                <w:alias w:val="CorNot1TextPart2"/>
                <w:id w:val="-1728751740"/>
                <w:placeholder>
                  <w:docPart w:val="B9873788B48E44E58D56666428B1CE7D"/>
                </w:placeholder>
                <w15:color w:val="800000"/>
                <w:text w:multiLine="1"/>
              </w:sdtPr>
              <w:sdtEndPr/>
              <w:sdtContent>
                <w:r w:rsidR="00826B18" w:rsidRPr="003E50EB">
                  <w:t>Eleventh meeting</w:t>
                </w:r>
              </w:sdtContent>
            </w:sdt>
            <w:r w:rsidR="00826B18" w:rsidRPr="003E50EB">
              <w:t xml:space="preserve"> </w:t>
            </w:r>
          </w:p>
          <w:p w14:paraId="08ED4AD2" w14:textId="66379809" w:rsidR="00826B18" w:rsidRPr="003E50EB" w:rsidRDefault="003B2E75" w:rsidP="00826B18">
            <w:pPr>
              <w:pStyle w:val="AFCorNBold"/>
              <w:rPr>
                <w:b w:val="0"/>
                <w:bCs/>
              </w:rPr>
            </w:pPr>
            <w:sdt>
              <w:sdtPr>
                <w:alias w:val="CorNot1VenueDate"/>
                <w:id w:val="152953731"/>
                <w:placeholder>
                  <w:docPart w:val="64874FC6DF4A417F8E01C547D30CB1A0"/>
                </w:placeholder>
                <w15:color w:val="800000"/>
              </w:sdtPr>
              <w:sdtEndPr>
                <w:rPr>
                  <w:b w:val="0"/>
                  <w:bCs/>
                </w:rPr>
              </w:sdtEndPr>
              <w:sdtContent>
                <w:r w:rsidR="00826B18" w:rsidRPr="003E50EB">
                  <w:rPr>
                    <w:b w:val="0"/>
                    <w:bCs/>
                  </w:rPr>
                  <w:t>Cali, Colombia, 21 October–1 November 2024</w:t>
                </w:r>
              </w:sdtContent>
            </w:sdt>
            <w:r w:rsidR="00826B18" w:rsidRPr="003E50EB">
              <w:rPr>
                <w:b w:val="0"/>
                <w:bCs/>
              </w:rPr>
              <w:t xml:space="preserve"> </w:t>
            </w:r>
          </w:p>
          <w:p w14:paraId="2EF44AAB" w14:textId="56A8724F" w:rsidR="00826B18" w:rsidRPr="003E50EB" w:rsidRDefault="003B2E75" w:rsidP="00826B18">
            <w:pPr>
              <w:pStyle w:val="AFCorNNormal"/>
            </w:pPr>
            <w:sdt>
              <w:sdtPr>
                <w:alias w:val="CorNot1AgItem"/>
                <w:id w:val="287018184"/>
                <w:placeholder>
                  <w:docPart w:val="4DAAF98F411D4DFEA5A9AD38FBF4D602"/>
                </w:placeholder>
                <w15:color w:val="800000"/>
                <w:text/>
              </w:sdtPr>
              <w:sdtEndPr/>
              <w:sdtContent>
                <w:r w:rsidR="00826B18" w:rsidRPr="003E50EB">
                  <w:t>Agenda item 1</w:t>
                </w:r>
                <w:r w:rsidR="004628D2" w:rsidRPr="003E50EB">
                  <w:t>1</w:t>
                </w:r>
              </w:sdtContent>
            </w:sdt>
            <w:r w:rsidR="00826B18" w:rsidRPr="003E50EB">
              <w:t xml:space="preserve"> </w:t>
            </w:r>
          </w:p>
          <w:p w14:paraId="5A5F6AAC" w14:textId="5A8F7124" w:rsidR="00826B18" w:rsidRPr="003E50EB" w:rsidRDefault="00A050C5" w:rsidP="00826B18">
            <w:pPr>
              <w:pStyle w:val="AFCorNBold"/>
            </w:pPr>
            <w:r w:rsidRPr="003E50EB">
              <w:t>Risk assessment and risk management</w:t>
            </w:r>
          </w:p>
        </w:tc>
        <w:tc>
          <w:tcPr>
            <w:tcW w:w="4388" w:type="dxa"/>
            <w:shd w:val="clear" w:color="auto" w:fill="auto"/>
          </w:tcPr>
          <w:p w14:paraId="198C35CF" w14:textId="77777777" w:rsidR="00826B18" w:rsidRPr="003E50EB" w:rsidRDefault="00826B18" w:rsidP="00826B18">
            <w:pPr>
              <w:pStyle w:val="CBDNormal"/>
              <w:jc w:val="left"/>
            </w:pPr>
          </w:p>
        </w:tc>
      </w:tr>
    </w:tbl>
    <w:sdt>
      <w:sdtPr>
        <w:alias w:val="Title"/>
        <w:id w:val="602310712"/>
        <w:placeholder>
          <w:docPart w:val="DefaultPlaceholder_-1854013440"/>
        </w:placeholder>
        <w15:color w:val="800000"/>
      </w:sdtPr>
      <w:sdtEndPr/>
      <w:sdtContent>
        <w:p w14:paraId="19699565" w14:textId="67317D2E" w:rsidR="00826B18" w:rsidRPr="003E50EB" w:rsidRDefault="003B2E75" w:rsidP="00826B18">
          <w:pPr>
            <w:pStyle w:val="CBDTitle"/>
          </w:pPr>
          <w:r>
            <w:fldChar w:fldCharType="begin"/>
          </w:r>
          <w:r>
            <w:instrText xml:space="preserve"> DOCPROPERTY Title \* MERGEFORMAT </w:instrText>
          </w:r>
          <w:r>
            <w:fldChar w:fldCharType="separate"/>
          </w:r>
          <w:r w:rsidR="004A5143" w:rsidRPr="003E50EB">
            <w:t>Decision adopted by the Conference of the Parties to the Convention on Biological Diversity serving as the meeting of the Parties to the Cartagena Protocol on Biosafety on 30 October 2024</w:t>
          </w:r>
          <w:r>
            <w:fldChar w:fldCharType="end"/>
          </w:r>
        </w:p>
      </w:sdtContent>
    </w:sdt>
    <w:p w14:paraId="3EB608F0" w14:textId="49C2BACD" w:rsidR="00826B18" w:rsidRPr="003E50EB" w:rsidRDefault="00826B18" w:rsidP="00417CEB">
      <w:pPr>
        <w:pStyle w:val="CBDSubTitle"/>
      </w:pPr>
      <w:r w:rsidRPr="003E50EB">
        <w:t>CP-11</w:t>
      </w:r>
      <w:r w:rsidR="00E7517B" w:rsidRPr="003E50EB">
        <w:t>/7.</w:t>
      </w:r>
      <w:r w:rsidR="00E7517B" w:rsidRPr="003E50EB">
        <w:tab/>
      </w:r>
      <w:r w:rsidR="00A050C5" w:rsidRPr="003E50EB">
        <w:t>Risk assessment and risk management</w:t>
      </w:r>
    </w:p>
    <w:p w14:paraId="523D0F44" w14:textId="377D108F" w:rsidR="00CB21D0" w:rsidRPr="003E50EB" w:rsidRDefault="00CB21D0" w:rsidP="00417CEB">
      <w:pPr>
        <w:pStyle w:val="CBDDesicionText"/>
      </w:pPr>
      <w:r w:rsidRPr="00417CEB">
        <w:rPr>
          <w:i/>
          <w:iCs/>
        </w:rPr>
        <w:t xml:space="preserve">The </w:t>
      </w:r>
      <w:bookmarkStart w:id="1" w:name="_Hlk166647235"/>
      <w:r w:rsidRPr="00417CEB">
        <w:rPr>
          <w:i/>
          <w:iCs/>
        </w:rPr>
        <w:t>Conference of the Parties serving as the meeting of the Parties to the Cartagena Protocol</w:t>
      </w:r>
      <w:r w:rsidR="002839D9" w:rsidRPr="00417CEB">
        <w:t>,</w:t>
      </w:r>
      <w:bookmarkEnd w:id="1"/>
    </w:p>
    <w:p w14:paraId="0B7F954C" w14:textId="78B05F7D" w:rsidR="00CB21D0" w:rsidRPr="003E50EB" w:rsidRDefault="00CB21D0" w:rsidP="00417CEB">
      <w:pPr>
        <w:pStyle w:val="CBDDesicionText"/>
      </w:pPr>
      <w:r w:rsidRPr="003E50EB">
        <w:rPr>
          <w:i/>
          <w:iCs/>
        </w:rPr>
        <w:t>Recalling</w:t>
      </w:r>
      <w:r w:rsidRPr="003E50EB">
        <w:t xml:space="preserve"> Article</w:t>
      </w:r>
      <w:r w:rsidR="00247898">
        <w:t> </w:t>
      </w:r>
      <w:r w:rsidRPr="003E50EB">
        <w:t>1 of the Cartagena Protocol on Biosafety,</w:t>
      </w:r>
      <w:r w:rsidRPr="003E50EB">
        <w:rPr>
          <w:rStyle w:val="FootnoteReference"/>
        </w:rPr>
        <w:footnoteReference w:id="2"/>
      </w:r>
    </w:p>
    <w:p w14:paraId="388F462C" w14:textId="77777777" w:rsidR="00CB21D0" w:rsidRPr="003E50EB" w:rsidRDefault="00CB21D0" w:rsidP="00417CEB">
      <w:pPr>
        <w:pStyle w:val="CBDDesicionText"/>
      </w:pPr>
      <w:r w:rsidRPr="003E50EB">
        <w:rPr>
          <w:i/>
          <w:iCs/>
        </w:rPr>
        <w:t xml:space="preserve">Recalling also </w:t>
      </w:r>
      <w:r w:rsidRPr="003E50EB">
        <w:t xml:space="preserve">decision </w:t>
      </w:r>
      <w:hyperlink r:id="rId13" w:history="1">
        <w:r w:rsidRPr="003E50EB">
          <w:rPr>
            <w:rStyle w:val="Hyperlink"/>
          </w:rPr>
          <w:t>CP-10/10</w:t>
        </w:r>
      </w:hyperlink>
      <w:r w:rsidRPr="003E50EB">
        <w:t xml:space="preserve"> of 10 December 2022,</w:t>
      </w:r>
    </w:p>
    <w:p w14:paraId="6B83DD59" w14:textId="77777777" w:rsidR="00CB21D0" w:rsidRPr="00417CEB" w:rsidRDefault="00CB21D0" w:rsidP="00417CEB">
      <w:pPr>
        <w:pStyle w:val="CBDDesicionText"/>
        <w:rPr>
          <w:i/>
          <w:iCs/>
        </w:rPr>
      </w:pPr>
      <w:r w:rsidRPr="00417CEB">
        <w:rPr>
          <w:i/>
          <w:iCs/>
        </w:rPr>
        <w:t xml:space="preserve">Recalling further </w:t>
      </w:r>
      <w:r w:rsidRPr="00417CEB">
        <w:t>decision</w:t>
      </w:r>
      <w:r w:rsidRPr="00417CEB">
        <w:rPr>
          <w:i/>
          <w:iCs/>
        </w:rPr>
        <w:t xml:space="preserve"> </w:t>
      </w:r>
      <w:hyperlink r:id="rId14" w:history="1">
        <w:r w:rsidRPr="003E50EB">
          <w:rPr>
            <w:rStyle w:val="Hyperlink"/>
          </w:rPr>
          <w:t>CP</w:t>
        </w:r>
        <w:r w:rsidRPr="00417CEB">
          <w:rPr>
            <w:rStyle w:val="Hyperlink"/>
          </w:rPr>
          <w:t>-9/13</w:t>
        </w:r>
      </w:hyperlink>
      <w:r w:rsidRPr="00417CEB">
        <w:t xml:space="preserve"> of 28 November 2018, by which it established a process for the identification and prioritization of specific issues regarding the risk assessment of living modified organisms that might warrant consideration,</w:t>
      </w:r>
    </w:p>
    <w:p w14:paraId="3CCF9798" w14:textId="020E4130" w:rsidR="00CB21D0" w:rsidRPr="003E50EB" w:rsidRDefault="00CB21D0" w:rsidP="00417CEB">
      <w:pPr>
        <w:pStyle w:val="CBDDesicionText"/>
      </w:pPr>
      <w:r w:rsidRPr="003E50EB">
        <w:rPr>
          <w:i/>
          <w:iCs/>
        </w:rPr>
        <w:t xml:space="preserve">Recalling </w:t>
      </w:r>
      <w:r w:rsidRPr="003E50EB">
        <w:t>paragraph</w:t>
      </w:r>
      <w:r w:rsidR="00247898">
        <w:t> </w:t>
      </w:r>
      <w:r w:rsidRPr="003E50EB">
        <w:t xml:space="preserve">7 of decision </w:t>
      </w:r>
      <w:hyperlink r:id="rId15" w:history="1">
        <w:r w:rsidRPr="00BB7218">
          <w:rPr>
            <w:rStyle w:val="Hyperlink"/>
          </w:rPr>
          <w:t>14/19</w:t>
        </w:r>
      </w:hyperlink>
      <w:r w:rsidRPr="003E50EB">
        <w:t xml:space="preserve"> of 29 November 2018 of the Conference of the Parties to the Convention on Biological Diversity,</w:t>
      </w:r>
      <w:r w:rsidRPr="003E50EB">
        <w:rPr>
          <w:rStyle w:val="FootnoteReference"/>
        </w:rPr>
        <w:footnoteReference w:id="3"/>
      </w:r>
      <w:r w:rsidRPr="003E50EB">
        <w:t xml:space="preserve"> in which the Conference of the Parties emphasized the need for a coordinated, complementary and non-duplicative approach on issues related to synthetic biology under the Convention and its Protocols, and</w:t>
      </w:r>
      <w:r w:rsidRPr="003E50EB">
        <w:rPr>
          <w:i/>
          <w:iCs/>
        </w:rPr>
        <w:t xml:space="preserve"> </w:t>
      </w:r>
      <w:r w:rsidRPr="003E50EB">
        <w:t>noting, where appropriate, the conclusions of the multidisciplinary Ad Hoc Technical Expert Group on Synthetic Biology to Support the Process for Broad and Regular Horizon Scanning, Monitoring and Assessment,</w:t>
      </w:r>
      <w:r w:rsidRPr="003E50EB">
        <w:rPr>
          <w:rStyle w:val="FootnoteReference"/>
        </w:rPr>
        <w:footnoteReference w:id="4"/>
      </w:r>
    </w:p>
    <w:p w14:paraId="02F76A3B" w14:textId="77777777" w:rsidR="00CB21D0" w:rsidRPr="003E50EB" w:rsidRDefault="00CB21D0" w:rsidP="00417CEB">
      <w:pPr>
        <w:pStyle w:val="CBDDesicionText"/>
      </w:pPr>
      <w:r w:rsidRPr="003E50EB">
        <w:rPr>
          <w:i/>
          <w:iCs/>
        </w:rPr>
        <w:t xml:space="preserve">Taking note </w:t>
      </w:r>
      <w:r w:rsidRPr="003E50EB">
        <w:t>of the assessment by the Ad Hoc Technical Expert Group on Risk Assessment of additional issues on which guidance materials on risk assessment may be needed,</w:t>
      </w:r>
      <w:r w:rsidRPr="003E50EB">
        <w:rPr>
          <w:rStyle w:val="FootnoteReference"/>
          <w:kern w:val="22"/>
        </w:rPr>
        <w:footnoteReference w:id="5"/>
      </w:r>
    </w:p>
    <w:p w14:paraId="68B2FBE6" w14:textId="77777777" w:rsidR="00CB21D0" w:rsidRPr="003E50EB" w:rsidRDefault="00CB21D0" w:rsidP="00417CEB">
      <w:pPr>
        <w:pStyle w:val="CBDDesicionText"/>
        <w:rPr>
          <w:i/>
          <w:iCs/>
        </w:rPr>
      </w:pPr>
      <w:r w:rsidRPr="003E50EB">
        <w:t>1.</w:t>
      </w:r>
      <w:r w:rsidRPr="003E50EB">
        <w:tab/>
      </w:r>
      <w:r w:rsidRPr="00C237FD">
        <w:rPr>
          <w:i/>
          <w:iCs/>
        </w:rPr>
        <w:t>Welcomes</w:t>
      </w:r>
      <w:r w:rsidRPr="00417CEB">
        <w:rPr>
          <w:i/>
          <w:iCs/>
        </w:rPr>
        <w:t xml:space="preserve"> with appreciation</w:t>
      </w:r>
      <w:r w:rsidRPr="003E50EB">
        <w:t xml:space="preserve"> the outcomes of the meetings of the Ad Hoc Technical Expert Group on Risk Assessment;</w:t>
      </w:r>
      <w:r w:rsidRPr="003E50EB">
        <w:rPr>
          <w:rStyle w:val="FootnoteReference"/>
        </w:rPr>
        <w:footnoteReference w:id="6"/>
      </w:r>
    </w:p>
    <w:p w14:paraId="357695AD" w14:textId="771136EC" w:rsidR="00CB21D0" w:rsidRPr="003E50EB" w:rsidRDefault="00CB21D0" w:rsidP="00417CEB">
      <w:pPr>
        <w:pStyle w:val="CBDDesicionText"/>
        <w:rPr>
          <w:i/>
          <w:iCs/>
        </w:rPr>
      </w:pPr>
      <w:r w:rsidRPr="003E50EB">
        <w:t>2.</w:t>
      </w:r>
      <w:r w:rsidRPr="003E50EB">
        <w:tab/>
      </w:r>
      <w:r w:rsidR="00B76CB0">
        <w:rPr>
          <w:i/>
          <w:iCs/>
        </w:rPr>
        <w:t>W</w:t>
      </w:r>
      <w:r w:rsidRPr="003E50EB">
        <w:rPr>
          <w:i/>
          <w:iCs/>
        </w:rPr>
        <w:t xml:space="preserve">elcomes </w:t>
      </w:r>
      <w:r w:rsidRPr="003E50EB">
        <w:t>the additional voluntary guidance materials to support the case-by-case risk assessment of living modified organisms containing engineered gene drives;</w:t>
      </w:r>
      <w:r w:rsidRPr="003E50EB">
        <w:rPr>
          <w:rStyle w:val="FootnoteReference"/>
        </w:rPr>
        <w:footnoteReference w:id="7"/>
      </w:r>
    </w:p>
    <w:p w14:paraId="2158E6A4" w14:textId="77777777" w:rsidR="00CB21D0" w:rsidRPr="003E50EB" w:rsidRDefault="00CB21D0" w:rsidP="00417CEB">
      <w:pPr>
        <w:pStyle w:val="CBDDesicionText"/>
      </w:pPr>
      <w:r w:rsidRPr="003E50EB">
        <w:lastRenderedPageBreak/>
        <w:t>3.</w:t>
      </w:r>
      <w:r w:rsidRPr="003E50EB">
        <w:tab/>
      </w:r>
      <w:r w:rsidRPr="003E50EB">
        <w:rPr>
          <w:i/>
          <w:iCs/>
          <w:kern w:val="22"/>
        </w:rPr>
        <w:t>Invites</w:t>
      </w:r>
      <w:r w:rsidRPr="003E50EB">
        <w:rPr>
          <w:kern w:val="22"/>
        </w:rPr>
        <w:t xml:space="preserve"> Parties, other Governments, </w:t>
      </w:r>
      <w:r w:rsidRPr="003E50EB">
        <w:t>indigenous peoples and local communities,</w:t>
      </w:r>
      <w:r w:rsidRPr="003E50EB">
        <w:rPr>
          <w:kern w:val="22"/>
        </w:rPr>
        <w:t xml:space="preserve"> women and youth organizations and relevant organizations and stakeholders to make use of the </w:t>
      </w:r>
      <w:r w:rsidRPr="003E50EB">
        <w:t xml:space="preserve">additional voluntary guidance materials in conducting relevant risk assessments and as a tool for capacity-building activities in risk assessment; </w:t>
      </w:r>
    </w:p>
    <w:p w14:paraId="6A94DE6B" w14:textId="6A7502E7" w:rsidR="00CB21D0" w:rsidRPr="003E50EB" w:rsidRDefault="00CB21D0" w:rsidP="00417CEB">
      <w:pPr>
        <w:pStyle w:val="CBDDesicionText"/>
        <w:rPr>
          <w:kern w:val="22"/>
        </w:rPr>
      </w:pPr>
      <w:r w:rsidRPr="003E50EB">
        <w:rPr>
          <w:kern w:val="22"/>
        </w:rPr>
        <w:t>4.</w:t>
      </w:r>
      <w:r w:rsidRPr="003E50EB">
        <w:rPr>
          <w:kern w:val="22"/>
        </w:rPr>
        <w:tab/>
      </w:r>
      <w:r w:rsidRPr="00DD197A">
        <w:rPr>
          <w:i/>
          <w:iCs/>
          <w:kern w:val="22"/>
        </w:rPr>
        <w:t>Calls</w:t>
      </w:r>
      <w:r w:rsidRPr="00417CEB">
        <w:rPr>
          <w:i/>
          <w:iCs/>
          <w:kern w:val="22"/>
        </w:rPr>
        <w:t xml:space="preserve"> for </w:t>
      </w:r>
      <w:r w:rsidRPr="003E50EB">
        <w:rPr>
          <w:kern w:val="22"/>
        </w:rPr>
        <w:t xml:space="preserve">the consideration of the related issues set out in the </w:t>
      </w:r>
      <w:r w:rsidRPr="003E50EB">
        <w:t>additional voluntary guidance materials</w:t>
      </w:r>
      <w:r w:rsidRPr="003E50EB">
        <w:rPr>
          <w:rStyle w:val="FootnoteReference"/>
          <w:kern w:val="22"/>
        </w:rPr>
        <w:footnoteReference w:id="8"/>
      </w:r>
      <w:r w:rsidRPr="003E50EB">
        <w:rPr>
          <w:kern w:val="22"/>
        </w:rPr>
        <w:t>, including traditional knowledge, innovation and practices of indigenous peoples and local communities</w:t>
      </w:r>
      <w:r w:rsidR="002B3B40">
        <w:rPr>
          <w:kern w:val="22"/>
        </w:rPr>
        <w:t>,</w:t>
      </w:r>
      <w:r w:rsidR="002B3B40" w:rsidRPr="002B3B40">
        <w:rPr>
          <w:kern w:val="22"/>
        </w:rPr>
        <w:t xml:space="preserve"> </w:t>
      </w:r>
      <w:r w:rsidR="002B3B40" w:rsidRPr="003E50EB">
        <w:rPr>
          <w:kern w:val="22"/>
        </w:rPr>
        <w:t>in the decision-making process</w:t>
      </w:r>
      <w:r w:rsidRPr="003E50EB">
        <w:rPr>
          <w:kern w:val="22"/>
        </w:rPr>
        <w:t>;</w:t>
      </w:r>
    </w:p>
    <w:p w14:paraId="6C259B97" w14:textId="01530426" w:rsidR="00CB21D0" w:rsidRPr="003E50EB" w:rsidRDefault="00CB21D0" w:rsidP="00417CEB">
      <w:pPr>
        <w:pStyle w:val="CBDDesicionText"/>
        <w:rPr>
          <w:kern w:val="22"/>
        </w:rPr>
      </w:pPr>
      <w:r w:rsidRPr="003E50EB">
        <w:rPr>
          <w:kern w:val="22"/>
        </w:rPr>
        <w:t>5.</w:t>
      </w:r>
      <w:r w:rsidRPr="003E50EB">
        <w:rPr>
          <w:kern w:val="22"/>
        </w:rPr>
        <w:tab/>
      </w:r>
      <w:r w:rsidRPr="003E50EB">
        <w:rPr>
          <w:i/>
          <w:iCs/>
          <w:color w:val="000000"/>
        </w:rPr>
        <w:t>Invites</w:t>
      </w:r>
      <w:r w:rsidRPr="003E50EB">
        <w:rPr>
          <w:color w:val="000000"/>
        </w:rPr>
        <w:t xml:space="preserve"> Parties, other Governments, indigenous peoples and local communities and relevant organizations and stakeholders that have used the voluntary guidance materials to submit </w:t>
      </w:r>
      <w:r w:rsidR="00555B69" w:rsidRPr="003E50EB">
        <w:rPr>
          <w:color w:val="000000"/>
        </w:rPr>
        <w:t>to the Executive Secretary</w:t>
      </w:r>
      <w:r w:rsidR="00533D42">
        <w:rPr>
          <w:color w:val="000000"/>
        </w:rPr>
        <w:t xml:space="preserve"> of the Convention</w:t>
      </w:r>
      <w:r w:rsidR="00533D42" w:rsidRPr="00533D42">
        <w:t xml:space="preserve"> </w:t>
      </w:r>
      <w:r w:rsidR="00533D42" w:rsidRPr="003E50EB">
        <w:t>on Biological Diversity</w:t>
      </w:r>
      <w:r w:rsidR="00555B69" w:rsidRPr="003E50EB">
        <w:rPr>
          <w:color w:val="000000"/>
        </w:rPr>
        <w:t xml:space="preserve"> </w:t>
      </w:r>
      <w:r w:rsidRPr="003E50EB">
        <w:rPr>
          <w:color w:val="000000"/>
        </w:rPr>
        <w:t>information on their experiences and assessment of the applicability and usefulness of the materials</w:t>
      </w:r>
      <w:r w:rsidRPr="003E50EB">
        <w:t>;</w:t>
      </w:r>
    </w:p>
    <w:p w14:paraId="79CEDF32" w14:textId="77777777" w:rsidR="00CB21D0" w:rsidRPr="003E50EB" w:rsidRDefault="00CB21D0" w:rsidP="00417CEB">
      <w:pPr>
        <w:pStyle w:val="CBDDesicionText"/>
        <w:rPr>
          <w:kern w:val="22"/>
        </w:rPr>
      </w:pPr>
      <w:r w:rsidRPr="003E50EB">
        <w:t>6.</w:t>
      </w:r>
      <w:r w:rsidRPr="003E50EB">
        <w:tab/>
      </w:r>
      <w:r w:rsidRPr="00DD197A">
        <w:rPr>
          <w:i/>
          <w:iCs/>
          <w:kern w:val="22"/>
        </w:rPr>
        <w:t xml:space="preserve">Calls </w:t>
      </w:r>
      <w:r w:rsidRPr="00417CEB">
        <w:rPr>
          <w:i/>
          <w:iCs/>
          <w:kern w:val="22"/>
        </w:rPr>
        <w:t>for</w:t>
      </w:r>
      <w:r w:rsidRPr="003E50EB">
        <w:rPr>
          <w:kern w:val="22"/>
        </w:rPr>
        <w:t xml:space="preserve"> broad international cooperation, </w:t>
      </w:r>
      <w:r w:rsidRPr="003E50EB">
        <w:t>knowledge-</w:t>
      </w:r>
      <w:r w:rsidRPr="003E50EB">
        <w:rPr>
          <w:kern w:val="22"/>
        </w:rPr>
        <w:t>sharing, capacity</w:t>
      </w:r>
      <w:r w:rsidRPr="003E50EB">
        <w:rPr>
          <w:kern w:val="22"/>
        </w:rPr>
        <w:noBreakHyphen/>
        <w:t xml:space="preserve">building and resource mobilization to support, inter alia, the application of the </w:t>
      </w:r>
      <w:r w:rsidRPr="003E50EB">
        <w:t xml:space="preserve">additional </w:t>
      </w:r>
      <w:r w:rsidRPr="003E50EB">
        <w:rPr>
          <w:kern w:val="22"/>
        </w:rPr>
        <w:t>voluntary guidance materials;</w:t>
      </w:r>
    </w:p>
    <w:p w14:paraId="10557E5F" w14:textId="79A1CAF3" w:rsidR="00CB21D0" w:rsidRPr="003E50EB" w:rsidRDefault="00CB21D0" w:rsidP="00417CEB">
      <w:pPr>
        <w:pStyle w:val="CBDDesicionText"/>
      </w:pPr>
      <w:r w:rsidRPr="003E50EB">
        <w:t>7.</w:t>
      </w:r>
      <w:r w:rsidRPr="003E50EB">
        <w:tab/>
      </w:r>
      <w:r w:rsidRPr="00417CEB">
        <w:rPr>
          <w:i/>
          <w:iCs/>
        </w:rPr>
        <w:t>Decides</w:t>
      </w:r>
      <w:r w:rsidRPr="003E50EB">
        <w:t xml:space="preserve"> to establish an ad hoc technical expert group on risk assessment, with the terms of reference contained in the annex to the present decision, tasked with the evaluation of the needs and priorities identified by Parties through the submission of </w:t>
      </w:r>
      <w:r w:rsidR="003C0914">
        <w:t xml:space="preserve">the </w:t>
      </w:r>
      <w:r w:rsidRPr="003E50EB">
        <w:t>information requested in paragraph</w:t>
      </w:r>
      <w:r w:rsidR="00247898">
        <w:t> </w:t>
      </w:r>
      <w:r w:rsidRPr="003E50EB">
        <w:t>8 below;</w:t>
      </w:r>
    </w:p>
    <w:p w14:paraId="3ADDCA12" w14:textId="2F2D7CF7" w:rsidR="00CB21D0" w:rsidRPr="003E50EB" w:rsidRDefault="00CB21D0" w:rsidP="00417CEB">
      <w:pPr>
        <w:pStyle w:val="CBDDesicionText"/>
      </w:pPr>
      <w:r w:rsidRPr="003E50EB">
        <w:t>8.</w:t>
      </w:r>
      <w:r w:rsidRPr="003E50EB">
        <w:tab/>
      </w:r>
      <w:r w:rsidRPr="003E50EB">
        <w:rPr>
          <w:i/>
          <w:iCs/>
        </w:rPr>
        <w:t xml:space="preserve">Invites </w:t>
      </w:r>
      <w:r w:rsidRPr="003E50EB">
        <w:t xml:space="preserve">Parties to submit detailed information on their needs and priorities for further guidance materials on specific topics of risk assessment of living modified organisms, including a rationale following the criteria set out in annex I to decision </w:t>
      </w:r>
      <w:hyperlink r:id="rId16" w:history="1">
        <w:r w:rsidRPr="009B0923">
          <w:rPr>
            <w:rStyle w:val="Hyperlink"/>
          </w:rPr>
          <w:t>CP-9/13</w:t>
        </w:r>
      </w:hyperlink>
      <w:r w:rsidRPr="003E50EB">
        <w:t>;</w:t>
      </w:r>
    </w:p>
    <w:p w14:paraId="699DD9EC" w14:textId="1B26F488" w:rsidR="00CB21D0" w:rsidRPr="003E50EB" w:rsidRDefault="00CB21D0" w:rsidP="00417CEB">
      <w:pPr>
        <w:pStyle w:val="CBDDesicionText"/>
        <w:rPr>
          <w:kern w:val="22"/>
        </w:rPr>
      </w:pPr>
      <w:r w:rsidRPr="003E50EB">
        <w:t>9.</w:t>
      </w:r>
      <w:r w:rsidRPr="003E50EB">
        <w:tab/>
      </w:r>
      <w:r w:rsidRPr="003E50EB">
        <w:rPr>
          <w:i/>
          <w:iCs/>
        </w:rPr>
        <w:t xml:space="preserve">Decides </w:t>
      </w:r>
      <w:r w:rsidRPr="003E50EB">
        <w:t xml:space="preserve">to extend the Open-ended Online Forum on Risk Assessment and Risk Management to support the </w:t>
      </w:r>
      <w:r w:rsidRPr="003E50EB">
        <w:rPr>
          <w:kern w:val="22"/>
        </w:rPr>
        <w:t xml:space="preserve">analysis of further topics of risk assessment in accordance with the criteria set out in annex I to decision </w:t>
      </w:r>
      <w:hyperlink r:id="rId17" w:history="1">
        <w:r w:rsidRPr="009B0923">
          <w:rPr>
            <w:rStyle w:val="Hyperlink"/>
            <w:kern w:val="22"/>
          </w:rPr>
          <w:t>CP-9/13</w:t>
        </w:r>
      </w:hyperlink>
      <w:r w:rsidRPr="003E50EB">
        <w:rPr>
          <w:kern w:val="22"/>
        </w:rPr>
        <w:t>;</w:t>
      </w:r>
    </w:p>
    <w:p w14:paraId="67BE1437" w14:textId="79E43D42" w:rsidR="00CB21D0" w:rsidRPr="003E50EB" w:rsidRDefault="00CB21D0" w:rsidP="00417CEB">
      <w:pPr>
        <w:pStyle w:val="CBDDesicionText"/>
      </w:pPr>
      <w:r w:rsidRPr="003E50EB">
        <w:t>10.</w:t>
      </w:r>
      <w:r w:rsidRPr="003E50EB">
        <w:tab/>
      </w:r>
      <w:r w:rsidRPr="003E50EB">
        <w:rPr>
          <w:i/>
          <w:iCs/>
        </w:rPr>
        <w:t>Also</w:t>
      </w:r>
      <w:r w:rsidRPr="003E50EB">
        <w:t xml:space="preserve"> </w:t>
      </w:r>
      <w:r w:rsidRPr="003E50EB">
        <w:rPr>
          <w:i/>
          <w:iCs/>
        </w:rPr>
        <w:t>decides</w:t>
      </w:r>
      <w:r w:rsidRPr="003E50EB">
        <w:t xml:space="preserve"> to consider at its twelfth meeting additional issues on which guidance materials on risk assessment may be needed, if any, further to the process for the identification and prioritization of specific issues pertaining to the risk assessment of living modified organisms established in decision </w:t>
      </w:r>
      <w:hyperlink r:id="rId18" w:history="1">
        <w:r w:rsidRPr="009B0923">
          <w:rPr>
            <w:rStyle w:val="Hyperlink"/>
          </w:rPr>
          <w:t>CP-9/13</w:t>
        </w:r>
      </w:hyperlink>
      <w:r w:rsidRPr="003E50EB">
        <w:t>, taking into account the needs and priorities identified by Parties pursuant to paragraph</w:t>
      </w:r>
      <w:r w:rsidR="002F07DB">
        <w:t> </w:t>
      </w:r>
      <w:r w:rsidRPr="003E50EB">
        <w:t>8 above and the Subsidiary Body on Scientific, Technical and Technological Advice recommendation pursuant to paragraph 1 (d) of the terms of reference of the Ad Hoc Technical Expert Group on Risk Assessment;</w:t>
      </w:r>
    </w:p>
    <w:p w14:paraId="021A67E3" w14:textId="77777777" w:rsidR="00CB21D0" w:rsidRPr="003E50EB" w:rsidRDefault="00CB21D0" w:rsidP="00417CEB">
      <w:pPr>
        <w:pStyle w:val="CBDDesicionText"/>
      </w:pPr>
      <w:r w:rsidRPr="003E50EB">
        <w:t>11.</w:t>
      </w:r>
      <w:r w:rsidRPr="003E50EB">
        <w:tab/>
      </w:r>
      <w:r w:rsidRPr="003E50EB">
        <w:rPr>
          <w:i/>
          <w:iCs/>
        </w:rPr>
        <w:t xml:space="preserve">Requests </w:t>
      </w:r>
      <w:r w:rsidRPr="003E50EB">
        <w:t>that</w:t>
      </w:r>
      <w:r w:rsidRPr="003E50EB">
        <w:rPr>
          <w:i/>
          <w:iCs/>
        </w:rPr>
        <w:t xml:space="preserve"> </w:t>
      </w:r>
      <w:r w:rsidRPr="003E50EB">
        <w:t>the Secretariat, subject to the availability of resources:</w:t>
      </w:r>
    </w:p>
    <w:p w14:paraId="4A102424" w14:textId="440F0337" w:rsidR="00CB21D0" w:rsidRPr="003E50EB" w:rsidRDefault="00CB21D0" w:rsidP="00417CEB">
      <w:pPr>
        <w:pStyle w:val="CBDDesicionText"/>
      </w:pPr>
      <w:r w:rsidRPr="003E50EB">
        <w:t>(a)</w:t>
      </w:r>
      <w:r w:rsidRPr="003E50EB">
        <w:tab/>
        <w:t>Prepare a synthesis of the information submitted in response to paragraph</w:t>
      </w:r>
      <w:r w:rsidR="002F07DB">
        <w:t> </w:t>
      </w:r>
      <w:r w:rsidRPr="003E50EB">
        <w:t xml:space="preserve">5 above for consideration by the Conference of the Parties serving as the meeting of the Parties to the Cartagena Protocol </w:t>
      </w:r>
      <w:r w:rsidR="00D17411" w:rsidRPr="003E50EB">
        <w:t xml:space="preserve">on Biosafety </w:t>
      </w:r>
      <w:r w:rsidRPr="003E50EB">
        <w:t>at its twelfth meeting;</w:t>
      </w:r>
    </w:p>
    <w:p w14:paraId="68474727" w14:textId="77777777" w:rsidR="00CB21D0" w:rsidRPr="003E50EB" w:rsidRDefault="00CB21D0" w:rsidP="00417CEB">
      <w:pPr>
        <w:pStyle w:val="CBDDesicionText"/>
      </w:pPr>
      <w:r w:rsidRPr="003E50EB">
        <w:t>(b)</w:t>
      </w:r>
      <w:r w:rsidRPr="003E50EB">
        <w:tab/>
        <w:t>Convene online discussions of the Open-ended Online Forum on Risk Assessment and Risk Management;</w:t>
      </w:r>
    </w:p>
    <w:p w14:paraId="11819E5A" w14:textId="0EFB20BC" w:rsidR="00CB21D0" w:rsidRPr="003E50EB" w:rsidRDefault="00CB21D0" w:rsidP="00417CEB">
      <w:pPr>
        <w:pStyle w:val="CBDDesicionText"/>
      </w:pPr>
      <w:r w:rsidRPr="003E50EB">
        <w:t>(c)</w:t>
      </w:r>
      <w:r w:rsidRPr="003E50EB">
        <w:tab/>
        <w:t>Prepare a synthesis of information submitted in response to paragraphs</w:t>
      </w:r>
      <w:r w:rsidR="002F07DB">
        <w:t> </w:t>
      </w:r>
      <w:r w:rsidRPr="003E50EB">
        <w:t>8 and 9 above to support the work of the Ad Hoc Technical Expert Group on Risk Assessment;</w:t>
      </w:r>
    </w:p>
    <w:p w14:paraId="34A4ADD9" w14:textId="47976118" w:rsidR="00CB21D0" w:rsidRPr="003E50EB" w:rsidRDefault="00CB21D0" w:rsidP="00417CEB">
      <w:pPr>
        <w:pStyle w:val="CBDDesicionText"/>
      </w:pPr>
      <w:r w:rsidRPr="003E50EB">
        <w:t>(d)</w:t>
      </w:r>
      <w:r w:rsidRPr="003E50EB">
        <w:tab/>
        <w:t xml:space="preserve">Convene at least one </w:t>
      </w:r>
      <w:r w:rsidR="008A1A13">
        <w:t xml:space="preserve">in-person </w:t>
      </w:r>
      <w:r w:rsidRPr="003E50EB">
        <w:t>meeting of the Ad Hoc Technical Expert Group on Risk Assessment</w:t>
      </w:r>
      <w:r w:rsidR="008A1A13" w:rsidRPr="008A1A13">
        <w:t xml:space="preserve"> </w:t>
      </w:r>
      <w:r w:rsidR="008A1A13" w:rsidRPr="003E50EB">
        <w:t>before the twelfth meeting of the Conference of the Parties serving as the meeting of the Parties to the Cartagena Protocol</w:t>
      </w:r>
      <w:r w:rsidRPr="003E50EB">
        <w:t>;</w:t>
      </w:r>
    </w:p>
    <w:p w14:paraId="2CAE3ECA" w14:textId="77777777" w:rsidR="00CB21D0" w:rsidRPr="003E50EB" w:rsidRDefault="00CB21D0" w:rsidP="00417CEB">
      <w:pPr>
        <w:pStyle w:val="CBDDesicionText"/>
        <w:rPr>
          <w:i/>
          <w:iCs/>
        </w:rPr>
      </w:pPr>
      <w:r w:rsidRPr="003E50EB">
        <w:t>(e)</w:t>
      </w:r>
      <w:r w:rsidRPr="003E50EB">
        <w:tab/>
        <w:t xml:space="preserve">Convene capacity-building and development </w:t>
      </w:r>
      <w:r w:rsidRPr="003E50EB" w:rsidDel="00B4632D">
        <w:t xml:space="preserve">activities </w:t>
      </w:r>
      <w:r w:rsidRPr="003E50EB">
        <w:t>in support of risk assessment with a particular focus on the risk assessment of living modified organisms containing engineered gene drives.</w:t>
      </w:r>
    </w:p>
    <w:p w14:paraId="5B2D8A88" w14:textId="1FB5F8B6" w:rsidR="00CB21D0" w:rsidRPr="003E50EB" w:rsidRDefault="00CB21D0" w:rsidP="001E6528">
      <w:pPr>
        <w:pStyle w:val="CBDDesicionAnnex"/>
        <w:rPr>
          <w:rFonts w:hint="eastAsia"/>
        </w:rPr>
      </w:pPr>
      <w:r w:rsidRPr="003E50EB">
        <w:rPr>
          <w:b/>
        </w:rPr>
        <w:lastRenderedPageBreak/>
        <w:t xml:space="preserve">Annex </w:t>
      </w:r>
      <w:r w:rsidR="001E6528" w:rsidRPr="003E50EB">
        <w:rPr>
          <w:b/>
        </w:rPr>
        <w:br/>
      </w:r>
      <w:r w:rsidRPr="003E50EB">
        <w:rPr>
          <w:rFonts w:hint="eastAsia"/>
        </w:rPr>
        <w:t>Terms of reference for the Ad Hoc Technical Expert Group on Risk Assessment</w:t>
      </w:r>
    </w:p>
    <w:p w14:paraId="7D287538" w14:textId="77777777" w:rsidR="00CB21D0" w:rsidRPr="003E50EB" w:rsidRDefault="00CB21D0" w:rsidP="001E6528">
      <w:pPr>
        <w:pStyle w:val="CBDNormalNoNumber"/>
      </w:pPr>
      <w:r w:rsidRPr="003E50EB">
        <w:t>1.</w:t>
      </w:r>
      <w:r w:rsidRPr="003E50EB">
        <w:tab/>
        <w:t>The Ad Hoc Technical Expert Group on Risk Assessment shall:</w:t>
      </w:r>
    </w:p>
    <w:p w14:paraId="1425E22D" w14:textId="53239846" w:rsidR="00CB21D0" w:rsidRPr="003E50EB" w:rsidRDefault="00CB21D0" w:rsidP="001E6528">
      <w:pPr>
        <w:pStyle w:val="CBDNormalNoNumber"/>
        <w:ind w:firstLine="567"/>
      </w:pPr>
      <w:r w:rsidRPr="003E50EB">
        <w:t>(a)</w:t>
      </w:r>
      <w:r w:rsidRPr="003E50EB">
        <w:tab/>
        <w:t>Be composed of experts, selected in accordance with section H of the consolidated modus operandi of the Subsidiary Body on Scientific, Technical and Technological Advice,</w:t>
      </w:r>
      <w:r w:rsidRPr="003E50EB">
        <w:rPr>
          <w:rStyle w:val="FootnoteReference"/>
        </w:rPr>
        <w:footnoteReference w:id="9"/>
      </w:r>
      <w:r w:rsidRPr="003E50EB">
        <w:t xml:space="preserve"> with specific scientific and technical expertise relevant to the mandate of the Expert Group, and include experts from academia, relevant international organizations and indigenous peoples and local communities, in line with decision </w:t>
      </w:r>
      <w:hyperlink r:id="rId19" w:history="1">
        <w:r w:rsidRPr="004A1558">
          <w:rPr>
            <w:rStyle w:val="Hyperlink"/>
          </w:rPr>
          <w:t>14/33</w:t>
        </w:r>
      </w:hyperlink>
      <w:r w:rsidRPr="003E50EB">
        <w:t xml:space="preserve"> of 29 November 2018 on the procedure for avoiding or managing conflicts of interest in expert groups;</w:t>
      </w:r>
    </w:p>
    <w:p w14:paraId="0C62A381" w14:textId="77777777" w:rsidR="00CB21D0" w:rsidRPr="003E50EB" w:rsidRDefault="00CB21D0" w:rsidP="001E6528">
      <w:pPr>
        <w:pStyle w:val="CBDNormalNoNumber"/>
        <w:ind w:firstLine="567"/>
      </w:pPr>
      <w:r w:rsidRPr="003E50EB">
        <w:t>(b)</w:t>
      </w:r>
      <w:r w:rsidRPr="003E50EB">
        <w:tab/>
        <w:t>Subject to the availability of funds, hold at least one in-person meeting before the twelfth meeting of the Conference of the Parties serving as the meeting of the Parties to the Cartagena Protocol on Biosafety;</w:t>
      </w:r>
      <w:r w:rsidRPr="003E50EB">
        <w:rPr>
          <w:rStyle w:val="FootnoteReference"/>
        </w:rPr>
        <w:footnoteReference w:id="10"/>
      </w:r>
    </w:p>
    <w:p w14:paraId="3F274675" w14:textId="2BEB6302" w:rsidR="00CB21D0" w:rsidRPr="003E50EB" w:rsidRDefault="00CB21D0" w:rsidP="001E6528">
      <w:pPr>
        <w:pStyle w:val="CBDNormalNoNumber"/>
        <w:ind w:firstLine="567"/>
      </w:pPr>
      <w:r w:rsidRPr="003E50EB">
        <w:t>(c)</w:t>
      </w:r>
      <w:r w:rsidRPr="003E50EB">
        <w:tab/>
        <w:t>Analyse the information submitted by Parties further to paragraph</w:t>
      </w:r>
      <w:r w:rsidR="002F07DB">
        <w:t> </w:t>
      </w:r>
      <w:r w:rsidRPr="003E50EB">
        <w:t xml:space="preserve">8 of the present decision and the discussions </w:t>
      </w:r>
      <w:r w:rsidR="00B32322">
        <w:t>in</w:t>
      </w:r>
      <w:r w:rsidRPr="003E50EB">
        <w:t xml:space="preserve"> the Open-ended Online Forum on Risk Assessment and Risk Management, and on that basis prepare a list of prioritized topics, if any, on which further guidance materials on risk assessment may be needed according to the criteria set out in annex I to decision</w:t>
      </w:r>
      <w:r w:rsidR="001E6528" w:rsidRPr="003E50EB">
        <w:t> </w:t>
      </w:r>
      <w:hyperlink r:id="rId20" w:history="1">
        <w:r w:rsidRPr="009B0923">
          <w:rPr>
            <w:rStyle w:val="Hyperlink"/>
          </w:rPr>
          <w:t>CP</w:t>
        </w:r>
        <w:r w:rsidR="001E6528" w:rsidRPr="009B0923">
          <w:rPr>
            <w:rStyle w:val="Hyperlink"/>
          </w:rPr>
          <w:noBreakHyphen/>
        </w:r>
        <w:r w:rsidRPr="009B0923">
          <w:rPr>
            <w:rStyle w:val="Hyperlink"/>
          </w:rPr>
          <w:t>9/13</w:t>
        </w:r>
      </w:hyperlink>
      <w:r w:rsidRPr="003E50EB">
        <w:t>;</w:t>
      </w:r>
    </w:p>
    <w:p w14:paraId="60C6D1FD" w14:textId="77777777" w:rsidR="00CB21D0" w:rsidRPr="003E50EB" w:rsidRDefault="00CB21D0" w:rsidP="001E6528">
      <w:pPr>
        <w:pStyle w:val="CBDNormalNoNumber"/>
        <w:ind w:firstLine="567"/>
      </w:pPr>
      <w:r w:rsidRPr="003E50EB">
        <w:t>(d)</w:t>
      </w:r>
      <w:r w:rsidRPr="003E50EB">
        <w:tab/>
        <w:t>Prepare a report for consideration by the Subsidiary Body on Scientific, Technical and Technological Advice, with a view to enabling the Subsidiary Body to prepare a recommendation for consideration by the Conference of the Parties serving as the meeting of the Parties to the Cartagena Protocol at its twelfth meeting.</w:t>
      </w:r>
    </w:p>
    <w:p w14:paraId="4672CECC" w14:textId="77777777" w:rsidR="00CB21D0" w:rsidRPr="003E50EB" w:rsidRDefault="00CB21D0" w:rsidP="001E6528">
      <w:pPr>
        <w:pStyle w:val="CBDNormalNoNumber"/>
      </w:pPr>
      <w:r w:rsidRPr="003E50EB">
        <w:t>2.</w:t>
      </w:r>
      <w:r w:rsidRPr="003E50EB">
        <w:tab/>
        <w:t>In undertaking its work, the Ad Hoc Technical Expert Group on Risk Assessment shall consider the synthesis of views from the submissions and discussions in the Open-ended Online Forum on Risk Assessment and Risk Management prepared by the Secretariat.</w:t>
      </w:r>
    </w:p>
    <w:tbl>
      <w:tblPr>
        <w:tblW w:w="0" w:type="auto"/>
        <w:tblLayout w:type="fixed"/>
        <w:tblLook w:val="0000" w:firstRow="0" w:lastRow="0" w:firstColumn="0" w:lastColumn="0" w:noHBand="0" w:noVBand="0"/>
      </w:tblPr>
      <w:tblGrid>
        <w:gridCol w:w="1337"/>
        <w:gridCol w:w="1337"/>
        <w:gridCol w:w="1337"/>
        <w:gridCol w:w="1337"/>
        <w:gridCol w:w="1337"/>
        <w:gridCol w:w="1337"/>
        <w:gridCol w:w="1338"/>
      </w:tblGrid>
      <w:tr w:rsidR="00826B18" w:rsidRPr="003E50EB" w14:paraId="4881EEEF" w14:textId="77777777" w:rsidTr="00826B18">
        <w:trPr>
          <w:trHeight w:val="567"/>
        </w:trPr>
        <w:tc>
          <w:tcPr>
            <w:tcW w:w="1337" w:type="dxa"/>
          </w:tcPr>
          <w:p w14:paraId="4BE2766F" w14:textId="77777777" w:rsidR="00826B18" w:rsidRPr="003E50EB" w:rsidRDefault="00826B18" w:rsidP="00826B18">
            <w:pPr>
              <w:pStyle w:val="CBDNormal"/>
            </w:pPr>
          </w:p>
        </w:tc>
        <w:tc>
          <w:tcPr>
            <w:tcW w:w="1337" w:type="dxa"/>
          </w:tcPr>
          <w:p w14:paraId="49E65691" w14:textId="77777777" w:rsidR="00826B18" w:rsidRPr="003E50EB" w:rsidRDefault="00826B18" w:rsidP="00826B18">
            <w:pPr>
              <w:pStyle w:val="CBDNormal"/>
            </w:pPr>
          </w:p>
        </w:tc>
        <w:tc>
          <w:tcPr>
            <w:tcW w:w="1337" w:type="dxa"/>
          </w:tcPr>
          <w:p w14:paraId="2493D524" w14:textId="77777777" w:rsidR="00826B18" w:rsidRPr="003E50EB" w:rsidRDefault="00826B18" w:rsidP="00826B18">
            <w:pPr>
              <w:pStyle w:val="CBDNormal"/>
            </w:pPr>
          </w:p>
        </w:tc>
        <w:tc>
          <w:tcPr>
            <w:tcW w:w="1337" w:type="dxa"/>
            <w:tcBorders>
              <w:bottom w:val="single" w:sz="4" w:space="0" w:color="auto"/>
            </w:tcBorders>
            <w:shd w:val="clear" w:color="auto" w:fill="auto"/>
          </w:tcPr>
          <w:p w14:paraId="56647F19" w14:textId="77777777" w:rsidR="00826B18" w:rsidRPr="003E50EB" w:rsidRDefault="00826B18" w:rsidP="00826B18">
            <w:pPr>
              <w:pStyle w:val="CBDNormal"/>
            </w:pPr>
          </w:p>
        </w:tc>
        <w:tc>
          <w:tcPr>
            <w:tcW w:w="1337" w:type="dxa"/>
          </w:tcPr>
          <w:p w14:paraId="686CC4AF" w14:textId="77777777" w:rsidR="00826B18" w:rsidRPr="003E50EB" w:rsidRDefault="00826B18" w:rsidP="00826B18">
            <w:pPr>
              <w:pStyle w:val="CBDNormal"/>
            </w:pPr>
          </w:p>
        </w:tc>
        <w:tc>
          <w:tcPr>
            <w:tcW w:w="1337" w:type="dxa"/>
          </w:tcPr>
          <w:p w14:paraId="2FC26F47" w14:textId="77777777" w:rsidR="00826B18" w:rsidRPr="003E50EB" w:rsidRDefault="00826B18" w:rsidP="00826B18">
            <w:pPr>
              <w:pStyle w:val="CBDNormal"/>
            </w:pPr>
          </w:p>
        </w:tc>
        <w:tc>
          <w:tcPr>
            <w:tcW w:w="1338" w:type="dxa"/>
          </w:tcPr>
          <w:p w14:paraId="5133BA61" w14:textId="77777777" w:rsidR="00826B18" w:rsidRPr="003E50EB" w:rsidRDefault="00826B18" w:rsidP="00826B18">
            <w:pPr>
              <w:pStyle w:val="CBDNormal"/>
            </w:pPr>
          </w:p>
        </w:tc>
      </w:tr>
    </w:tbl>
    <w:p w14:paraId="610563D5" w14:textId="44F4DE6B" w:rsidR="00826B18" w:rsidRPr="003E50EB" w:rsidRDefault="00826B18" w:rsidP="00826B18">
      <w:pPr>
        <w:pStyle w:val="CBDNormal"/>
      </w:pPr>
    </w:p>
    <w:sectPr w:rsidR="00826B18" w:rsidRPr="003E50EB" w:rsidSect="007742A8">
      <w:headerReference w:type="even" r:id="rId21"/>
      <w:headerReference w:type="default" r:id="rId22"/>
      <w:footerReference w:type="even" r:id="rId23"/>
      <w:footerReference w:type="default" r:id="rId24"/>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06319" w14:textId="77777777" w:rsidR="006E265C" w:rsidRPr="003E50EB" w:rsidRDefault="006E265C" w:rsidP="00826B18">
      <w:r w:rsidRPr="003E50EB">
        <w:separator/>
      </w:r>
    </w:p>
  </w:endnote>
  <w:endnote w:type="continuationSeparator" w:id="0">
    <w:p w14:paraId="004E395C" w14:textId="77777777" w:rsidR="006E265C" w:rsidRPr="003E50EB" w:rsidRDefault="006E265C" w:rsidP="00826B18">
      <w:r w:rsidRPr="003E50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3B29A" w14:textId="1E105C59" w:rsidR="00826B18" w:rsidRPr="003E50EB" w:rsidRDefault="00826B18" w:rsidP="007742A8">
    <w:pPr>
      <w:pStyle w:val="Footer"/>
    </w:pPr>
    <w:r w:rsidRPr="003E50EB">
      <w:fldChar w:fldCharType="begin"/>
    </w:r>
    <w:r w:rsidRPr="003E50EB">
      <w:instrText xml:space="preserve"> PAGE </w:instrText>
    </w:r>
    <w:r w:rsidRPr="003E50EB">
      <w:fldChar w:fldCharType="separate"/>
    </w:r>
    <w:r w:rsidR="003B2E75">
      <w:rPr>
        <w:noProof/>
      </w:rPr>
      <w:t>2</w:t>
    </w:r>
    <w:r w:rsidRPr="003E50EB">
      <w:fldChar w:fldCharType="end"/>
    </w:r>
    <w:r w:rsidRPr="003E50EB">
      <w:t>/</w:t>
    </w:r>
    <w:r w:rsidR="003B2E75">
      <w:fldChar w:fldCharType="begin"/>
    </w:r>
    <w:r w:rsidR="003B2E75">
      <w:instrText xml:space="preserve"> NUMPAGES \* MERGEFORMAT </w:instrText>
    </w:r>
    <w:r w:rsidR="003B2E75">
      <w:fldChar w:fldCharType="separate"/>
    </w:r>
    <w:r w:rsidR="003B2E75">
      <w:rPr>
        <w:noProof/>
      </w:rPr>
      <w:t>3</w:t>
    </w:r>
    <w:r w:rsidR="003B2E7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9A569" w14:textId="423B7506" w:rsidR="00826B18" w:rsidRPr="003E50EB" w:rsidRDefault="00826B18" w:rsidP="007742A8">
    <w:pPr>
      <w:pStyle w:val="CBDFooter"/>
      <w:jc w:val="right"/>
    </w:pPr>
    <w:r w:rsidRPr="003E50EB">
      <w:fldChar w:fldCharType="begin"/>
    </w:r>
    <w:r w:rsidRPr="003E50EB">
      <w:instrText xml:space="preserve"> PAGE \* MERGEFORMAT </w:instrText>
    </w:r>
    <w:r w:rsidRPr="003E50EB">
      <w:fldChar w:fldCharType="separate"/>
    </w:r>
    <w:r w:rsidR="003B2E75">
      <w:rPr>
        <w:noProof/>
      </w:rPr>
      <w:t>3</w:t>
    </w:r>
    <w:r w:rsidRPr="003E50EB">
      <w:fldChar w:fldCharType="end"/>
    </w:r>
    <w:r w:rsidRPr="003E50EB">
      <w:t>/</w:t>
    </w:r>
    <w:r w:rsidR="003B2E75">
      <w:fldChar w:fldCharType="begin"/>
    </w:r>
    <w:r w:rsidR="003B2E75">
      <w:instrText xml:space="preserve"> NUMPAGES \* MERGEFORMAT </w:instrText>
    </w:r>
    <w:r w:rsidR="003B2E75">
      <w:fldChar w:fldCharType="separate"/>
    </w:r>
    <w:r w:rsidR="003B2E75">
      <w:rPr>
        <w:noProof/>
      </w:rPr>
      <w:t>3</w:t>
    </w:r>
    <w:r w:rsidR="003B2E7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4F721" w14:textId="77777777" w:rsidR="006E265C" w:rsidRPr="003E50EB" w:rsidRDefault="006E265C" w:rsidP="00417CEB">
      <w:pPr>
        <w:pStyle w:val="CBDNormal"/>
      </w:pPr>
      <w:r>
        <w:separator/>
      </w:r>
    </w:p>
  </w:footnote>
  <w:footnote w:type="continuationSeparator" w:id="0">
    <w:p w14:paraId="47A46E21" w14:textId="77777777" w:rsidR="006E265C" w:rsidRPr="003E50EB" w:rsidRDefault="006E265C" w:rsidP="00417CEB">
      <w:pPr>
        <w:pStyle w:val="CBDNormal"/>
      </w:pPr>
      <w:r w:rsidRPr="003E50EB">
        <w:continuationSeparator/>
      </w:r>
    </w:p>
  </w:footnote>
  <w:footnote w:type="continuationNotice" w:id="1">
    <w:p w14:paraId="4B1B9EF0" w14:textId="77777777" w:rsidR="006E265C" w:rsidRDefault="006E265C" w:rsidP="00417CEB">
      <w:pPr>
        <w:pStyle w:val="CBDNormal"/>
      </w:pPr>
    </w:p>
  </w:footnote>
  <w:footnote w:id="2">
    <w:p w14:paraId="3D743390" w14:textId="1C758BAD" w:rsidR="00CB21D0" w:rsidRPr="003E50EB" w:rsidRDefault="004A1558" w:rsidP="00417CEB">
      <w:pPr>
        <w:pStyle w:val="CBDFootnoteText"/>
      </w:pPr>
      <w:r w:rsidRPr="003E50EB">
        <w:rPr>
          <w:rStyle w:val="FootnoteReference"/>
          <w:szCs w:val="18"/>
        </w:rPr>
        <w:footnoteRef/>
      </w:r>
      <w:r w:rsidR="00CB21D0" w:rsidRPr="003E50EB">
        <w:t xml:space="preserve"> United Nations, </w:t>
      </w:r>
      <w:r w:rsidR="00CB21D0" w:rsidRPr="003E50EB">
        <w:rPr>
          <w:i/>
          <w:iCs/>
        </w:rPr>
        <w:t>Treaty Series</w:t>
      </w:r>
      <w:r w:rsidR="00CB21D0" w:rsidRPr="003E50EB">
        <w:rPr>
          <w:iCs/>
        </w:rPr>
        <w:t>,</w:t>
      </w:r>
      <w:r w:rsidR="00CB21D0" w:rsidRPr="003E50EB">
        <w:rPr>
          <w:i/>
          <w:iCs/>
        </w:rPr>
        <w:t xml:space="preserve"> </w:t>
      </w:r>
      <w:r w:rsidR="00CB21D0" w:rsidRPr="003E50EB">
        <w:t>vol. 2226, No. 30619.</w:t>
      </w:r>
    </w:p>
  </w:footnote>
  <w:footnote w:id="3">
    <w:p w14:paraId="2DEAF1C8" w14:textId="3B65E607" w:rsidR="00CB21D0" w:rsidRPr="003E50EB" w:rsidRDefault="004A1558" w:rsidP="00417CEB">
      <w:pPr>
        <w:pStyle w:val="CBDFootnoteText"/>
      </w:pPr>
      <w:r w:rsidRPr="003E50EB">
        <w:rPr>
          <w:rStyle w:val="FootnoteReference"/>
          <w:szCs w:val="18"/>
        </w:rPr>
        <w:footnoteRef/>
      </w:r>
      <w:r w:rsidR="008F6BD9">
        <w:t xml:space="preserve"> </w:t>
      </w:r>
      <w:r w:rsidR="00D26636" w:rsidRPr="00417CEB">
        <w:t>Ibid.</w:t>
      </w:r>
      <w:r w:rsidR="00CB21D0" w:rsidRPr="003E50EB">
        <w:rPr>
          <w:iCs/>
        </w:rPr>
        <w:t>,</w:t>
      </w:r>
      <w:r w:rsidR="00CB21D0" w:rsidRPr="003E50EB">
        <w:rPr>
          <w:i/>
          <w:iCs/>
        </w:rPr>
        <w:t xml:space="preserve"> </w:t>
      </w:r>
      <w:r w:rsidR="00CB21D0" w:rsidRPr="003E50EB">
        <w:t>vol. 1760, No. 30619.</w:t>
      </w:r>
    </w:p>
  </w:footnote>
  <w:footnote w:id="4">
    <w:p w14:paraId="294A50A9" w14:textId="4F366B17" w:rsidR="00CB21D0" w:rsidRPr="003E50EB" w:rsidRDefault="004A1558" w:rsidP="00417CEB">
      <w:pPr>
        <w:pStyle w:val="CBDFootnoteText"/>
      </w:pPr>
      <w:r w:rsidRPr="003E50EB">
        <w:rPr>
          <w:rStyle w:val="FootnoteReference"/>
          <w:szCs w:val="18"/>
        </w:rPr>
        <w:footnoteRef/>
      </w:r>
      <w:r w:rsidR="00CB21D0" w:rsidRPr="003E50EB">
        <w:t xml:space="preserve"> See CBD/SYNBIO/AHTEG/2024/1/3.</w:t>
      </w:r>
    </w:p>
  </w:footnote>
  <w:footnote w:id="5">
    <w:p w14:paraId="2305366B" w14:textId="75B7354F" w:rsidR="00CB21D0" w:rsidRPr="003E50EB" w:rsidRDefault="004A1558" w:rsidP="00417CEB">
      <w:pPr>
        <w:pStyle w:val="CBDFootnoteText"/>
      </w:pPr>
      <w:r w:rsidRPr="003E50EB">
        <w:rPr>
          <w:rStyle w:val="FootnoteReference"/>
          <w:szCs w:val="18"/>
        </w:rPr>
        <w:footnoteRef/>
      </w:r>
      <w:r w:rsidR="00CB21D0" w:rsidRPr="003E50EB">
        <w:t xml:space="preserve"> See CBD/CP/RA/AHTEG/2024/1/3.</w:t>
      </w:r>
    </w:p>
  </w:footnote>
  <w:footnote w:id="6">
    <w:p w14:paraId="1A05643D" w14:textId="1084FD61" w:rsidR="00CB21D0" w:rsidRPr="003E50EB" w:rsidRDefault="004A1558" w:rsidP="00417CEB">
      <w:pPr>
        <w:pStyle w:val="CBDFootnoteText"/>
      </w:pPr>
      <w:r w:rsidRPr="003E50EB">
        <w:rPr>
          <w:rStyle w:val="FootnoteReference"/>
          <w:szCs w:val="18"/>
        </w:rPr>
        <w:footnoteRef/>
      </w:r>
      <w:r w:rsidR="00CB21D0" w:rsidRPr="003E50EB">
        <w:t xml:space="preserve"> See CBD/CP/RA/AHTEG/2023/1/4 and CBD/CP/RA/AHTEG/2024/1/3.</w:t>
      </w:r>
    </w:p>
  </w:footnote>
  <w:footnote w:id="7">
    <w:p w14:paraId="5BE348EE" w14:textId="58F93872" w:rsidR="00CB21D0" w:rsidRPr="003E50EB" w:rsidRDefault="004A1558" w:rsidP="00417CEB">
      <w:pPr>
        <w:pStyle w:val="CBDFootnoteText"/>
      </w:pPr>
      <w:r w:rsidRPr="003E50EB">
        <w:rPr>
          <w:rStyle w:val="FootnoteReference"/>
          <w:szCs w:val="18"/>
        </w:rPr>
        <w:footnoteRef/>
      </w:r>
      <w:r w:rsidR="00CB21D0" w:rsidRPr="003E50EB">
        <w:t xml:space="preserve"> CBD/CP/MOP/11/9.</w:t>
      </w:r>
    </w:p>
  </w:footnote>
  <w:footnote w:id="8">
    <w:p w14:paraId="3971CB52" w14:textId="6BF74ED2" w:rsidR="00CB21D0" w:rsidRPr="003E50EB" w:rsidRDefault="004A1558" w:rsidP="00417CEB">
      <w:pPr>
        <w:pStyle w:val="CBDFootnoteText"/>
      </w:pPr>
      <w:r w:rsidRPr="003E50EB">
        <w:rPr>
          <w:rStyle w:val="FootnoteReference"/>
          <w:szCs w:val="18"/>
        </w:rPr>
        <w:footnoteRef/>
      </w:r>
      <w:r w:rsidR="00CB21D0" w:rsidRPr="003E50EB">
        <w:t xml:space="preserve"> Ibid., sect. 7.</w:t>
      </w:r>
    </w:p>
  </w:footnote>
  <w:footnote w:id="9">
    <w:p w14:paraId="5D91E21A" w14:textId="0997AD3A" w:rsidR="00CB21D0" w:rsidRPr="003E50EB" w:rsidRDefault="004A1558" w:rsidP="00417CEB">
      <w:pPr>
        <w:pStyle w:val="CBDFootnoteText"/>
      </w:pPr>
      <w:r w:rsidRPr="003E50EB">
        <w:rPr>
          <w:rStyle w:val="FootnoteReference"/>
          <w:szCs w:val="18"/>
        </w:rPr>
        <w:footnoteRef/>
      </w:r>
      <w:r w:rsidR="00CB21D0" w:rsidRPr="003E50EB">
        <w:t xml:space="preserve"> Decision VIII/10, annex III.</w:t>
      </w:r>
    </w:p>
  </w:footnote>
  <w:footnote w:id="10">
    <w:p w14:paraId="409BED11" w14:textId="1ADD42F2" w:rsidR="00CB21D0" w:rsidRPr="003E50EB" w:rsidRDefault="004A1558" w:rsidP="00417CEB">
      <w:pPr>
        <w:pStyle w:val="CBDFootnoteText"/>
      </w:pPr>
      <w:r w:rsidRPr="003E50EB">
        <w:rPr>
          <w:rStyle w:val="FootnoteReference"/>
          <w:szCs w:val="18"/>
        </w:rPr>
        <w:footnoteRef/>
      </w:r>
      <w:r w:rsidR="00CB21D0" w:rsidRPr="003E50EB">
        <w:t xml:space="preserve"> United Nations, </w:t>
      </w:r>
      <w:r w:rsidR="00CB21D0" w:rsidRPr="003E50EB">
        <w:rPr>
          <w:i/>
          <w:iCs/>
        </w:rPr>
        <w:t>Treaty Series</w:t>
      </w:r>
      <w:r w:rsidR="00CB21D0" w:rsidRPr="003E50EB">
        <w:rPr>
          <w:iCs/>
        </w:rPr>
        <w:t>,</w:t>
      </w:r>
      <w:r w:rsidR="00CB21D0" w:rsidRPr="003E50EB">
        <w:rPr>
          <w:i/>
          <w:iCs/>
        </w:rPr>
        <w:t xml:space="preserve"> </w:t>
      </w:r>
      <w:r w:rsidR="00CB21D0" w:rsidRPr="003E50EB">
        <w:t>vol. 2226, No.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4688" w14:textId="1277AEF7" w:rsidR="00826B18" w:rsidRPr="003E50EB" w:rsidRDefault="003B2E75" w:rsidP="007742A8">
    <w:pPr>
      <w:pStyle w:val="CBDHeader"/>
    </w:pPr>
    <w:r>
      <w:fldChar w:fldCharType="begin"/>
    </w:r>
    <w:r>
      <w:instrText xml:space="preserve"> StyleRef AB_Symbol </w:instrText>
    </w:r>
    <w:r>
      <w:fldChar w:fldCharType="separate"/>
    </w:r>
    <w:r>
      <w:rPr>
        <w:noProof/>
      </w:rPr>
      <w:t>CBD/CP/MOP/DEC/11/7</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68437" w14:textId="25C0C098" w:rsidR="00826B18" w:rsidRPr="003E50EB" w:rsidRDefault="003B2E75" w:rsidP="007742A8">
    <w:pPr>
      <w:pStyle w:val="CBDHeader"/>
      <w:jc w:val="right"/>
    </w:pPr>
    <w:r>
      <w:fldChar w:fldCharType="begin"/>
    </w:r>
    <w:r>
      <w:instrText xml:space="preserve"> StyleRef AB_Symbol </w:instrText>
    </w:r>
    <w:r>
      <w:fldChar w:fldCharType="separate"/>
    </w:r>
    <w:r>
      <w:rPr>
        <w:noProof/>
      </w:rPr>
      <w:t>CBD/CP/MOP/DEC/11/7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evenAndOddHeaders/>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B18"/>
    <w:rsid w:val="000029C5"/>
    <w:rsid w:val="00024678"/>
    <w:rsid w:val="00047407"/>
    <w:rsid w:val="00067985"/>
    <w:rsid w:val="000B7A78"/>
    <w:rsid w:val="001353D7"/>
    <w:rsid w:val="001E6528"/>
    <w:rsid w:val="00247898"/>
    <w:rsid w:val="002839D9"/>
    <w:rsid w:val="00293C00"/>
    <w:rsid w:val="0029476B"/>
    <w:rsid w:val="002B3B40"/>
    <w:rsid w:val="002D5795"/>
    <w:rsid w:val="002E2543"/>
    <w:rsid w:val="002F07DB"/>
    <w:rsid w:val="00306DA5"/>
    <w:rsid w:val="00353346"/>
    <w:rsid w:val="00393349"/>
    <w:rsid w:val="003A4864"/>
    <w:rsid w:val="003B2E75"/>
    <w:rsid w:val="003C0914"/>
    <w:rsid w:val="003D05ED"/>
    <w:rsid w:val="003E50EB"/>
    <w:rsid w:val="00406C7A"/>
    <w:rsid w:val="00417CEB"/>
    <w:rsid w:val="00456137"/>
    <w:rsid w:val="004628D2"/>
    <w:rsid w:val="0047009A"/>
    <w:rsid w:val="004A1558"/>
    <w:rsid w:val="004A5143"/>
    <w:rsid w:val="004D5715"/>
    <w:rsid w:val="00533D42"/>
    <w:rsid w:val="00550390"/>
    <w:rsid w:val="00555B69"/>
    <w:rsid w:val="005651F9"/>
    <w:rsid w:val="005B19C3"/>
    <w:rsid w:val="005C466C"/>
    <w:rsid w:val="005E56DE"/>
    <w:rsid w:val="006207B4"/>
    <w:rsid w:val="00676A67"/>
    <w:rsid w:val="006C2EE6"/>
    <w:rsid w:val="006D4A3B"/>
    <w:rsid w:val="006E265C"/>
    <w:rsid w:val="006F738B"/>
    <w:rsid w:val="00771329"/>
    <w:rsid w:val="007742A8"/>
    <w:rsid w:val="00817459"/>
    <w:rsid w:val="00826B18"/>
    <w:rsid w:val="008A1A13"/>
    <w:rsid w:val="008C2444"/>
    <w:rsid w:val="008E6FA1"/>
    <w:rsid w:val="008F6BD9"/>
    <w:rsid w:val="009009BD"/>
    <w:rsid w:val="009143CB"/>
    <w:rsid w:val="00931DB0"/>
    <w:rsid w:val="009443D7"/>
    <w:rsid w:val="00945F92"/>
    <w:rsid w:val="0095710A"/>
    <w:rsid w:val="00991490"/>
    <w:rsid w:val="009B0923"/>
    <w:rsid w:val="009D643E"/>
    <w:rsid w:val="00A050C5"/>
    <w:rsid w:val="00A302AD"/>
    <w:rsid w:val="00B32322"/>
    <w:rsid w:val="00B76CB0"/>
    <w:rsid w:val="00BB7218"/>
    <w:rsid w:val="00BC3C04"/>
    <w:rsid w:val="00BF487B"/>
    <w:rsid w:val="00C237FD"/>
    <w:rsid w:val="00C25810"/>
    <w:rsid w:val="00C43384"/>
    <w:rsid w:val="00C75EDE"/>
    <w:rsid w:val="00C86565"/>
    <w:rsid w:val="00CA59AB"/>
    <w:rsid w:val="00CB21D0"/>
    <w:rsid w:val="00CB6634"/>
    <w:rsid w:val="00CC042A"/>
    <w:rsid w:val="00CD38C0"/>
    <w:rsid w:val="00D17411"/>
    <w:rsid w:val="00D26636"/>
    <w:rsid w:val="00D52EBD"/>
    <w:rsid w:val="00D85D24"/>
    <w:rsid w:val="00D9789B"/>
    <w:rsid w:val="00DD197A"/>
    <w:rsid w:val="00DE3EAC"/>
    <w:rsid w:val="00E23B1A"/>
    <w:rsid w:val="00E7517B"/>
    <w:rsid w:val="00E8218C"/>
    <w:rsid w:val="00EA2E3B"/>
    <w:rsid w:val="00F11076"/>
    <w:rsid w:val="00F7048E"/>
    <w:rsid w:val="00FD57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3DC3F"/>
  <w15:chartTrackingRefBased/>
  <w15:docId w15:val="{7061B8E6-40FA-4661-8BC1-2E1D0FB4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0EB"/>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Heading1">
    <w:name w:val="heading 1"/>
    <w:basedOn w:val="Normal"/>
    <w:next w:val="Heading2"/>
    <w:link w:val="Heading1Char"/>
    <w:uiPriority w:val="9"/>
    <w:qFormat/>
    <w:rsid w:val="003E50EB"/>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3E50EB"/>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3E50EB"/>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3E50EB"/>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3E50EB"/>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3E50EB"/>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3E50EB"/>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3E50EB"/>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3E50EB"/>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0EB"/>
    <w:rPr>
      <w:rFonts w:ascii="Times New Roman" w:eastAsiaTheme="majorEastAsia" w:hAnsi="Times New Roman" w:cstheme="majorBidi"/>
      <w:b/>
      <w:bCs/>
      <w:sz w:val="28"/>
      <w:szCs w:val="32"/>
      <w:lang w:eastAsia="en-US"/>
    </w:rPr>
  </w:style>
  <w:style w:type="character" w:customStyle="1" w:styleId="Heading2Char">
    <w:name w:val="Heading 2 Char"/>
    <w:basedOn w:val="DefaultParagraphFont"/>
    <w:link w:val="Heading2"/>
    <w:uiPriority w:val="9"/>
    <w:rsid w:val="003E50EB"/>
    <w:rPr>
      <w:rFonts w:ascii="Times New Roman Bold" w:eastAsiaTheme="majorEastAsia" w:hAnsi="Times New Roman Bold" w:cstheme="majorBidi"/>
      <w:b/>
      <w:kern w:val="0"/>
      <w:szCs w:val="26"/>
      <w:lang w:eastAsia="en-US"/>
      <w14:ligatures w14:val="none"/>
    </w:rPr>
  </w:style>
  <w:style w:type="character" w:customStyle="1" w:styleId="Heading3Char">
    <w:name w:val="Heading 3 Char"/>
    <w:basedOn w:val="DefaultParagraphFont"/>
    <w:link w:val="Heading3"/>
    <w:uiPriority w:val="9"/>
    <w:rsid w:val="003E50EB"/>
    <w:rPr>
      <w:rFonts w:ascii="Times New Roman" w:eastAsiaTheme="majorEastAsia" w:hAnsi="Times New Roman" w:cs="Times New Roman"/>
      <w:b/>
      <w:bCs/>
      <w:kern w:val="0"/>
      <w:sz w:val="22"/>
      <w:szCs w:val="22"/>
      <w:lang w:eastAsia="en-US"/>
      <w14:ligatures w14:val="none"/>
    </w:rPr>
  </w:style>
  <w:style w:type="character" w:customStyle="1" w:styleId="Heading4Char">
    <w:name w:val="Heading 4 Char"/>
    <w:basedOn w:val="DefaultParagraphFont"/>
    <w:link w:val="Heading4"/>
    <w:uiPriority w:val="9"/>
    <w:rsid w:val="003E50EB"/>
    <w:rPr>
      <w:rFonts w:ascii="Times New Roman" w:eastAsiaTheme="majorEastAsia" w:hAnsi="Times New Roman" w:cs="Times New Roman"/>
      <w:b/>
      <w:bCs/>
      <w:kern w:val="0"/>
      <w:sz w:val="22"/>
      <w:szCs w:val="22"/>
      <w:lang w:eastAsia="en-US"/>
      <w14:ligatures w14:val="none"/>
    </w:rPr>
  </w:style>
  <w:style w:type="character" w:customStyle="1" w:styleId="Heading5Char">
    <w:name w:val="Heading 5 Char"/>
    <w:basedOn w:val="DefaultParagraphFont"/>
    <w:link w:val="Heading5"/>
    <w:uiPriority w:val="9"/>
    <w:rsid w:val="003E50EB"/>
    <w:rPr>
      <w:rFonts w:ascii="Times New Roman" w:eastAsiaTheme="majorEastAsia" w:hAnsi="Times New Roman" w:cs="Times New Roman"/>
      <w:i/>
      <w:iCs/>
      <w:kern w:val="0"/>
      <w:sz w:val="22"/>
      <w:szCs w:val="22"/>
      <w:lang w:eastAsia="en-US"/>
      <w14:ligatures w14:val="none"/>
    </w:rPr>
  </w:style>
  <w:style w:type="character" w:customStyle="1" w:styleId="Heading6Char">
    <w:name w:val="Heading 6 Char"/>
    <w:basedOn w:val="DefaultParagraphFont"/>
    <w:link w:val="Heading6"/>
    <w:semiHidden/>
    <w:rsid w:val="003E50EB"/>
    <w:rPr>
      <w:rFonts w:ascii="Times New Roman" w:eastAsia="SimSun" w:hAnsi="Times New Roman" w:cs="Times New Roman"/>
      <w:bCs/>
      <w:kern w:val="0"/>
      <w:szCs w:val="22"/>
      <w:lang w:eastAsia="en-US"/>
      <w14:ligatures w14:val="none"/>
    </w:rPr>
  </w:style>
  <w:style w:type="character" w:customStyle="1" w:styleId="Heading7Char">
    <w:name w:val="Heading 7 Char"/>
    <w:basedOn w:val="DefaultParagraphFont"/>
    <w:link w:val="Heading7"/>
    <w:semiHidden/>
    <w:rsid w:val="003E50EB"/>
    <w:rPr>
      <w:rFonts w:ascii="Times New Roman" w:eastAsia="SimSun" w:hAnsi="Times New Roman" w:cs="Times New Roman"/>
      <w:b/>
      <w:snapToGrid w:val="0"/>
      <w:kern w:val="0"/>
      <w:sz w:val="22"/>
      <w:szCs w:val="22"/>
      <w:u w:val="single"/>
      <w:lang w:eastAsia="en-US"/>
      <w14:ligatures w14:val="none"/>
    </w:rPr>
  </w:style>
  <w:style w:type="character" w:customStyle="1" w:styleId="Heading8Char">
    <w:name w:val="Heading 8 Char"/>
    <w:basedOn w:val="DefaultParagraphFont"/>
    <w:link w:val="Heading8"/>
    <w:semiHidden/>
    <w:rsid w:val="003E50EB"/>
    <w:rPr>
      <w:rFonts w:ascii="Times New Roman" w:eastAsia="SimSun" w:hAnsi="Times New Roman" w:cs="Times New Roman"/>
      <w:b/>
      <w:snapToGrid w:val="0"/>
      <w:kern w:val="0"/>
      <w:sz w:val="22"/>
      <w:szCs w:val="22"/>
      <w:u w:val="single"/>
      <w:lang w:eastAsia="en-US"/>
      <w14:ligatures w14:val="none"/>
    </w:rPr>
  </w:style>
  <w:style w:type="character" w:customStyle="1" w:styleId="Heading9Char">
    <w:name w:val="Heading 9 Char"/>
    <w:basedOn w:val="DefaultParagraphFont"/>
    <w:link w:val="Heading9"/>
    <w:semiHidden/>
    <w:rsid w:val="003E50EB"/>
    <w:rPr>
      <w:rFonts w:ascii="Times New Roman" w:eastAsia="SimSun" w:hAnsi="Times New Roman" w:cs="Times New Roman"/>
      <w:snapToGrid w:val="0"/>
      <w:kern w:val="0"/>
      <w:sz w:val="22"/>
      <w:szCs w:val="22"/>
      <w:u w:val="single"/>
      <w:lang w:eastAsia="en-US"/>
      <w14:ligatures w14:val="none"/>
    </w:rPr>
  </w:style>
  <w:style w:type="paragraph" w:styleId="Title">
    <w:name w:val="Title"/>
    <w:basedOn w:val="Normal"/>
    <w:next w:val="Normal"/>
    <w:link w:val="TitleChar"/>
    <w:uiPriority w:val="10"/>
    <w:qFormat/>
    <w:rsid w:val="00826B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B18"/>
    <w:rPr>
      <w:rFonts w:asciiTheme="majorHAnsi" w:eastAsiaTheme="majorEastAsia" w:hAnsiTheme="majorHAnsi" w:cstheme="majorBidi"/>
      <w:spacing w:val="-10"/>
      <w:kern w:val="28"/>
      <w:sz w:val="56"/>
      <w:szCs w:val="56"/>
      <w:lang w:val="en-GB" w:eastAsia="en-US"/>
      <w14:ligatures w14:val="none"/>
    </w:rPr>
  </w:style>
  <w:style w:type="paragraph" w:styleId="Subtitle">
    <w:name w:val="Subtitle"/>
    <w:basedOn w:val="Normal"/>
    <w:next w:val="Normal"/>
    <w:link w:val="SubtitleChar"/>
    <w:uiPriority w:val="11"/>
    <w:qFormat/>
    <w:rsid w:val="00826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B18"/>
    <w:rPr>
      <w:rFonts w:ascii="Times New Roman" w:eastAsiaTheme="majorEastAsia" w:hAnsi="Times New Roman" w:cstheme="majorBidi"/>
      <w:color w:val="595959" w:themeColor="text1" w:themeTint="A6"/>
      <w:spacing w:val="15"/>
      <w:kern w:val="0"/>
      <w:sz w:val="28"/>
      <w:szCs w:val="28"/>
      <w:lang w:val="en-GB" w:eastAsia="en-US"/>
      <w14:ligatures w14:val="none"/>
    </w:rPr>
  </w:style>
  <w:style w:type="paragraph" w:styleId="Quote">
    <w:name w:val="Quote"/>
    <w:basedOn w:val="Normal"/>
    <w:next w:val="Normal"/>
    <w:link w:val="QuoteChar"/>
    <w:uiPriority w:val="29"/>
    <w:qFormat/>
    <w:rsid w:val="00826B18"/>
    <w:pPr>
      <w:spacing w:before="160"/>
      <w:jc w:val="center"/>
    </w:pPr>
    <w:rPr>
      <w:i/>
      <w:iCs/>
      <w:color w:val="404040" w:themeColor="text1" w:themeTint="BF"/>
    </w:rPr>
  </w:style>
  <w:style w:type="character" w:customStyle="1" w:styleId="QuoteChar">
    <w:name w:val="Quote Char"/>
    <w:basedOn w:val="DefaultParagraphFont"/>
    <w:link w:val="Quote"/>
    <w:uiPriority w:val="29"/>
    <w:rsid w:val="00826B18"/>
    <w:rPr>
      <w:rFonts w:ascii="Times New Roman" w:eastAsia="SimSun" w:hAnsi="Times New Roman" w:cs="Times New Roman"/>
      <w:i/>
      <w:iCs/>
      <w:color w:val="404040" w:themeColor="text1" w:themeTint="BF"/>
      <w:kern w:val="0"/>
      <w:sz w:val="22"/>
      <w:szCs w:val="22"/>
      <w:lang w:val="en-GB" w:eastAsia="en-US"/>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3E50EB"/>
    <w:pPr>
      <w:ind w:left="720"/>
      <w:contextualSpacing/>
    </w:pPr>
  </w:style>
  <w:style w:type="character" w:styleId="IntenseEmphasis">
    <w:name w:val="Intense Emphasis"/>
    <w:basedOn w:val="DefaultParagraphFont"/>
    <w:uiPriority w:val="21"/>
    <w:qFormat/>
    <w:rsid w:val="00826B18"/>
    <w:rPr>
      <w:i/>
      <w:iCs/>
      <w:color w:val="0F4761" w:themeColor="accent1" w:themeShade="BF"/>
      <w:lang w:val="en-GB"/>
    </w:rPr>
  </w:style>
  <w:style w:type="paragraph" w:styleId="IntenseQuote">
    <w:name w:val="Intense Quote"/>
    <w:basedOn w:val="Normal"/>
    <w:next w:val="Normal"/>
    <w:link w:val="IntenseQuoteChar"/>
    <w:uiPriority w:val="30"/>
    <w:qFormat/>
    <w:rsid w:val="00826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B18"/>
    <w:rPr>
      <w:rFonts w:ascii="Times New Roman" w:eastAsia="SimSun" w:hAnsi="Times New Roman" w:cs="Times New Roman"/>
      <w:i/>
      <w:iCs/>
      <w:color w:val="0F4761" w:themeColor="accent1" w:themeShade="BF"/>
      <w:kern w:val="0"/>
      <w:sz w:val="22"/>
      <w:szCs w:val="22"/>
      <w:lang w:val="en-GB" w:eastAsia="en-US"/>
      <w14:ligatures w14:val="none"/>
    </w:rPr>
  </w:style>
  <w:style w:type="character" w:styleId="IntenseReference">
    <w:name w:val="Intense Reference"/>
    <w:basedOn w:val="DefaultParagraphFont"/>
    <w:uiPriority w:val="32"/>
    <w:qFormat/>
    <w:rsid w:val="00826B18"/>
    <w:rPr>
      <w:b/>
      <w:bCs/>
      <w:smallCaps/>
      <w:color w:val="0F4761" w:themeColor="accent1" w:themeShade="BF"/>
      <w:spacing w:val="5"/>
      <w:lang w:val="en-GB"/>
    </w:rPr>
  </w:style>
  <w:style w:type="paragraph" w:styleId="Revision">
    <w:name w:val="Revision"/>
    <w:hidden/>
    <w:uiPriority w:val="99"/>
    <w:semiHidden/>
    <w:rsid w:val="003E50EB"/>
    <w:pPr>
      <w:spacing w:after="0" w:line="240" w:lineRule="auto"/>
    </w:pPr>
    <w:rPr>
      <w:rFonts w:ascii="Simplified Arabic" w:eastAsia="Times New Roman" w:hAnsi="Simplified Arabic" w:cs="Simplified Arabic"/>
      <w:noProof/>
      <w:kern w:val="0"/>
      <w:lang w:val="en-US" w:eastAsia="en-US"/>
      <w14:ligatures w14:val="none"/>
    </w:rPr>
  </w:style>
  <w:style w:type="paragraph" w:customStyle="1" w:styleId="DarkList-Accent31">
    <w:name w:val="Dark List - Accent 31"/>
    <w:hidden/>
    <w:uiPriority w:val="99"/>
    <w:semiHidden/>
    <w:rsid w:val="003E50EB"/>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3E50EB"/>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3E50EB"/>
    <w:rPr>
      <w:vertAlign w:val="superscript"/>
      <w:lang w:val="en-GB"/>
    </w:rPr>
  </w:style>
  <w:style w:type="paragraph" w:customStyle="1" w:styleId="Footnote">
    <w:name w:val="Footnote"/>
    <w:basedOn w:val="FootnoteText"/>
    <w:semiHidden/>
    <w:qFormat/>
    <w:rsid w:val="003E50EB"/>
    <w:rPr>
      <w:szCs w:val="18"/>
    </w:rPr>
  </w:style>
  <w:style w:type="paragraph" w:styleId="Header">
    <w:name w:val="header"/>
    <w:basedOn w:val="Normal"/>
    <w:link w:val="HeaderChar"/>
    <w:semiHidden/>
    <w:rsid w:val="003E50EB"/>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3E50EB"/>
    <w:rPr>
      <w:rFonts w:ascii="Times New Roman" w:eastAsia="SimSun" w:hAnsi="Times New Roman" w:cs="Times New Roman"/>
      <w:kern w:val="0"/>
      <w:sz w:val="20"/>
      <w:szCs w:val="22"/>
      <w:lang w:val="en-GB" w:eastAsia="en-US"/>
      <w14:ligatures w14:val="none"/>
    </w:rPr>
  </w:style>
  <w:style w:type="paragraph" w:styleId="Footer">
    <w:name w:val="footer"/>
    <w:basedOn w:val="Normal"/>
    <w:link w:val="FooterChar"/>
    <w:uiPriority w:val="99"/>
    <w:semiHidden/>
    <w:rsid w:val="003E50EB"/>
    <w:pPr>
      <w:tabs>
        <w:tab w:val="center" w:pos="4680"/>
        <w:tab w:val="right" w:pos="9360"/>
      </w:tabs>
    </w:pPr>
    <w:rPr>
      <w:sz w:val="20"/>
    </w:rPr>
  </w:style>
  <w:style w:type="character" w:customStyle="1" w:styleId="FooterChar">
    <w:name w:val="Footer Char"/>
    <w:basedOn w:val="DefaultParagraphFont"/>
    <w:link w:val="Footer"/>
    <w:uiPriority w:val="99"/>
    <w:semiHidden/>
    <w:rsid w:val="003E50EB"/>
    <w:rPr>
      <w:rFonts w:ascii="Times New Roman" w:eastAsia="SimSun" w:hAnsi="Times New Roman" w:cs="Times New Roman"/>
      <w:kern w:val="0"/>
      <w:sz w:val="20"/>
      <w:szCs w:val="22"/>
      <w:lang w:val="en-GB" w:eastAsia="en-US"/>
      <w14:ligatures w14:val="none"/>
    </w:rPr>
  </w:style>
  <w:style w:type="paragraph" w:customStyle="1" w:styleId="Annex">
    <w:name w:val="Annex"/>
    <w:basedOn w:val="Normal"/>
    <w:semiHidden/>
    <w:qFormat/>
    <w:rsid w:val="003E50EB"/>
    <w:pPr>
      <w:spacing w:after="240"/>
    </w:pPr>
    <w:rPr>
      <w:b/>
      <w:sz w:val="28"/>
    </w:rPr>
  </w:style>
  <w:style w:type="paragraph" w:customStyle="1" w:styleId="ABSymbol">
    <w:name w:val="AB_Symbol"/>
    <w:basedOn w:val="Normal"/>
    <w:qFormat/>
    <w:rsid w:val="003E50EB"/>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3E50EB"/>
    <w:pPr>
      <w:numPr>
        <w:numId w:val="4"/>
      </w:numPr>
      <w:tabs>
        <w:tab w:val="left" w:pos="3969"/>
      </w:tabs>
      <w:spacing w:before="120" w:after="120"/>
    </w:pPr>
  </w:style>
  <w:style w:type="paragraph" w:customStyle="1" w:styleId="AFCorNNormal">
    <w:name w:val="AF_CorNNormal"/>
    <w:basedOn w:val="Normal"/>
    <w:unhideWhenUsed/>
    <w:rsid w:val="003E50EB"/>
    <w:pPr>
      <w:jc w:val="left"/>
    </w:pPr>
  </w:style>
  <w:style w:type="paragraph" w:customStyle="1" w:styleId="AEDistrNormal">
    <w:name w:val="AE_DistrNormal"/>
    <w:basedOn w:val="Normal"/>
    <w:unhideWhenUsed/>
    <w:rsid w:val="003E50EB"/>
    <w:pPr>
      <w:jc w:val="left"/>
    </w:pPr>
  </w:style>
  <w:style w:type="paragraph" w:customStyle="1" w:styleId="AASmallLogo">
    <w:name w:val="AA_SmallLogo"/>
    <w:basedOn w:val="AEDistrNormal"/>
    <w:unhideWhenUsed/>
    <w:rsid w:val="003E50EB"/>
    <w:pPr>
      <w:spacing w:before="40"/>
    </w:pPr>
    <w:rPr>
      <w:sz w:val="4"/>
    </w:rPr>
  </w:style>
  <w:style w:type="paragraph" w:customStyle="1" w:styleId="ACLargeLogo">
    <w:name w:val="AC_LargeLogo"/>
    <w:basedOn w:val="AFCorNNormal"/>
    <w:next w:val="AISpacer"/>
    <w:unhideWhenUsed/>
    <w:rsid w:val="003E50EB"/>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3E50EB"/>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3E50EB"/>
    <w:rPr>
      <w:rFonts w:ascii="Times New Roman" w:eastAsia="SimSun" w:hAnsi="Times New Roman" w:cs="Times New Roman"/>
      <w:kern w:val="0"/>
      <w:sz w:val="18"/>
      <w:szCs w:val="20"/>
      <w:lang w:val="en-GB" w:eastAsia="en-US"/>
      <w14:ligatures w14:val="none"/>
    </w:rPr>
  </w:style>
  <w:style w:type="paragraph" w:styleId="BodyText">
    <w:name w:val="Body Text"/>
    <w:basedOn w:val="Normal"/>
    <w:link w:val="BodyTextChar"/>
    <w:uiPriority w:val="99"/>
    <w:semiHidden/>
    <w:unhideWhenUsed/>
    <w:rsid w:val="003E50EB"/>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3E50EB"/>
    <w:rPr>
      <w:rFonts w:eastAsiaTheme="minorHAnsi"/>
      <w:sz w:val="22"/>
      <w:szCs w:val="22"/>
      <w:lang w:val="en-GB" w:eastAsia="en-US"/>
    </w:rPr>
  </w:style>
  <w:style w:type="character" w:styleId="CommentReference">
    <w:name w:val="annotation reference"/>
    <w:basedOn w:val="DefaultParagraphFont"/>
    <w:uiPriority w:val="99"/>
    <w:semiHidden/>
    <w:unhideWhenUsed/>
    <w:rsid w:val="003E50EB"/>
    <w:rPr>
      <w:sz w:val="16"/>
      <w:szCs w:val="16"/>
      <w:lang w:val="en-GB"/>
    </w:rPr>
  </w:style>
  <w:style w:type="paragraph" w:styleId="CommentText">
    <w:name w:val="annotation text"/>
    <w:basedOn w:val="Normal"/>
    <w:link w:val="CommentTextChar"/>
    <w:uiPriority w:val="99"/>
    <w:semiHidden/>
    <w:rsid w:val="003E50EB"/>
    <w:rPr>
      <w:sz w:val="20"/>
      <w:szCs w:val="20"/>
    </w:rPr>
  </w:style>
  <w:style w:type="character" w:customStyle="1" w:styleId="CommentTextChar">
    <w:name w:val="Comment Text Char"/>
    <w:basedOn w:val="DefaultParagraphFont"/>
    <w:link w:val="CommentText"/>
    <w:uiPriority w:val="99"/>
    <w:semiHidden/>
    <w:rsid w:val="003E50EB"/>
    <w:rPr>
      <w:rFonts w:ascii="Times New Roman" w:eastAsia="SimSu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uiPriority w:val="99"/>
    <w:semiHidden/>
    <w:unhideWhenUsed/>
    <w:rsid w:val="003E50EB"/>
    <w:rPr>
      <w:b/>
      <w:bCs/>
    </w:rPr>
  </w:style>
  <w:style w:type="character" w:customStyle="1" w:styleId="CommentSubjectChar">
    <w:name w:val="Comment Subject Char"/>
    <w:basedOn w:val="CommentTextChar"/>
    <w:link w:val="CommentSubject"/>
    <w:uiPriority w:val="99"/>
    <w:semiHidden/>
    <w:rsid w:val="003E50EB"/>
    <w:rPr>
      <w:rFonts w:ascii="Times New Roman" w:eastAsia="SimSun" w:hAnsi="Times New Roman" w:cs="Times New Roman"/>
      <w:b/>
      <w:bCs/>
      <w:kern w:val="0"/>
      <w:sz w:val="20"/>
      <w:szCs w:val="20"/>
      <w:lang w:val="en-GB" w:eastAsia="en-US"/>
      <w14:ligatures w14:val="none"/>
    </w:rPr>
  </w:style>
  <w:style w:type="paragraph" w:customStyle="1" w:styleId="Item">
    <w:name w:val="Item"/>
    <w:basedOn w:val="Normal"/>
    <w:semiHidden/>
    <w:qFormat/>
    <w:rsid w:val="003E50EB"/>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3E50EB"/>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eastAsia="en-US"/>
      <w14:ligatures w14:val="none"/>
    </w:rPr>
  </w:style>
  <w:style w:type="paragraph" w:styleId="List">
    <w:name w:val="List"/>
    <w:basedOn w:val="Normal"/>
    <w:semiHidden/>
    <w:rsid w:val="003E50EB"/>
    <w:pPr>
      <w:contextualSpacing/>
    </w:pPr>
  </w:style>
  <w:style w:type="numbering" w:customStyle="1" w:styleId="ListCBD">
    <w:name w:val="ListCBD"/>
    <w:basedOn w:val="NoList"/>
    <w:uiPriority w:val="99"/>
    <w:rsid w:val="003E50EB"/>
    <w:pPr>
      <w:numPr>
        <w:numId w:val="2"/>
      </w:numPr>
    </w:pPr>
  </w:style>
  <w:style w:type="numbering" w:customStyle="1" w:styleId="CBDHeadings">
    <w:name w:val="CBD_Headings"/>
    <w:basedOn w:val="ListCBD"/>
    <w:uiPriority w:val="99"/>
    <w:rsid w:val="003E50EB"/>
    <w:pPr>
      <w:numPr>
        <w:numId w:val="3"/>
      </w:numPr>
    </w:pPr>
  </w:style>
  <w:style w:type="paragraph" w:customStyle="1" w:styleId="AISpacer">
    <w:name w:val="AI_Spacer"/>
    <w:next w:val="Normal"/>
    <w:unhideWhenUsed/>
    <w:qFormat/>
    <w:rsid w:val="003E50EB"/>
    <w:pPr>
      <w:spacing w:after="0" w:line="240" w:lineRule="auto"/>
    </w:pPr>
    <w:rPr>
      <w:rFonts w:ascii="Times New Roman" w:eastAsia="SimSun" w:hAnsi="Times New Roman" w:cs="Times New Roman"/>
      <w:kern w:val="0"/>
      <w:sz w:val="2"/>
      <w:szCs w:val="22"/>
      <w:lang w:eastAsia="en-US"/>
      <w14:ligatures w14:val="none"/>
    </w:rPr>
  </w:style>
  <w:style w:type="paragraph" w:customStyle="1" w:styleId="AEDistrNormal6pt">
    <w:name w:val="AE_DistrNormal6pt"/>
    <w:basedOn w:val="AEDistrNormal"/>
    <w:next w:val="AFCorNNormal"/>
    <w:unhideWhenUsed/>
    <w:qFormat/>
    <w:rsid w:val="003E50EB"/>
    <w:pPr>
      <w:spacing w:before="120"/>
    </w:pPr>
  </w:style>
  <w:style w:type="paragraph" w:customStyle="1" w:styleId="AFCorNBold">
    <w:name w:val="AF_CorNBold"/>
    <w:basedOn w:val="AFCorNNormal"/>
    <w:next w:val="AFCorNNormal"/>
    <w:unhideWhenUsed/>
    <w:qFormat/>
    <w:rsid w:val="003E50EB"/>
    <w:rPr>
      <w:b/>
    </w:rPr>
  </w:style>
  <w:style w:type="paragraph" w:customStyle="1" w:styleId="AFCorN12Bold">
    <w:name w:val="AF_CorN12Bold"/>
    <w:basedOn w:val="AFCorNNormal"/>
    <w:next w:val="AFCorNNormal"/>
    <w:unhideWhenUsed/>
    <w:qFormat/>
    <w:rsid w:val="003E50EB"/>
    <w:rPr>
      <w:b/>
      <w:sz w:val="24"/>
    </w:rPr>
  </w:style>
  <w:style w:type="paragraph" w:customStyle="1" w:styleId="CBDAgendaItem">
    <w:name w:val="CBD_AgendaItem"/>
    <w:basedOn w:val="Normal"/>
    <w:qFormat/>
    <w:rsid w:val="003E50EB"/>
    <w:pPr>
      <w:keepNext/>
      <w:keepLines/>
      <w:spacing w:before="240" w:after="120"/>
      <w:jc w:val="left"/>
    </w:pPr>
    <w:rPr>
      <w:b/>
      <w:sz w:val="24"/>
    </w:rPr>
  </w:style>
  <w:style w:type="paragraph" w:customStyle="1" w:styleId="CBDDesicionText">
    <w:name w:val="CBD_DesicionText"/>
    <w:basedOn w:val="CBDNormal"/>
    <w:qFormat/>
    <w:rsid w:val="003E50EB"/>
    <w:pPr>
      <w:spacing w:after="120"/>
      <w:ind w:left="567" w:firstLine="567"/>
    </w:pPr>
  </w:style>
  <w:style w:type="paragraph" w:customStyle="1" w:styleId="CBDDesicionAnnex">
    <w:name w:val="CBD_DesicionAnnex"/>
    <w:basedOn w:val="CBDNormal"/>
    <w:next w:val="CBDDesicionText"/>
    <w:qFormat/>
    <w:rsid w:val="003E50EB"/>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3E50EB"/>
    <w:rPr>
      <w:rFonts w:ascii="Times New Roman" w:hAnsi="Times New Roman"/>
      <w:color w:val="467886" w:themeColor="hyperlink"/>
      <w:u w:val="single"/>
      <w:lang w:val="en-GB"/>
    </w:rPr>
  </w:style>
  <w:style w:type="paragraph" w:customStyle="1" w:styleId="CBDAnnex">
    <w:name w:val="CBD_Annex"/>
    <w:basedOn w:val="CBDNormal"/>
    <w:next w:val="CBDTitle"/>
    <w:qFormat/>
    <w:rsid w:val="003E50EB"/>
    <w:pPr>
      <w:keepNext/>
      <w:keepLines/>
      <w:spacing w:after="240"/>
      <w:jc w:val="left"/>
    </w:pPr>
    <w:rPr>
      <w:b/>
      <w:sz w:val="28"/>
      <w:lang w:bidi="ar-SY"/>
    </w:rPr>
  </w:style>
  <w:style w:type="paragraph" w:customStyle="1" w:styleId="CBDSubTitle">
    <w:name w:val="CBD_SubTitle"/>
    <w:basedOn w:val="CBDNormal"/>
    <w:qFormat/>
    <w:rsid w:val="003E50EB"/>
    <w:pPr>
      <w:keepNext/>
      <w:keepLines/>
      <w:spacing w:before="240" w:after="240"/>
      <w:ind w:left="567"/>
      <w:jc w:val="left"/>
    </w:pPr>
    <w:rPr>
      <w:b/>
    </w:rPr>
  </w:style>
  <w:style w:type="paragraph" w:customStyle="1" w:styleId="CBDTitle">
    <w:name w:val="CBD_Title"/>
    <w:basedOn w:val="CBDNormal"/>
    <w:next w:val="CBDSubTitle"/>
    <w:qFormat/>
    <w:rsid w:val="003E50EB"/>
    <w:pPr>
      <w:keepNext/>
      <w:keepLines/>
      <w:spacing w:before="240" w:after="240"/>
      <w:ind w:left="567"/>
      <w:jc w:val="left"/>
    </w:pPr>
    <w:rPr>
      <w:b/>
      <w:sz w:val="28"/>
    </w:rPr>
  </w:style>
  <w:style w:type="paragraph" w:customStyle="1" w:styleId="AENormal">
    <w:name w:val="AE_Normal"/>
    <w:basedOn w:val="Normal"/>
    <w:rsid w:val="003E50EB"/>
  </w:style>
  <w:style w:type="paragraph" w:customStyle="1" w:styleId="CBDH1">
    <w:name w:val="CBD_H1"/>
    <w:basedOn w:val="CBDNormal"/>
    <w:qFormat/>
    <w:rsid w:val="003E50EB"/>
    <w:pPr>
      <w:keepNext/>
      <w:keepLines/>
      <w:spacing w:before="240" w:after="120"/>
      <w:ind w:left="567" w:hanging="567"/>
      <w:jc w:val="left"/>
      <w:outlineLvl w:val="0"/>
    </w:pPr>
    <w:rPr>
      <w:b/>
      <w:sz w:val="28"/>
    </w:rPr>
  </w:style>
  <w:style w:type="paragraph" w:customStyle="1" w:styleId="CBDH2">
    <w:name w:val="CBD_H2"/>
    <w:basedOn w:val="CBDNormalNumber"/>
    <w:qFormat/>
    <w:rsid w:val="003E50EB"/>
    <w:pPr>
      <w:keepNext/>
      <w:keepLines/>
      <w:numPr>
        <w:numId w:val="0"/>
      </w:numPr>
      <w:ind w:left="567" w:hanging="567"/>
    </w:pPr>
    <w:rPr>
      <w:b/>
      <w:sz w:val="24"/>
    </w:rPr>
  </w:style>
  <w:style w:type="paragraph" w:customStyle="1" w:styleId="CBDFootnoteText">
    <w:name w:val="CBD_Footnote_Text"/>
    <w:basedOn w:val="CBDNormal"/>
    <w:qFormat/>
    <w:rsid w:val="003E50EB"/>
    <w:pPr>
      <w:jc w:val="left"/>
    </w:pPr>
    <w:rPr>
      <w:sz w:val="18"/>
    </w:rPr>
  </w:style>
  <w:style w:type="paragraph" w:customStyle="1" w:styleId="CBDFooter">
    <w:name w:val="CBD_Footer"/>
    <w:basedOn w:val="CBDNormal"/>
    <w:qFormat/>
    <w:rsid w:val="003E50EB"/>
    <w:rPr>
      <w:sz w:val="20"/>
    </w:rPr>
  </w:style>
  <w:style w:type="paragraph" w:customStyle="1" w:styleId="CBDHeader">
    <w:name w:val="CBD_Header"/>
    <w:basedOn w:val="CBDNormal"/>
    <w:next w:val="CBDFooter"/>
    <w:qFormat/>
    <w:rsid w:val="003E50EB"/>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3E50EB"/>
    <w:pPr>
      <w:keepNext/>
      <w:keepLines/>
      <w:spacing w:before="120" w:after="120"/>
      <w:ind w:left="567" w:hanging="567"/>
      <w:jc w:val="left"/>
    </w:pPr>
    <w:rPr>
      <w:b/>
    </w:rPr>
  </w:style>
  <w:style w:type="paragraph" w:customStyle="1" w:styleId="CBDH4">
    <w:name w:val="CBD_H4"/>
    <w:basedOn w:val="CBDNormal"/>
    <w:rsid w:val="003E50EB"/>
    <w:pPr>
      <w:keepNext/>
      <w:keepLines/>
      <w:spacing w:before="120" w:after="120"/>
      <w:ind w:left="567" w:hanging="567"/>
      <w:jc w:val="left"/>
    </w:pPr>
    <w:rPr>
      <w:b/>
    </w:rPr>
  </w:style>
  <w:style w:type="paragraph" w:customStyle="1" w:styleId="CBDH5">
    <w:name w:val="CBD_H5"/>
    <w:basedOn w:val="CBDNormal"/>
    <w:qFormat/>
    <w:rsid w:val="003E50EB"/>
    <w:pPr>
      <w:keepNext/>
      <w:keepLines/>
      <w:spacing w:before="120" w:after="120"/>
      <w:ind w:left="567" w:hanging="567"/>
      <w:jc w:val="left"/>
    </w:pPr>
    <w:rPr>
      <w:i/>
    </w:rPr>
  </w:style>
  <w:style w:type="paragraph" w:customStyle="1" w:styleId="CBDTableNormal">
    <w:name w:val="CBD_TableNormal"/>
    <w:basedOn w:val="CBDNormal"/>
    <w:qFormat/>
    <w:rsid w:val="003E50EB"/>
    <w:pPr>
      <w:spacing w:before="40" w:after="80"/>
      <w:jc w:val="left"/>
    </w:pPr>
    <w:rPr>
      <w:sz w:val="20"/>
    </w:rPr>
  </w:style>
  <w:style w:type="paragraph" w:customStyle="1" w:styleId="CBDTableTitle">
    <w:name w:val="CBD_TableTitle"/>
    <w:basedOn w:val="CBDNormal"/>
    <w:qFormat/>
    <w:rsid w:val="003E50EB"/>
    <w:pPr>
      <w:keepNext/>
      <w:keepLines/>
      <w:spacing w:before="120" w:after="60"/>
      <w:ind w:left="567"/>
      <w:jc w:val="left"/>
    </w:pPr>
    <w:rPr>
      <w:b/>
    </w:rPr>
  </w:style>
  <w:style w:type="paragraph" w:customStyle="1" w:styleId="CBDFigureTitle">
    <w:name w:val="CBD_FigureTitle"/>
    <w:basedOn w:val="CBDNormal"/>
    <w:next w:val="CBDNormalNoNumber"/>
    <w:qFormat/>
    <w:rsid w:val="003E50EB"/>
    <w:pPr>
      <w:keepNext/>
      <w:keepLines/>
      <w:spacing w:before="120" w:after="60"/>
      <w:ind w:left="567"/>
      <w:jc w:val="left"/>
    </w:pPr>
    <w:rPr>
      <w:b/>
    </w:rPr>
  </w:style>
  <w:style w:type="paragraph" w:styleId="TOC1">
    <w:name w:val="toc 1"/>
    <w:basedOn w:val="CBDNormal"/>
    <w:next w:val="Normal"/>
    <w:autoRedefine/>
    <w:uiPriority w:val="39"/>
    <w:unhideWhenUsed/>
    <w:rsid w:val="003E50EB"/>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3E50EB"/>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3E50EB"/>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3E50EB"/>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3E50EB"/>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3E50E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3E50E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3E50E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3E50E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826B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B18"/>
    <w:rPr>
      <w:rFonts w:ascii="Segoe UI" w:eastAsia="SimSun" w:hAnsi="Segoe UI" w:cs="Segoe UI"/>
      <w:kern w:val="0"/>
      <w:sz w:val="18"/>
      <w:szCs w:val="18"/>
      <w:lang w:val="en-GB" w:eastAsia="en-US"/>
      <w14:ligatures w14:val="none"/>
    </w:rPr>
  </w:style>
  <w:style w:type="paragraph" w:styleId="Bibliography">
    <w:name w:val="Bibliography"/>
    <w:basedOn w:val="Normal"/>
    <w:next w:val="Normal"/>
    <w:uiPriority w:val="37"/>
    <w:semiHidden/>
    <w:unhideWhenUsed/>
    <w:rsid w:val="00826B18"/>
  </w:style>
  <w:style w:type="paragraph" w:styleId="BlockText">
    <w:name w:val="Block Text"/>
    <w:basedOn w:val="Normal"/>
    <w:uiPriority w:val="99"/>
    <w:semiHidden/>
    <w:unhideWhenUsed/>
    <w:rsid w:val="00826B1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826B18"/>
    <w:pPr>
      <w:spacing w:after="120" w:line="480" w:lineRule="auto"/>
    </w:pPr>
  </w:style>
  <w:style w:type="character" w:customStyle="1" w:styleId="BodyText2Char">
    <w:name w:val="Body Text 2 Char"/>
    <w:basedOn w:val="DefaultParagraphFont"/>
    <w:link w:val="BodyText2"/>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3">
    <w:name w:val="Body Text 3"/>
    <w:basedOn w:val="Normal"/>
    <w:link w:val="BodyText3Char"/>
    <w:uiPriority w:val="99"/>
    <w:semiHidden/>
    <w:unhideWhenUsed/>
    <w:rsid w:val="00826B18"/>
    <w:pPr>
      <w:spacing w:after="120"/>
    </w:pPr>
    <w:rPr>
      <w:sz w:val="16"/>
      <w:szCs w:val="16"/>
    </w:rPr>
  </w:style>
  <w:style w:type="character" w:customStyle="1" w:styleId="BodyText3Char">
    <w:name w:val="Body Text 3 Char"/>
    <w:basedOn w:val="DefaultParagraphFont"/>
    <w:link w:val="BodyText3"/>
    <w:uiPriority w:val="99"/>
    <w:semiHidden/>
    <w:rsid w:val="00826B18"/>
    <w:rPr>
      <w:rFonts w:ascii="Times New Roman" w:eastAsia="SimSun" w:hAnsi="Times New Roman" w:cs="Times New Roman"/>
      <w:kern w:val="0"/>
      <w:sz w:val="16"/>
      <w:szCs w:val="16"/>
      <w:lang w:val="en-GB" w:eastAsia="en-US"/>
      <w14:ligatures w14:val="none"/>
    </w:rPr>
  </w:style>
  <w:style w:type="paragraph" w:styleId="BodyTextFirstIndent">
    <w:name w:val="Body Text First Indent"/>
    <w:basedOn w:val="BodyText"/>
    <w:link w:val="BodyTextFirstIndentChar"/>
    <w:uiPriority w:val="99"/>
    <w:semiHidden/>
    <w:unhideWhenUsed/>
    <w:rsid w:val="00826B18"/>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Indent">
    <w:name w:val="Body Text Indent"/>
    <w:basedOn w:val="Normal"/>
    <w:link w:val="BodyTextIndentChar"/>
    <w:uiPriority w:val="99"/>
    <w:semiHidden/>
    <w:unhideWhenUsed/>
    <w:rsid w:val="00826B18"/>
    <w:pPr>
      <w:spacing w:after="120"/>
      <w:ind w:left="283"/>
    </w:pPr>
  </w:style>
  <w:style w:type="character" w:customStyle="1" w:styleId="BodyTextIndentChar">
    <w:name w:val="Body Text Indent Char"/>
    <w:basedOn w:val="DefaultParagraphFont"/>
    <w:link w:val="BodyTextIndent"/>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FirstIndent2">
    <w:name w:val="Body Text First Indent 2"/>
    <w:basedOn w:val="BodyTextIndent"/>
    <w:link w:val="BodyTextFirstIndent2Char"/>
    <w:uiPriority w:val="99"/>
    <w:semiHidden/>
    <w:unhideWhenUsed/>
    <w:rsid w:val="00826B18"/>
    <w:pPr>
      <w:spacing w:after="0"/>
      <w:ind w:left="360" w:firstLine="360"/>
    </w:pPr>
  </w:style>
  <w:style w:type="character" w:customStyle="1" w:styleId="BodyTextFirstIndent2Char">
    <w:name w:val="Body Text First Indent 2 Char"/>
    <w:basedOn w:val="BodyTextIndentChar"/>
    <w:link w:val="BodyTextFirstIndent2"/>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Indent2">
    <w:name w:val="Body Text Indent 2"/>
    <w:basedOn w:val="Normal"/>
    <w:link w:val="BodyTextIndent2Char"/>
    <w:uiPriority w:val="99"/>
    <w:semiHidden/>
    <w:unhideWhenUsed/>
    <w:rsid w:val="0082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Indent3">
    <w:name w:val="Body Text Indent 3"/>
    <w:basedOn w:val="Normal"/>
    <w:link w:val="BodyTextIndent3Char"/>
    <w:uiPriority w:val="99"/>
    <w:semiHidden/>
    <w:unhideWhenUsed/>
    <w:rsid w:val="00826B1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26B18"/>
    <w:rPr>
      <w:rFonts w:ascii="Times New Roman" w:eastAsia="SimSun" w:hAnsi="Times New Roman" w:cs="Times New Roman"/>
      <w:kern w:val="0"/>
      <w:sz w:val="16"/>
      <w:szCs w:val="16"/>
      <w:lang w:val="en-GB" w:eastAsia="en-US"/>
      <w14:ligatures w14:val="none"/>
    </w:rPr>
  </w:style>
  <w:style w:type="character" w:styleId="BookTitle">
    <w:name w:val="Book Title"/>
    <w:basedOn w:val="DefaultParagraphFont"/>
    <w:uiPriority w:val="33"/>
    <w:qFormat/>
    <w:rsid w:val="00826B18"/>
    <w:rPr>
      <w:b/>
      <w:bCs/>
      <w:i/>
      <w:iCs/>
      <w:spacing w:val="5"/>
      <w:lang w:val="en-GB"/>
    </w:rPr>
  </w:style>
  <w:style w:type="paragraph" w:styleId="Caption">
    <w:name w:val="caption"/>
    <w:basedOn w:val="Normal"/>
    <w:next w:val="Normal"/>
    <w:uiPriority w:val="35"/>
    <w:semiHidden/>
    <w:unhideWhenUsed/>
    <w:qFormat/>
    <w:rsid w:val="00826B18"/>
    <w:pPr>
      <w:spacing w:after="200"/>
    </w:pPr>
    <w:rPr>
      <w:i/>
      <w:iCs/>
      <w:color w:val="0E2841" w:themeColor="text2"/>
      <w:sz w:val="18"/>
      <w:szCs w:val="18"/>
    </w:rPr>
  </w:style>
  <w:style w:type="paragraph" w:styleId="Closing">
    <w:name w:val="Closing"/>
    <w:basedOn w:val="Normal"/>
    <w:link w:val="ClosingChar"/>
    <w:uiPriority w:val="99"/>
    <w:semiHidden/>
    <w:unhideWhenUsed/>
    <w:rsid w:val="00826B18"/>
    <w:pPr>
      <w:ind w:left="4252"/>
    </w:pPr>
  </w:style>
  <w:style w:type="character" w:customStyle="1" w:styleId="ClosingChar">
    <w:name w:val="Closing Char"/>
    <w:basedOn w:val="DefaultParagraphFont"/>
    <w:link w:val="Closing"/>
    <w:uiPriority w:val="99"/>
    <w:semiHidden/>
    <w:rsid w:val="00826B18"/>
    <w:rPr>
      <w:rFonts w:ascii="Times New Roman" w:eastAsia="SimSun" w:hAnsi="Times New Roman" w:cs="Times New Roman"/>
      <w:kern w:val="0"/>
      <w:sz w:val="22"/>
      <w:szCs w:val="22"/>
      <w:lang w:val="en-GB" w:eastAsia="en-US"/>
      <w14:ligatures w14:val="none"/>
    </w:rPr>
  </w:style>
  <w:style w:type="table" w:styleId="ColorfulGrid">
    <w:name w:val="Colorful Grid"/>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826B18"/>
  </w:style>
  <w:style w:type="character" w:customStyle="1" w:styleId="DateChar">
    <w:name w:val="Date Char"/>
    <w:basedOn w:val="DefaultParagraphFont"/>
    <w:link w:val="Date"/>
    <w:uiPriority w:val="99"/>
    <w:semiHidden/>
    <w:rsid w:val="00826B18"/>
    <w:rPr>
      <w:rFonts w:ascii="Times New Roman" w:eastAsia="SimSun" w:hAnsi="Times New Roman" w:cs="Times New Roman"/>
      <w:kern w:val="0"/>
      <w:sz w:val="22"/>
      <w:szCs w:val="22"/>
      <w:lang w:val="en-GB" w:eastAsia="en-US"/>
      <w14:ligatures w14:val="none"/>
    </w:rPr>
  </w:style>
  <w:style w:type="paragraph" w:styleId="DocumentMap">
    <w:name w:val="Document Map"/>
    <w:basedOn w:val="Normal"/>
    <w:link w:val="DocumentMapChar"/>
    <w:uiPriority w:val="99"/>
    <w:semiHidden/>
    <w:unhideWhenUsed/>
    <w:rsid w:val="00826B1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26B18"/>
    <w:rPr>
      <w:rFonts w:ascii="Segoe UI" w:eastAsia="SimSun" w:hAnsi="Segoe UI" w:cs="Segoe UI"/>
      <w:kern w:val="0"/>
      <w:sz w:val="16"/>
      <w:szCs w:val="16"/>
      <w:lang w:val="en-GB" w:eastAsia="en-US"/>
      <w14:ligatures w14:val="none"/>
    </w:rPr>
  </w:style>
  <w:style w:type="paragraph" w:styleId="E-mailSignature">
    <w:name w:val="E-mail Signature"/>
    <w:basedOn w:val="Normal"/>
    <w:link w:val="E-mailSignatureChar"/>
    <w:uiPriority w:val="99"/>
    <w:semiHidden/>
    <w:unhideWhenUsed/>
    <w:rsid w:val="00826B18"/>
  </w:style>
  <w:style w:type="character" w:customStyle="1" w:styleId="E-mailSignatureChar">
    <w:name w:val="E-mail Signature Char"/>
    <w:basedOn w:val="DefaultParagraphFont"/>
    <w:link w:val="E-mailSignature"/>
    <w:uiPriority w:val="99"/>
    <w:semiHidden/>
    <w:rsid w:val="00826B18"/>
    <w:rPr>
      <w:rFonts w:ascii="Times New Roman" w:eastAsia="SimSun" w:hAnsi="Times New Roman" w:cs="Times New Roman"/>
      <w:kern w:val="0"/>
      <w:sz w:val="22"/>
      <w:szCs w:val="22"/>
      <w:lang w:val="en-GB" w:eastAsia="en-US"/>
      <w14:ligatures w14:val="none"/>
    </w:rPr>
  </w:style>
  <w:style w:type="character" w:styleId="Emphasis">
    <w:name w:val="Emphasis"/>
    <w:basedOn w:val="DefaultParagraphFont"/>
    <w:uiPriority w:val="20"/>
    <w:qFormat/>
    <w:rsid w:val="00826B18"/>
    <w:rPr>
      <w:i/>
      <w:iCs/>
      <w:lang w:val="en-GB"/>
    </w:rPr>
  </w:style>
  <w:style w:type="character" w:styleId="EndnoteReference">
    <w:name w:val="endnote reference"/>
    <w:basedOn w:val="DefaultParagraphFont"/>
    <w:uiPriority w:val="99"/>
    <w:semiHidden/>
    <w:unhideWhenUsed/>
    <w:rsid w:val="00826B18"/>
    <w:rPr>
      <w:vertAlign w:val="superscript"/>
      <w:lang w:val="en-GB"/>
    </w:rPr>
  </w:style>
  <w:style w:type="paragraph" w:styleId="EndnoteText">
    <w:name w:val="endnote text"/>
    <w:basedOn w:val="Normal"/>
    <w:link w:val="EndnoteTextChar"/>
    <w:uiPriority w:val="99"/>
    <w:semiHidden/>
    <w:unhideWhenUsed/>
    <w:rsid w:val="00826B18"/>
    <w:rPr>
      <w:sz w:val="20"/>
      <w:szCs w:val="20"/>
    </w:rPr>
  </w:style>
  <w:style w:type="character" w:customStyle="1" w:styleId="EndnoteTextChar">
    <w:name w:val="Endnote Text Char"/>
    <w:basedOn w:val="DefaultParagraphFont"/>
    <w:link w:val="EndnoteText"/>
    <w:uiPriority w:val="99"/>
    <w:semiHidden/>
    <w:rsid w:val="00826B18"/>
    <w:rPr>
      <w:rFonts w:ascii="Times New Roman" w:eastAsia="SimSun" w:hAnsi="Times New Roman" w:cs="Times New Roman"/>
      <w:kern w:val="0"/>
      <w:sz w:val="20"/>
      <w:szCs w:val="20"/>
      <w:lang w:val="en-GB" w:eastAsia="en-US"/>
      <w14:ligatures w14:val="none"/>
    </w:rPr>
  </w:style>
  <w:style w:type="paragraph" w:styleId="EnvelopeAddress">
    <w:name w:val="envelope address"/>
    <w:basedOn w:val="Normal"/>
    <w:uiPriority w:val="99"/>
    <w:semiHidden/>
    <w:unhideWhenUsed/>
    <w:rsid w:val="00826B1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26B1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26B18"/>
    <w:rPr>
      <w:color w:val="96607D" w:themeColor="followedHyperlink"/>
      <w:u w:val="single"/>
      <w:lang w:val="en-GB"/>
    </w:rPr>
  </w:style>
  <w:style w:type="table" w:styleId="GridTable1Light">
    <w:name w:val="Grid Table 1 Light"/>
    <w:basedOn w:val="TableNormal"/>
    <w:uiPriority w:val="46"/>
    <w:rsid w:val="00826B1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6B18"/>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6B18"/>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6B18"/>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6B18"/>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6B18"/>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6B18"/>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6B1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6B18"/>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6B18"/>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6B18"/>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6B18"/>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6B18"/>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6B18"/>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
    <w:name w:val="Hashtag"/>
    <w:basedOn w:val="DefaultParagraphFont"/>
    <w:uiPriority w:val="99"/>
    <w:semiHidden/>
    <w:unhideWhenUsed/>
    <w:rsid w:val="00826B18"/>
    <w:rPr>
      <w:color w:val="2B579A"/>
      <w:shd w:val="clear" w:color="auto" w:fill="E1DFDD"/>
      <w:lang w:val="en-GB"/>
    </w:rPr>
  </w:style>
  <w:style w:type="character" w:styleId="HTMLAcronym">
    <w:name w:val="HTML Acronym"/>
    <w:basedOn w:val="DefaultParagraphFont"/>
    <w:uiPriority w:val="99"/>
    <w:semiHidden/>
    <w:unhideWhenUsed/>
    <w:rsid w:val="00826B18"/>
    <w:rPr>
      <w:lang w:val="en-GB"/>
    </w:rPr>
  </w:style>
  <w:style w:type="paragraph" w:styleId="HTMLAddress">
    <w:name w:val="HTML Address"/>
    <w:basedOn w:val="Normal"/>
    <w:link w:val="HTMLAddressChar"/>
    <w:uiPriority w:val="99"/>
    <w:semiHidden/>
    <w:unhideWhenUsed/>
    <w:rsid w:val="00826B18"/>
    <w:rPr>
      <w:i/>
      <w:iCs/>
    </w:rPr>
  </w:style>
  <w:style w:type="character" w:customStyle="1" w:styleId="HTMLAddressChar">
    <w:name w:val="HTML Address Char"/>
    <w:basedOn w:val="DefaultParagraphFont"/>
    <w:link w:val="HTMLAddress"/>
    <w:uiPriority w:val="99"/>
    <w:semiHidden/>
    <w:rsid w:val="00826B18"/>
    <w:rPr>
      <w:rFonts w:ascii="Times New Roman" w:eastAsia="SimSun" w:hAnsi="Times New Roman" w:cs="Times New Roman"/>
      <w:i/>
      <w:iCs/>
      <w:kern w:val="0"/>
      <w:sz w:val="22"/>
      <w:szCs w:val="22"/>
      <w:lang w:val="en-GB" w:eastAsia="en-US"/>
      <w14:ligatures w14:val="none"/>
    </w:rPr>
  </w:style>
  <w:style w:type="character" w:styleId="HTMLCite">
    <w:name w:val="HTML Cite"/>
    <w:basedOn w:val="DefaultParagraphFont"/>
    <w:uiPriority w:val="99"/>
    <w:semiHidden/>
    <w:unhideWhenUsed/>
    <w:rsid w:val="00826B18"/>
    <w:rPr>
      <w:i/>
      <w:iCs/>
      <w:lang w:val="en-GB"/>
    </w:rPr>
  </w:style>
  <w:style w:type="character" w:styleId="HTMLCode">
    <w:name w:val="HTML Code"/>
    <w:basedOn w:val="DefaultParagraphFont"/>
    <w:uiPriority w:val="99"/>
    <w:semiHidden/>
    <w:unhideWhenUsed/>
    <w:rsid w:val="00826B18"/>
    <w:rPr>
      <w:rFonts w:ascii="Consolas" w:hAnsi="Consolas"/>
      <w:sz w:val="20"/>
      <w:szCs w:val="20"/>
      <w:lang w:val="en-GB"/>
    </w:rPr>
  </w:style>
  <w:style w:type="character" w:styleId="HTMLDefinition">
    <w:name w:val="HTML Definition"/>
    <w:basedOn w:val="DefaultParagraphFont"/>
    <w:uiPriority w:val="99"/>
    <w:semiHidden/>
    <w:unhideWhenUsed/>
    <w:rsid w:val="00826B18"/>
    <w:rPr>
      <w:i/>
      <w:iCs/>
      <w:lang w:val="en-GB"/>
    </w:rPr>
  </w:style>
  <w:style w:type="character" w:styleId="HTMLKeyboard">
    <w:name w:val="HTML Keyboard"/>
    <w:basedOn w:val="DefaultParagraphFont"/>
    <w:uiPriority w:val="99"/>
    <w:semiHidden/>
    <w:unhideWhenUsed/>
    <w:rsid w:val="00826B18"/>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826B1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26B18"/>
    <w:rPr>
      <w:rFonts w:ascii="Consolas" w:eastAsia="SimSun" w:hAnsi="Consolas" w:cs="Times New Roman"/>
      <w:kern w:val="0"/>
      <w:sz w:val="20"/>
      <w:szCs w:val="20"/>
      <w:lang w:val="en-GB" w:eastAsia="en-US"/>
      <w14:ligatures w14:val="none"/>
    </w:rPr>
  </w:style>
  <w:style w:type="character" w:styleId="HTMLSample">
    <w:name w:val="HTML Sample"/>
    <w:basedOn w:val="DefaultParagraphFont"/>
    <w:uiPriority w:val="99"/>
    <w:semiHidden/>
    <w:unhideWhenUsed/>
    <w:rsid w:val="00826B18"/>
    <w:rPr>
      <w:rFonts w:ascii="Consolas" w:hAnsi="Consolas"/>
      <w:sz w:val="24"/>
      <w:szCs w:val="24"/>
      <w:lang w:val="en-GB"/>
    </w:rPr>
  </w:style>
  <w:style w:type="character" w:styleId="HTMLTypewriter">
    <w:name w:val="HTML Typewriter"/>
    <w:basedOn w:val="DefaultParagraphFont"/>
    <w:uiPriority w:val="99"/>
    <w:semiHidden/>
    <w:unhideWhenUsed/>
    <w:rsid w:val="00826B18"/>
    <w:rPr>
      <w:rFonts w:ascii="Consolas" w:hAnsi="Consolas"/>
      <w:sz w:val="20"/>
      <w:szCs w:val="20"/>
      <w:lang w:val="en-GB"/>
    </w:rPr>
  </w:style>
  <w:style w:type="character" w:styleId="HTMLVariable">
    <w:name w:val="HTML Variable"/>
    <w:basedOn w:val="DefaultParagraphFont"/>
    <w:uiPriority w:val="99"/>
    <w:semiHidden/>
    <w:unhideWhenUsed/>
    <w:rsid w:val="00826B18"/>
    <w:rPr>
      <w:i/>
      <w:iCs/>
      <w:lang w:val="en-GB"/>
    </w:rPr>
  </w:style>
  <w:style w:type="paragraph" w:styleId="Index1">
    <w:name w:val="index 1"/>
    <w:basedOn w:val="Normal"/>
    <w:next w:val="Normal"/>
    <w:autoRedefine/>
    <w:uiPriority w:val="99"/>
    <w:semiHidden/>
    <w:unhideWhenUsed/>
    <w:rsid w:val="00826B18"/>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826B18"/>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826B18"/>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826B18"/>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826B18"/>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826B18"/>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826B18"/>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826B18"/>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826B18"/>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826B18"/>
    <w:rPr>
      <w:rFonts w:asciiTheme="majorHAnsi" w:eastAsiaTheme="majorEastAsia" w:hAnsiTheme="majorHAnsi" w:cstheme="majorBidi"/>
      <w:b/>
      <w:bCs/>
    </w:rPr>
  </w:style>
  <w:style w:type="table" w:styleId="LightGrid">
    <w:name w:val="Light Grid"/>
    <w:basedOn w:val="TableNormal"/>
    <w:uiPriority w:val="62"/>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826B1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26B18"/>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826B18"/>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826B18"/>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826B18"/>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826B18"/>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826B18"/>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826B18"/>
    <w:rPr>
      <w:lang w:val="en-GB"/>
    </w:rPr>
  </w:style>
  <w:style w:type="paragraph" w:styleId="List2">
    <w:name w:val="List 2"/>
    <w:basedOn w:val="Normal"/>
    <w:uiPriority w:val="99"/>
    <w:semiHidden/>
    <w:unhideWhenUsed/>
    <w:rsid w:val="00826B18"/>
    <w:pPr>
      <w:ind w:left="566" w:hanging="283"/>
      <w:contextualSpacing/>
    </w:pPr>
  </w:style>
  <w:style w:type="paragraph" w:styleId="List3">
    <w:name w:val="List 3"/>
    <w:basedOn w:val="Normal"/>
    <w:uiPriority w:val="99"/>
    <w:semiHidden/>
    <w:unhideWhenUsed/>
    <w:rsid w:val="00826B18"/>
    <w:pPr>
      <w:ind w:left="849" w:hanging="283"/>
      <w:contextualSpacing/>
    </w:pPr>
  </w:style>
  <w:style w:type="paragraph" w:styleId="List4">
    <w:name w:val="List 4"/>
    <w:basedOn w:val="Normal"/>
    <w:uiPriority w:val="99"/>
    <w:semiHidden/>
    <w:unhideWhenUsed/>
    <w:rsid w:val="00826B18"/>
    <w:pPr>
      <w:ind w:left="1132" w:hanging="283"/>
      <w:contextualSpacing/>
    </w:pPr>
  </w:style>
  <w:style w:type="paragraph" w:styleId="List5">
    <w:name w:val="List 5"/>
    <w:basedOn w:val="Normal"/>
    <w:uiPriority w:val="99"/>
    <w:semiHidden/>
    <w:unhideWhenUsed/>
    <w:rsid w:val="00826B18"/>
    <w:pPr>
      <w:ind w:left="1415" w:hanging="283"/>
      <w:contextualSpacing/>
    </w:pPr>
  </w:style>
  <w:style w:type="paragraph" w:styleId="ListBullet">
    <w:name w:val="List Bullet"/>
    <w:basedOn w:val="Normal"/>
    <w:uiPriority w:val="99"/>
    <w:semiHidden/>
    <w:unhideWhenUsed/>
    <w:rsid w:val="00826B18"/>
    <w:pPr>
      <w:tabs>
        <w:tab w:val="num" w:pos="360"/>
      </w:tabs>
      <w:ind w:left="360" w:hanging="360"/>
      <w:contextualSpacing/>
    </w:pPr>
  </w:style>
  <w:style w:type="paragraph" w:styleId="ListBullet2">
    <w:name w:val="List Bullet 2"/>
    <w:basedOn w:val="Normal"/>
    <w:uiPriority w:val="99"/>
    <w:semiHidden/>
    <w:unhideWhenUsed/>
    <w:rsid w:val="00826B18"/>
    <w:pPr>
      <w:tabs>
        <w:tab w:val="num" w:pos="643"/>
      </w:tabs>
      <w:ind w:left="643" w:hanging="360"/>
      <w:contextualSpacing/>
    </w:pPr>
  </w:style>
  <w:style w:type="paragraph" w:styleId="ListBullet3">
    <w:name w:val="List Bullet 3"/>
    <w:basedOn w:val="Normal"/>
    <w:uiPriority w:val="99"/>
    <w:semiHidden/>
    <w:unhideWhenUsed/>
    <w:rsid w:val="00826B18"/>
    <w:pPr>
      <w:tabs>
        <w:tab w:val="num" w:pos="926"/>
      </w:tabs>
      <w:ind w:left="926" w:hanging="360"/>
      <w:contextualSpacing/>
    </w:pPr>
  </w:style>
  <w:style w:type="paragraph" w:styleId="ListBullet4">
    <w:name w:val="List Bullet 4"/>
    <w:basedOn w:val="Normal"/>
    <w:uiPriority w:val="99"/>
    <w:semiHidden/>
    <w:unhideWhenUsed/>
    <w:rsid w:val="00826B18"/>
    <w:pPr>
      <w:tabs>
        <w:tab w:val="num" w:pos="1209"/>
      </w:tabs>
      <w:ind w:left="1209" w:hanging="360"/>
      <w:contextualSpacing/>
    </w:pPr>
  </w:style>
  <w:style w:type="paragraph" w:styleId="ListBullet5">
    <w:name w:val="List Bullet 5"/>
    <w:basedOn w:val="Normal"/>
    <w:uiPriority w:val="99"/>
    <w:semiHidden/>
    <w:unhideWhenUsed/>
    <w:rsid w:val="00826B18"/>
    <w:pPr>
      <w:tabs>
        <w:tab w:val="num" w:pos="1492"/>
      </w:tabs>
      <w:ind w:left="1492" w:hanging="360"/>
      <w:contextualSpacing/>
    </w:pPr>
  </w:style>
  <w:style w:type="paragraph" w:styleId="ListContinue">
    <w:name w:val="List Continue"/>
    <w:basedOn w:val="Normal"/>
    <w:uiPriority w:val="99"/>
    <w:semiHidden/>
    <w:unhideWhenUsed/>
    <w:rsid w:val="00826B18"/>
    <w:pPr>
      <w:spacing w:after="120"/>
      <w:ind w:left="283"/>
      <w:contextualSpacing/>
    </w:pPr>
  </w:style>
  <w:style w:type="paragraph" w:styleId="ListContinue2">
    <w:name w:val="List Continue 2"/>
    <w:basedOn w:val="Normal"/>
    <w:uiPriority w:val="99"/>
    <w:semiHidden/>
    <w:unhideWhenUsed/>
    <w:rsid w:val="00826B18"/>
    <w:pPr>
      <w:spacing w:after="120"/>
      <w:ind w:left="566"/>
      <w:contextualSpacing/>
    </w:pPr>
  </w:style>
  <w:style w:type="paragraph" w:styleId="ListContinue3">
    <w:name w:val="List Continue 3"/>
    <w:basedOn w:val="Normal"/>
    <w:uiPriority w:val="99"/>
    <w:semiHidden/>
    <w:unhideWhenUsed/>
    <w:rsid w:val="00826B18"/>
    <w:pPr>
      <w:spacing w:after="120"/>
      <w:ind w:left="849"/>
      <w:contextualSpacing/>
    </w:pPr>
  </w:style>
  <w:style w:type="paragraph" w:styleId="ListContinue4">
    <w:name w:val="List Continue 4"/>
    <w:basedOn w:val="Normal"/>
    <w:uiPriority w:val="99"/>
    <w:semiHidden/>
    <w:unhideWhenUsed/>
    <w:rsid w:val="00826B18"/>
    <w:pPr>
      <w:spacing w:after="120"/>
      <w:ind w:left="1132"/>
      <w:contextualSpacing/>
    </w:pPr>
  </w:style>
  <w:style w:type="paragraph" w:styleId="ListContinue5">
    <w:name w:val="List Continue 5"/>
    <w:basedOn w:val="Normal"/>
    <w:uiPriority w:val="99"/>
    <w:semiHidden/>
    <w:unhideWhenUsed/>
    <w:rsid w:val="00826B18"/>
    <w:pPr>
      <w:spacing w:after="120"/>
      <w:ind w:left="1415"/>
      <w:contextualSpacing/>
    </w:pPr>
  </w:style>
  <w:style w:type="paragraph" w:styleId="ListNumber">
    <w:name w:val="List Number"/>
    <w:basedOn w:val="Normal"/>
    <w:uiPriority w:val="99"/>
    <w:semiHidden/>
    <w:unhideWhenUsed/>
    <w:rsid w:val="00826B18"/>
    <w:pPr>
      <w:tabs>
        <w:tab w:val="num" w:pos="360"/>
      </w:tabs>
      <w:ind w:left="360" w:hanging="360"/>
      <w:contextualSpacing/>
    </w:pPr>
  </w:style>
  <w:style w:type="paragraph" w:styleId="ListNumber2">
    <w:name w:val="List Number 2"/>
    <w:basedOn w:val="Normal"/>
    <w:uiPriority w:val="99"/>
    <w:semiHidden/>
    <w:unhideWhenUsed/>
    <w:rsid w:val="00826B18"/>
    <w:pPr>
      <w:tabs>
        <w:tab w:val="num" w:pos="643"/>
      </w:tabs>
      <w:ind w:left="643" w:hanging="360"/>
      <w:contextualSpacing/>
    </w:pPr>
  </w:style>
  <w:style w:type="paragraph" w:styleId="ListNumber3">
    <w:name w:val="List Number 3"/>
    <w:basedOn w:val="Normal"/>
    <w:uiPriority w:val="99"/>
    <w:semiHidden/>
    <w:unhideWhenUsed/>
    <w:rsid w:val="00826B18"/>
    <w:pPr>
      <w:tabs>
        <w:tab w:val="num" w:pos="926"/>
      </w:tabs>
      <w:ind w:left="926" w:hanging="360"/>
      <w:contextualSpacing/>
    </w:pPr>
  </w:style>
  <w:style w:type="paragraph" w:styleId="ListNumber4">
    <w:name w:val="List Number 4"/>
    <w:basedOn w:val="Normal"/>
    <w:uiPriority w:val="99"/>
    <w:semiHidden/>
    <w:unhideWhenUsed/>
    <w:rsid w:val="00826B18"/>
    <w:pPr>
      <w:tabs>
        <w:tab w:val="num" w:pos="1209"/>
      </w:tabs>
      <w:ind w:left="1209" w:hanging="360"/>
      <w:contextualSpacing/>
    </w:pPr>
  </w:style>
  <w:style w:type="paragraph" w:styleId="ListNumber5">
    <w:name w:val="List Number 5"/>
    <w:basedOn w:val="Normal"/>
    <w:uiPriority w:val="99"/>
    <w:semiHidden/>
    <w:unhideWhenUsed/>
    <w:rsid w:val="00826B18"/>
    <w:pPr>
      <w:tabs>
        <w:tab w:val="num" w:pos="1800"/>
      </w:tabs>
      <w:ind w:left="1800" w:hanging="360"/>
      <w:contextualSpacing/>
    </w:pPr>
  </w:style>
  <w:style w:type="table" w:styleId="ListTable1Light">
    <w:name w:val="List Table 1 Light"/>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6B1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6B18"/>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6B18"/>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6B18"/>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6B18"/>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6B18"/>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6B18"/>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6B1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6B18"/>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6B18"/>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6B18"/>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6B18"/>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6B18"/>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6B18"/>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6B1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6B18"/>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6B18"/>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6B18"/>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6B18"/>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6B18"/>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6B18"/>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6B1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6B18"/>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6B18"/>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6B18"/>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6B18"/>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6B18"/>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6B18"/>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26B1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eastAsia="en-US"/>
      <w14:ligatures w14:val="none"/>
    </w:rPr>
  </w:style>
  <w:style w:type="character" w:customStyle="1" w:styleId="MacroTextChar">
    <w:name w:val="Macro Text Char"/>
    <w:basedOn w:val="DefaultParagraphFont"/>
    <w:link w:val="MacroText"/>
    <w:uiPriority w:val="99"/>
    <w:semiHidden/>
    <w:rsid w:val="00826B18"/>
    <w:rPr>
      <w:rFonts w:ascii="Consolas" w:eastAsia="SimSun" w:hAnsi="Consolas" w:cs="Times New Roman"/>
      <w:kern w:val="0"/>
      <w:sz w:val="20"/>
      <w:szCs w:val="20"/>
      <w:lang w:val="en-GB" w:eastAsia="en-US"/>
      <w14:ligatures w14:val="none"/>
    </w:rPr>
  </w:style>
  <w:style w:type="table" w:styleId="MediumGrid1">
    <w:name w:val="Medium Grid 1"/>
    <w:basedOn w:val="TableNormal"/>
    <w:uiPriority w:val="67"/>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semiHidden/>
    <w:unhideWhenUsed/>
    <w:rsid w:val="00826B18"/>
    <w:rPr>
      <w:color w:val="2B579A"/>
      <w:shd w:val="clear" w:color="auto" w:fill="E1DFDD"/>
      <w:lang w:val="en-GB"/>
    </w:rPr>
  </w:style>
  <w:style w:type="paragraph" w:styleId="MessageHeader">
    <w:name w:val="Message Header"/>
    <w:basedOn w:val="Normal"/>
    <w:link w:val="MessageHeaderChar"/>
    <w:uiPriority w:val="99"/>
    <w:semiHidden/>
    <w:unhideWhenUsed/>
    <w:rsid w:val="00826B1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26B18"/>
    <w:rPr>
      <w:rFonts w:asciiTheme="majorHAnsi" w:eastAsiaTheme="majorEastAsia" w:hAnsiTheme="majorHAnsi" w:cstheme="majorBidi"/>
      <w:kern w:val="0"/>
      <w:shd w:val="pct20" w:color="auto" w:fill="auto"/>
      <w:lang w:val="en-GB" w:eastAsia="en-US"/>
      <w14:ligatures w14:val="none"/>
    </w:rPr>
  </w:style>
  <w:style w:type="paragraph" w:styleId="NoSpacing">
    <w:name w:val="No Spacing"/>
    <w:uiPriority w:val="1"/>
    <w:qFormat/>
    <w:rsid w:val="00826B18"/>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NormalWeb">
    <w:name w:val="Normal (Web)"/>
    <w:basedOn w:val="Normal"/>
    <w:uiPriority w:val="99"/>
    <w:semiHidden/>
    <w:unhideWhenUsed/>
    <w:rsid w:val="00826B18"/>
    <w:rPr>
      <w:sz w:val="24"/>
      <w:szCs w:val="24"/>
    </w:rPr>
  </w:style>
  <w:style w:type="paragraph" w:styleId="NormalIndent">
    <w:name w:val="Normal Indent"/>
    <w:basedOn w:val="Normal"/>
    <w:uiPriority w:val="99"/>
    <w:semiHidden/>
    <w:unhideWhenUsed/>
    <w:rsid w:val="00826B18"/>
    <w:pPr>
      <w:ind w:left="720"/>
    </w:pPr>
  </w:style>
  <w:style w:type="paragraph" w:styleId="NoteHeading">
    <w:name w:val="Note Heading"/>
    <w:basedOn w:val="Normal"/>
    <w:next w:val="Normal"/>
    <w:link w:val="NoteHeadingChar"/>
    <w:uiPriority w:val="99"/>
    <w:semiHidden/>
    <w:unhideWhenUsed/>
    <w:rsid w:val="00826B18"/>
  </w:style>
  <w:style w:type="character" w:customStyle="1" w:styleId="NoteHeadingChar">
    <w:name w:val="Note Heading Char"/>
    <w:basedOn w:val="DefaultParagraphFont"/>
    <w:link w:val="NoteHeading"/>
    <w:uiPriority w:val="99"/>
    <w:semiHidden/>
    <w:rsid w:val="00826B18"/>
    <w:rPr>
      <w:rFonts w:ascii="Times New Roman" w:eastAsia="SimSun" w:hAnsi="Times New Roman" w:cs="Times New Roman"/>
      <w:kern w:val="0"/>
      <w:sz w:val="22"/>
      <w:szCs w:val="22"/>
      <w:lang w:val="en-GB" w:eastAsia="en-US"/>
      <w14:ligatures w14:val="none"/>
    </w:rPr>
  </w:style>
  <w:style w:type="character" w:styleId="PageNumber">
    <w:name w:val="page number"/>
    <w:basedOn w:val="DefaultParagraphFont"/>
    <w:uiPriority w:val="99"/>
    <w:semiHidden/>
    <w:unhideWhenUsed/>
    <w:rsid w:val="00826B18"/>
    <w:rPr>
      <w:lang w:val="en-GB"/>
    </w:rPr>
  </w:style>
  <w:style w:type="character" w:styleId="PlaceholderText">
    <w:name w:val="Placeholder Text"/>
    <w:basedOn w:val="DefaultParagraphFont"/>
    <w:uiPriority w:val="99"/>
    <w:semiHidden/>
    <w:rsid w:val="00826B18"/>
    <w:rPr>
      <w:color w:val="666666"/>
      <w:lang w:val="en-GB"/>
    </w:rPr>
  </w:style>
  <w:style w:type="table" w:styleId="PlainTable1">
    <w:name w:val="Plain Table 1"/>
    <w:basedOn w:val="TableNormal"/>
    <w:uiPriority w:val="41"/>
    <w:rsid w:val="00826B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6B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6B1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6B1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6B1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26B18"/>
    <w:rPr>
      <w:rFonts w:ascii="Consolas" w:hAnsi="Consolas"/>
      <w:sz w:val="21"/>
      <w:szCs w:val="21"/>
    </w:rPr>
  </w:style>
  <w:style w:type="character" w:customStyle="1" w:styleId="PlainTextChar">
    <w:name w:val="Plain Text Char"/>
    <w:basedOn w:val="DefaultParagraphFont"/>
    <w:link w:val="PlainText"/>
    <w:uiPriority w:val="99"/>
    <w:semiHidden/>
    <w:rsid w:val="00826B18"/>
    <w:rPr>
      <w:rFonts w:ascii="Consolas" w:eastAsia="SimSun" w:hAnsi="Consolas" w:cs="Times New Roman"/>
      <w:kern w:val="0"/>
      <w:sz w:val="21"/>
      <w:szCs w:val="21"/>
      <w:lang w:val="en-GB" w:eastAsia="en-US"/>
      <w14:ligatures w14:val="none"/>
    </w:rPr>
  </w:style>
  <w:style w:type="paragraph" w:styleId="Salutation">
    <w:name w:val="Salutation"/>
    <w:basedOn w:val="Normal"/>
    <w:next w:val="Normal"/>
    <w:link w:val="SalutationChar"/>
    <w:uiPriority w:val="99"/>
    <w:semiHidden/>
    <w:unhideWhenUsed/>
    <w:rsid w:val="00826B18"/>
  </w:style>
  <w:style w:type="character" w:customStyle="1" w:styleId="SalutationChar">
    <w:name w:val="Salutation Char"/>
    <w:basedOn w:val="DefaultParagraphFont"/>
    <w:link w:val="Salutation"/>
    <w:uiPriority w:val="99"/>
    <w:semiHidden/>
    <w:rsid w:val="00826B18"/>
    <w:rPr>
      <w:rFonts w:ascii="Times New Roman" w:eastAsia="SimSun" w:hAnsi="Times New Roman" w:cs="Times New Roman"/>
      <w:kern w:val="0"/>
      <w:sz w:val="22"/>
      <w:szCs w:val="22"/>
      <w:lang w:val="en-GB" w:eastAsia="en-US"/>
      <w14:ligatures w14:val="none"/>
    </w:rPr>
  </w:style>
  <w:style w:type="paragraph" w:styleId="Signature">
    <w:name w:val="Signature"/>
    <w:basedOn w:val="Normal"/>
    <w:link w:val="SignatureChar"/>
    <w:uiPriority w:val="99"/>
    <w:semiHidden/>
    <w:unhideWhenUsed/>
    <w:rsid w:val="00826B18"/>
    <w:pPr>
      <w:ind w:left="4252"/>
    </w:pPr>
  </w:style>
  <w:style w:type="character" w:customStyle="1" w:styleId="SignatureChar">
    <w:name w:val="Signature Char"/>
    <w:basedOn w:val="DefaultParagraphFont"/>
    <w:link w:val="Signature"/>
    <w:uiPriority w:val="99"/>
    <w:semiHidden/>
    <w:rsid w:val="00826B18"/>
    <w:rPr>
      <w:rFonts w:ascii="Times New Roman" w:eastAsia="SimSun" w:hAnsi="Times New Roman" w:cs="Times New Roman"/>
      <w:kern w:val="0"/>
      <w:sz w:val="22"/>
      <w:szCs w:val="22"/>
      <w:lang w:val="en-GB" w:eastAsia="en-US"/>
      <w14:ligatures w14:val="none"/>
    </w:rPr>
  </w:style>
  <w:style w:type="character" w:customStyle="1" w:styleId="SmartHyperlink">
    <w:name w:val="Smart Hyperlink"/>
    <w:basedOn w:val="DefaultParagraphFont"/>
    <w:uiPriority w:val="99"/>
    <w:semiHidden/>
    <w:unhideWhenUsed/>
    <w:rsid w:val="00826B18"/>
    <w:rPr>
      <w:u w:val="dotted"/>
      <w:lang w:val="en-GB"/>
    </w:rPr>
  </w:style>
  <w:style w:type="character" w:customStyle="1" w:styleId="SmartLink">
    <w:name w:val="Smart Link"/>
    <w:basedOn w:val="DefaultParagraphFont"/>
    <w:uiPriority w:val="99"/>
    <w:semiHidden/>
    <w:unhideWhenUsed/>
    <w:rsid w:val="00826B18"/>
    <w:rPr>
      <w:color w:val="0000FF"/>
      <w:u w:val="single"/>
      <w:shd w:val="clear" w:color="auto" w:fill="F3F2F1"/>
      <w:lang w:val="en-GB"/>
    </w:rPr>
  </w:style>
  <w:style w:type="character" w:styleId="Strong">
    <w:name w:val="Strong"/>
    <w:basedOn w:val="DefaultParagraphFont"/>
    <w:uiPriority w:val="22"/>
    <w:qFormat/>
    <w:rsid w:val="00826B18"/>
    <w:rPr>
      <w:b/>
      <w:bCs/>
      <w:lang w:val="en-GB"/>
    </w:rPr>
  </w:style>
  <w:style w:type="character" w:styleId="SubtleEmphasis">
    <w:name w:val="Subtle Emphasis"/>
    <w:basedOn w:val="DefaultParagraphFont"/>
    <w:uiPriority w:val="19"/>
    <w:qFormat/>
    <w:rsid w:val="00826B18"/>
    <w:rPr>
      <w:i/>
      <w:iCs/>
      <w:color w:val="404040" w:themeColor="text1" w:themeTint="BF"/>
      <w:lang w:val="en-GB"/>
    </w:rPr>
  </w:style>
  <w:style w:type="character" w:styleId="SubtleReference">
    <w:name w:val="Subtle Reference"/>
    <w:basedOn w:val="DefaultParagraphFont"/>
    <w:uiPriority w:val="31"/>
    <w:qFormat/>
    <w:rsid w:val="00826B18"/>
    <w:rPr>
      <w:smallCaps/>
      <w:color w:val="5A5A5A" w:themeColor="text1" w:themeTint="A5"/>
      <w:lang w:val="en-GB"/>
    </w:rPr>
  </w:style>
  <w:style w:type="table" w:styleId="Table3Deffects1">
    <w:name w:val="Table 3D effects 1"/>
    <w:basedOn w:val="TableNormal"/>
    <w:uiPriority w:val="99"/>
    <w:semiHidden/>
    <w:unhideWhenUsed/>
    <w:rsid w:val="00826B18"/>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26B18"/>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26B18"/>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6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6B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26B18"/>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826B18"/>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26B18"/>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26B1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26B18"/>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
    <w:name w:val="Unresolved Mention"/>
    <w:basedOn w:val="DefaultParagraphFont"/>
    <w:uiPriority w:val="99"/>
    <w:semiHidden/>
    <w:unhideWhenUsed/>
    <w:rsid w:val="00826B18"/>
    <w:rPr>
      <w:color w:val="605E5C"/>
      <w:shd w:val="clear" w:color="auto" w:fill="E1DFDD"/>
      <w:lang w:val="en-GB"/>
    </w:rPr>
  </w:style>
  <w:style w:type="paragraph" w:customStyle="1" w:styleId="Para1">
    <w:name w:val="Para 1"/>
    <w:basedOn w:val="Normal"/>
    <w:qFormat/>
    <w:rsid w:val="00826B18"/>
    <w:pPr>
      <w:spacing w:before="120" w:after="120"/>
      <w:ind w:left="567"/>
    </w:p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826B18"/>
    <w:pPr>
      <w:spacing w:after="160" w:line="240" w:lineRule="exact"/>
      <w:jc w:val="left"/>
    </w:pPr>
    <w:rPr>
      <w:rFonts w:asciiTheme="minorHAnsi" w:eastAsiaTheme="minorEastAsia" w:hAnsiTheme="minorHAnsi" w:cstheme="minorBidi"/>
      <w:kern w:val="2"/>
      <w:sz w:val="24"/>
      <w:szCs w:val="24"/>
      <w:vertAlign w:val="superscript"/>
      <w:lang w:eastAsia="zh-CN"/>
      <w14:ligatures w14:val="standardContextual"/>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D9789B"/>
    <w:rPr>
      <w:rFonts w:ascii="Times New Roman" w:eastAsia="SimSun" w:hAnsi="Times New Roman" w:cs="Times New Roman"/>
      <w:kern w:val="0"/>
      <w:sz w:val="22"/>
      <w:szCs w:val="22"/>
      <w:lang w:eastAsia="en-US"/>
      <w14:ligatures w14:val="none"/>
    </w:rPr>
  </w:style>
  <w:style w:type="paragraph" w:customStyle="1" w:styleId="Para2">
    <w:name w:val="Para 2"/>
    <w:qFormat/>
    <w:rsid w:val="00CB21D0"/>
    <w:pPr>
      <w:tabs>
        <w:tab w:val="left" w:pos="1701"/>
      </w:tabs>
      <w:spacing w:before="120" w:after="120" w:line="240" w:lineRule="auto"/>
      <w:ind w:left="1134"/>
      <w:jc w:val="both"/>
    </w:pPr>
    <w:rPr>
      <w:rFonts w:ascii="Times New Roman" w:eastAsia="Times New Roman" w:hAnsi="Times New Roman" w:cs="Times New Roman"/>
      <w:kern w:val="0"/>
      <w:sz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p-mop-10/cp-mop-10-dec-10-en.pdf" TargetMode="External"/><Relationship Id="rId18" Type="http://schemas.openxmlformats.org/officeDocument/2006/relationships/hyperlink" Target="https://www.cbd.int/doc/decisions/cp-mop-09/cp-mop-09-dec-13-en.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bd.int/doc/decisions/cp-mop-09/cp-mop-09-dec-13-en.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doc/decisions/cp-mop-09/cp-mop-09-dec-13-en.pdf" TargetMode="External"/><Relationship Id="rId20" Type="http://schemas.openxmlformats.org/officeDocument/2006/relationships/hyperlink" Target="https://www.cbd.int/doc/decisions/cp-mop-09/cp-mop-09-dec-13-en.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cbd.int/doc/decisions/cop-14/cop-14-dec-19-en.pdf"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cbd.int/doc/decisions/cop-14/cop-14-dec-33-e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p-mop-09/cp-mop-09-dec-13-en.pdf" TargetMode="External"/><Relationship Id="rId22" Type="http://schemas.openxmlformats.org/officeDocument/2006/relationships/header" Target="head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F1C805A-4C87-4BFB-991F-CA8BD4A1641A}"/>
      </w:docPartPr>
      <w:docPartBody>
        <w:p w:rsidR="00133A16" w:rsidRDefault="00133A16">
          <w:r w:rsidRPr="00302849">
            <w:rPr>
              <w:rStyle w:val="PlaceholderText"/>
            </w:rPr>
            <w:t>Click or tap here to enter text.</w:t>
          </w:r>
        </w:p>
      </w:docPartBody>
    </w:docPart>
    <w:docPart>
      <w:docPartPr>
        <w:name w:val="9F1F261572B44A579B41DC5262C7583E"/>
        <w:category>
          <w:name w:val="General"/>
          <w:gallery w:val="placeholder"/>
        </w:category>
        <w:types>
          <w:type w:val="bbPlcHdr"/>
        </w:types>
        <w:behaviors>
          <w:behavior w:val="content"/>
        </w:behaviors>
        <w:guid w:val="{430FC5D5-16AE-4904-8EEC-A4AD4617C32F}"/>
      </w:docPartPr>
      <w:docPartBody>
        <w:p w:rsidR="00133A16" w:rsidRDefault="00133A16">
          <w:r w:rsidRPr="00302849">
            <w:rPr>
              <w:rStyle w:val="PlaceholderText"/>
            </w:rPr>
            <w:t>Meeting name (part 1)</w:t>
          </w:r>
        </w:p>
      </w:docPartBody>
    </w:docPart>
    <w:docPart>
      <w:docPartPr>
        <w:name w:val="B9873788B48E44E58D56666428B1CE7D"/>
        <w:category>
          <w:name w:val="General"/>
          <w:gallery w:val="placeholder"/>
        </w:category>
        <w:types>
          <w:type w:val="bbPlcHdr"/>
        </w:types>
        <w:behaviors>
          <w:behavior w:val="content"/>
        </w:behaviors>
        <w:guid w:val="{D7845ADD-9362-4BC9-BCE2-CD08D4DCE89B}"/>
      </w:docPartPr>
      <w:docPartBody>
        <w:p w:rsidR="00133A16" w:rsidRDefault="00133A16">
          <w:r w:rsidRPr="00302849">
            <w:rPr>
              <w:rStyle w:val="PlaceholderText"/>
            </w:rPr>
            <w:t>Meeting name (part 2)</w:t>
          </w:r>
        </w:p>
      </w:docPartBody>
    </w:docPart>
    <w:docPart>
      <w:docPartPr>
        <w:name w:val="64874FC6DF4A417F8E01C547D30CB1A0"/>
        <w:category>
          <w:name w:val="General"/>
          <w:gallery w:val="placeholder"/>
        </w:category>
        <w:types>
          <w:type w:val="bbPlcHdr"/>
        </w:types>
        <w:behaviors>
          <w:behavior w:val="content"/>
        </w:behaviors>
        <w:guid w:val="{4254C14B-C251-486F-87BF-4C2AE646B50E}"/>
      </w:docPartPr>
      <w:docPartBody>
        <w:p w:rsidR="00133A16" w:rsidRDefault="00133A16">
          <w:r w:rsidRPr="00302849">
            <w:rPr>
              <w:rStyle w:val="PlaceholderText"/>
            </w:rPr>
            <w:t>[Venue, date]</w:t>
          </w:r>
        </w:p>
      </w:docPartBody>
    </w:docPart>
    <w:docPart>
      <w:docPartPr>
        <w:name w:val="4DAAF98F411D4DFEA5A9AD38FBF4D602"/>
        <w:category>
          <w:name w:val="General"/>
          <w:gallery w:val="placeholder"/>
        </w:category>
        <w:types>
          <w:type w:val="bbPlcHdr"/>
        </w:types>
        <w:behaviors>
          <w:behavior w:val="content"/>
        </w:behaviors>
        <w:guid w:val="{FAC09341-4D51-4C62-8E31-47E70C756E9E}"/>
      </w:docPartPr>
      <w:docPartBody>
        <w:p w:rsidR="00133A16" w:rsidRDefault="00133A16">
          <w:r w:rsidRPr="00302849">
            <w:rPr>
              <w:rStyle w:val="PlaceholderText"/>
            </w:rPr>
            <w:t>[Agenda item xx][Item xx of the provisional agenda]</w:t>
          </w:r>
        </w:p>
      </w:docPartBody>
    </w:docPart>
    <w:docPart>
      <w:docPartPr>
        <w:name w:val="537D9D7C40F1433C964135921AE6D203"/>
        <w:category>
          <w:name w:val="General"/>
          <w:gallery w:val="placeholder"/>
        </w:category>
        <w:types>
          <w:type w:val="bbPlcHdr"/>
        </w:types>
        <w:behaviors>
          <w:behavior w:val="content"/>
        </w:behaviors>
        <w:guid w:val="{10E6A421-5E61-4930-926C-AC95AEDD01EF}"/>
      </w:docPartPr>
      <w:docPartBody>
        <w:p w:rsidR="00133A16" w:rsidRDefault="00133A16">
          <w:r w:rsidRPr="00302849">
            <w:rPr>
              <w:rStyle w:val="PlaceholderText"/>
            </w:rPr>
            <w:t>General</w:t>
          </w:r>
        </w:p>
      </w:docPartBody>
    </w:docPart>
    <w:docPart>
      <w:docPartPr>
        <w:name w:val="589DAB67B08C4894BD605321B97EB4D9"/>
        <w:category>
          <w:name w:val="General"/>
          <w:gallery w:val="placeholder"/>
        </w:category>
        <w:types>
          <w:type w:val="bbPlcHdr"/>
        </w:types>
        <w:behaviors>
          <w:behavior w:val="content"/>
        </w:behaviors>
        <w:guid w:val="{C2E6E13F-ABCD-45BE-B7F1-B9A3F7D088EF}"/>
      </w:docPartPr>
      <w:docPartBody>
        <w:p w:rsidR="00133A16" w:rsidRDefault="00133A16">
          <w:r w:rsidRPr="00302849">
            <w:rPr>
              <w:rStyle w:val="PlaceholderText"/>
            </w:rPr>
            <w:t>[Date]</w:t>
          </w:r>
        </w:p>
      </w:docPartBody>
    </w:docPart>
    <w:docPart>
      <w:docPartPr>
        <w:name w:val="7588511DD0584B9C87618C4D7AABEB34"/>
        <w:category>
          <w:name w:val="General"/>
          <w:gallery w:val="placeholder"/>
        </w:category>
        <w:types>
          <w:type w:val="bbPlcHdr"/>
        </w:types>
        <w:behaviors>
          <w:behavior w:val="content"/>
        </w:behaviors>
        <w:guid w:val="{61DF8D62-31CB-40DA-BC7C-8A1CE006AEDC}"/>
      </w:docPartPr>
      <w:docPartBody>
        <w:p w:rsidR="00133A16" w:rsidRDefault="00133A16">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16"/>
    <w:rsid w:val="00016F8B"/>
    <w:rsid w:val="00067985"/>
    <w:rsid w:val="00133A16"/>
    <w:rsid w:val="002D5795"/>
    <w:rsid w:val="003D05ED"/>
    <w:rsid w:val="0047009A"/>
    <w:rsid w:val="005E56DE"/>
    <w:rsid w:val="00771329"/>
    <w:rsid w:val="00794051"/>
    <w:rsid w:val="00817459"/>
    <w:rsid w:val="00BE3534"/>
    <w:rsid w:val="00C43384"/>
    <w:rsid w:val="00CB6634"/>
    <w:rsid w:val="00DF3447"/>
    <w:rsid w:val="00EA2E3B"/>
    <w:rsid w:val="00F11076"/>
    <w:rsid w:val="00F435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A1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B97C5B-B3A8-43EB-9C5B-7D7A65BCB449}">
  <ds:schemaRefs>
    <ds:schemaRef ds:uri="http://schemas.microsoft.com/sharepoint/v3/contenttype/forms"/>
  </ds:schemaRefs>
</ds:datastoreItem>
</file>

<file path=customXml/itemProps2.xml><?xml version="1.0" encoding="utf-8"?>
<ds:datastoreItem xmlns:ds="http://schemas.openxmlformats.org/officeDocument/2006/customXml" ds:itemID="{A842D678-E82E-437F-A6D6-53DF995FF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246AE-95E7-41C0-8A8D-F79E9E027468}">
  <ds:schemaRef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358298e0-1b7e-4ebe-8695-94439b74f0d1"/>
    <ds:schemaRef ds:uri="13ad741f-c0db-4e29-b5a6-03b4a1bc18ba"/>
    <ds:schemaRef ds:uri="http://purl.org/dc/elements/1.1/"/>
    <ds:schemaRef ds:uri="985ec44e-1bab-4c0b-9df0-6ba128686fc9"/>
    <ds:schemaRef ds:uri="http://purl.org/dc/dcmitype/"/>
    <ds:schemaRef ds:uri="http://purl.org/dc/te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serving as the meeting of the Parties to the Cartagena Protocol on Biosafety on 30 October 2024</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Cartagena Protocol on Biosafety on 30 October 2024</dc:title>
  <dc:subject>CBD/CP/MOP/DEC/11/7</dc:subject>
  <dc:creator>Secretariat of the Convention on Biological Diversity</dc:creator>
  <cp:keywords>Conference of the Parties to the Convention on Biological Diversity serving as the meeting of the Parties to the Cartagena Protocol on Biosafety</cp:keywords>
  <dc:description/>
  <cp:lastModifiedBy>Veronique Lefebvre</cp:lastModifiedBy>
  <cp:revision>3</cp:revision>
  <cp:lastPrinted>2025-02-06T20:42:00Z</cp:lastPrinted>
  <dcterms:created xsi:type="dcterms:W3CDTF">2025-02-06T20:41:00Z</dcterms:created>
  <dcterms:modified xsi:type="dcterms:W3CDTF">2025-02-06T20:42:00Z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Category">
    <vt:lpwstr>CBD</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