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3E50EB" w14:paraId="70DBD24E" w14:textId="77777777" w:rsidTr="00826B18">
        <w:trPr>
          <w:trHeight w:val="850"/>
        </w:trPr>
        <w:tc>
          <w:tcPr>
            <w:tcW w:w="975" w:type="dxa"/>
            <w:shd w:val="clear" w:color="auto" w:fill="auto"/>
            <w:vAlign w:val="bottom"/>
          </w:tcPr>
          <w:p w14:paraId="55627B33" w14:textId="03D4B91F" w:rsidR="00826B18" w:rsidRPr="003E50EB" w:rsidRDefault="00826B18" w:rsidP="00826B18">
            <w:pPr>
              <w:pStyle w:val="AASmallLogo"/>
            </w:pPr>
            <w:r>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B3E199" w14:textId="0A435D64" w:rsidR="00826B18" w:rsidRPr="003E50EB" w:rsidRDefault="00826B18" w:rsidP="00826B18">
            <w:pPr>
              <w:pStyle w:val="AASmallLogo"/>
            </w:pPr>
          </w:p>
        </w:tc>
        <w:tc>
          <w:tcPr>
            <w:tcW w:w="1434" w:type="dxa"/>
            <w:shd w:val="clear" w:color="auto" w:fill="auto"/>
            <w:noWrap/>
            <w:vAlign w:val="bottom"/>
          </w:tcPr>
          <w:p w14:paraId="34214783" w14:textId="5866161A" w:rsidR="00826B18" w:rsidRPr="003E50EB" w:rsidRDefault="00E20B66" w:rsidP="00826B18">
            <w:pPr>
              <w:pStyle w:val="AASmallLogo"/>
            </w:pPr>
            <w:r w:rsidRPr="00A24BA2">
              <w:rPr>
                <w:noProof/>
                <w:lang w:val="en-US"/>
              </w:rPr>
              <w:drawing>
                <wp:inline distT="0" distB="0" distL="0" distR="0" wp14:anchorId="5F6AB916" wp14:editId="1C4B7270">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826B18">
              <w:t xml:space="preserve"> </w:t>
            </w:r>
          </w:p>
          <w:p w14:paraId="3EE2A4CA" w14:textId="054145D9" w:rsidR="00826B18" w:rsidRPr="003E50EB" w:rsidRDefault="00826B18" w:rsidP="00826B18">
            <w:pPr>
              <w:pStyle w:val="AASmallLogo"/>
            </w:pPr>
          </w:p>
        </w:tc>
        <w:tc>
          <w:tcPr>
            <w:tcW w:w="8073" w:type="dxa"/>
            <w:shd w:val="clear" w:color="auto" w:fill="auto"/>
            <w:vAlign w:val="bottom"/>
          </w:tcPr>
          <w:p w14:paraId="17D8BD1D" w14:textId="4D0B8B00" w:rsidR="00826B18" w:rsidRPr="003E50EB" w:rsidRDefault="00CA59AB" w:rsidP="00826B18">
            <w:pPr>
              <w:pStyle w:val="ABSymbol"/>
              <w:rPr>
                <w:sz w:val="22"/>
                <w:szCs w:val="22"/>
              </w:rPr>
            </w:pPr>
            <w:r w:rsidRPr="003E50EB">
              <w:rPr>
                <w:sz w:val="22"/>
              </w:rPr>
              <w:fldChar w:fldCharType="begin"/>
            </w:r>
            <w:r w:rsidRPr="003E50EB">
              <w:rPr>
                <w:sz w:val="22"/>
              </w:rPr>
              <w:instrText xml:space="preserve"> DOCPROPERTY Subject \* MERGEFORMAT </w:instrText>
            </w:r>
            <w:r w:rsidRPr="003E50EB">
              <w:rPr>
                <w:sz w:val="22"/>
              </w:rPr>
              <w:fldChar w:fldCharType="separate"/>
            </w:r>
            <w:r w:rsidR="00E20B66" w:rsidRPr="00E20B66">
              <w:rPr>
                <w:sz w:val="40"/>
              </w:rPr>
              <w:t>CBD</w:t>
            </w:r>
            <w:r w:rsidR="00E20B66">
              <w:rPr>
                <w:sz w:val="22"/>
              </w:rPr>
              <w:t>/CP/MOP/DEC/11/7</w:t>
            </w:r>
            <w:r w:rsidRPr="003E50EB">
              <w:rPr>
                <w:sz w:val="22"/>
              </w:rPr>
              <w:fldChar w:fldCharType="end"/>
            </w:r>
          </w:p>
        </w:tc>
      </w:tr>
    </w:tbl>
    <w:p w14:paraId="39A877E0" w14:textId="77777777" w:rsidR="009443D7" w:rsidRPr="003E50EB"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3E50EB" w14:paraId="52A9537E" w14:textId="77777777" w:rsidTr="00826B18">
        <w:trPr>
          <w:trHeight w:val="1814"/>
        </w:trPr>
        <w:tc>
          <w:tcPr>
            <w:tcW w:w="7370" w:type="dxa"/>
            <w:shd w:val="clear" w:color="auto" w:fill="auto"/>
          </w:tcPr>
          <w:p w14:paraId="59FC3EDD" w14:textId="038430EA" w:rsidR="00826B18" w:rsidRPr="003E50EB" w:rsidRDefault="00E20B66" w:rsidP="00826B18">
            <w:pPr>
              <w:pStyle w:val="ACLargeLogo"/>
            </w:pPr>
            <w:r w:rsidRPr="00A24BA2">
              <w:rPr>
                <w:noProof/>
                <w:lang w:val="en-US"/>
                <w14:ligatures w14:val="standardContextual"/>
              </w:rPr>
              <w:drawing>
                <wp:inline distT="0" distB="0" distL="0" distR="0" wp14:anchorId="01553397" wp14:editId="3CA8CC45">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826B18">
              <w:t xml:space="preserve"> </w:t>
            </w:r>
          </w:p>
          <w:p w14:paraId="14373D68" w14:textId="31F3331A" w:rsidR="00826B18" w:rsidRPr="003E50EB" w:rsidRDefault="00826B18" w:rsidP="00826B18">
            <w:pPr>
              <w:pStyle w:val="ACLargeLogo"/>
            </w:pPr>
          </w:p>
        </w:tc>
        <w:tc>
          <w:tcPr>
            <w:tcW w:w="3112" w:type="dxa"/>
            <w:shd w:val="clear" w:color="auto" w:fill="auto"/>
          </w:tcPr>
          <w:p w14:paraId="281C19C6" w14:textId="577E2AF6" w:rsidR="00826B18" w:rsidRPr="003E50EB" w:rsidRDefault="00826B18" w:rsidP="00826B18">
            <w:pPr>
              <w:pStyle w:val="AEDistrNormal"/>
            </w:pPr>
            <w:r>
              <w:t xml:space="preserve">Distr. </w:t>
            </w:r>
            <w:sdt>
              <w:sdtPr>
                <w:alias w:val="DistributionType"/>
                <w:id w:val="-943536495"/>
                <w:placeholder>
                  <w:docPart w:val="537D9D7C40F1433C964135921AE6D203"/>
                </w:placeholder>
                <w15:color w:val="800000"/>
              </w:sdtPr>
              <w:sdtEndPr/>
              <w:sdtContent>
                <w:r>
                  <w:t>general</w:t>
                </w:r>
              </w:sdtContent>
            </w:sdt>
          </w:p>
          <w:p w14:paraId="40626E3D" w14:textId="738CD91C" w:rsidR="00826B18" w:rsidRPr="003E50EB" w:rsidRDefault="00A7465C" w:rsidP="00826B18">
            <w:pPr>
              <w:pStyle w:val="AEDistrNormal"/>
            </w:pPr>
            <w:sdt>
              <w:sdtPr>
                <w:alias w:val="DistributionDate"/>
                <w:id w:val="1090040067"/>
                <w:placeholder>
                  <w:docPart w:val="589DAB67B08C4894BD605321B97EB4D9"/>
                </w:placeholder>
                <w15:color w:val="800000"/>
              </w:sdtPr>
              <w:sdtEndPr/>
              <w:sdtContent>
                <w:r w:rsidR="006E265C">
                  <w:t>30 de octubre de 2024</w:t>
                </w:r>
              </w:sdtContent>
            </w:sdt>
            <w:r w:rsidR="006E265C">
              <w:t xml:space="preserve"> </w:t>
            </w:r>
          </w:p>
          <w:p w14:paraId="6885AE69" w14:textId="0DB58DE3" w:rsidR="00826B18" w:rsidRPr="003E50EB" w:rsidRDefault="00A7465C" w:rsidP="00E20B66">
            <w:pPr>
              <w:pStyle w:val="AEDistrNormal6pt"/>
              <w:spacing w:before="0"/>
            </w:pPr>
            <w:sdt>
              <w:sdtPr>
                <w:alias w:val="DistributionLanguage"/>
                <w:id w:val="-1478219683"/>
                <w:placeholder>
                  <w:docPart w:val="7588511DD0584B9C87618C4D7AABEB34"/>
                </w:placeholder>
                <w15:color w:val="800000"/>
              </w:sdtPr>
              <w:sdtEndPr/>
              <w:sdtContent>
                <w:r w:rsidR="006E265C">
                  <w:t>Español</w:t>
                </w:r>
                <w:r w:rsidR="006E265C">
                  <w:br/>
                  <w:t>Original: inglés</w:t>
                </w:r>
              </w:sdtContent>
            </w:sdt>
            <w:r w:rsidR="006E265C">
              <w:t xml:space="preserve"> </w:t>
            </w:r>
          </w:p>
          <w:p w14:paraId="263B794D" w14:textId="45B2697D" w:rsidR="00826B18" w:rsidRPr="003E50EB" w:rsidRDefault="00826B18" w:rsidP="00826B18">
            <w:pPr>
              <w:pStyle w:val="AEDistrNormal6pt"/>
            </w:pPr>
          </w:p>
        </w:tc>
      </w:tr>
    </w:tbl>
    <w:p w14:paraId="27487BE5" w14:textId="77777777" w:rsidR="00826B18" w:rsidRPr="003E50EB"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3E50EB" w14:paraId="32F8FA33" w14:textId="77777777" w:rsidTr="00826B18">
        <w:trPr>
          <w:trHeight w:val="57"/>
        </w:trPr>
        <w:tc>
          <w:tcPr>
            <w:tcW w:w="6094" w:type="dxa"/>
            <w:shd w:val="clear" w:color="auto" w:fill="auto"/>
          </w:tcPr>
          <w:p w14:paraId="7E769921" w14:textId="2306F975" w:rsidR="00826B18" w:rsidRPr="003E50EB" w:rsidRDefault="00A7465C" w:rsidP="00826B18">
            <w:pPr>
              <w:pStyle w:val="AFCorN12Bold"/>
            </w:pPr>
            <w:sdt>
              <w:sdtPr>
                <w:alias w:val="CorNot1Text"/>
                <w:id w:val="1971018176"/>
                <w:placeholder>
                  <w:docPart w:val="9F1F261572B44A579B41DC5262C7583E"/>
                </w:placeholder>
                <w15:color w:val="800000"/>
                <w:text w:multiLine="1"/>
              </w:sdtPr>
              <w:sdtEndPr/>
              <w:sdtContent>
                <w:r w:rsidR="006E265C">
                  <w:t>Conferencia de las Partes en el Convenio sobre la Diversidad Biológica que actúa como reunión de las Partes en el Protocolo de Cartagena sobre Seguridad de la Biotecnología</w:t>
                </w:r>
              </w:sdtContent>
            </w:sdt>
            <w:r w:rsidR="006E265C">
              <w:t xml:space="preserve"> </w:t>
            </w:r>
          </w:p>
          <w:p w14:paraId="59C22D78" w14:textId="089F0551" w:rsidR="00826B18" w:rsidRPr="003E50EB" w:rsidRDefault="00A7465C" w:rsidP="00826B18">
            <w:pPr>
              <w:pStyle w:val="AFCorNBold"/>
            </w:pPr>
            <w:sdt>
              <w:sdtPr>
                <w:alias w:val="CorNot1TextPart2"/>
                <w:id w:val="-1728751740"/>
                <w:placeholder>
                  <w:docPart w:val="B9873788B48E44E58D56666428B1CE7D"/>
                </w:placeholder>
                <w15:color w:val="800000"/>
                <w:text w:multiLine="1"/>
              </w:sdtPr>
              <w:sdtEndPr/>
              <w:sdtContent>
                <w:r w:rsidR="006E265C">
                  <w:t>11ª reunión</w:t>
                </w:r>
              </w:sdtContent>
            </w:sdt>
            <w:r w:rsidR="006E265C">
              <w:t xml:space="preserve"> </w:t>
            </w:r>
          </w:p>
          <w:p w14:paraId="08ED4AD2" w14:textId="547DE95C" w:rsidR="00826B18" w:rsidRPr="003E50EB" w:rsidRDefault="00A7465C"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6E265C">
                  <w:rPr>
                    <w:b w:val="0"/>
                  </w:rPr>
                  <w:t>Cali (Colombia), 21 de octubre a 1 de noviembre de 2024</w:t>
                </w:r>
              </w:sdtContent>
            </w:sdt>
            <w:bookmarkStart w:id="0" w:name="_GoBack"/>
            <w:bookmarkEnd w:id="0"/>
          </w:p>
          <w:p w14:paraId="2EF44AAB" w14:textId="33DBB187" w:rsidR="00826B18" w:rsidRPr="003E50EB" w:rsidRDefault="00A7465C" w:rsidP="00826B18">
            <w:pPr>
              <w:pStyle w:val="AFCorNNormal"/>
            </w:pPr>
            <w:sdt>
              <w:sdtPr>
                <w:alias w:val="CorNot1AgItem"/>
                <w:id w:val="287018184"/>
                <w:placeholder>
                  <w:docPart w:val="4DAAF98F411D4DFEA5A9AD38FBF4D602"/>
                </w:placeholder>
                <w15:color w:val="800000"/>
                <w:text/>
              </w:sdtPr>
              <w:sdtEndPr/>
              <w:sdtContent>
                <w:r w:rsidR="006E265C">
                  <w:t>Tema 11 del programa</w:t>
                </w:r>
              </w:sdtContent>
            </w:sdt>
          </w:p>
          <w:p w14:paraId="5A5F6AAC" w14:textId="5A8F7124" w:rsidR="00826B18" w:rsidRPr="003E50EB" w:rsidRDefault="00A050C5" w:rsidP="00826B18">
            <w:pPr>
              <w:pStyle w:val="AFCorNBold"/>
            </w:pPr>
            <w:r>
              <w:t>Evaluación del riesgo y gestión del riesgo</w:t>
            </w:r>
          </w:p>
        </w:tc>
        <w:tc>
          <w:tcPr>
            <w:tcW w:w="4388" w:type="dxa"/>
            <w:shd w:val="clear" w:color="auto" w:fill="auto"/>
          </w:tcPr>
          <w:p w14:paraId="198C35CF" w14:textId="77777777" w:rsidR="00826B18" w:rsidRPr="003E50EB"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3B1B47D4" w:rsidR="00826B18" w:rsidRPr="003E50EB" w:rsidRDefault="00BA2E06" w:rsidP="00826B18">
          <w:pPr>
            <w:pStyle w:val="CBDTitle"/>
          </w:pPr>
          <w:fldSimple w:instr=" DOCPROPERTY Title \* MERGEFORMAT ">
            <w:r w:rsidR="00E20B66" w:rsidRPr="00A24BA2">
              <w:rPr>
                <w:lang w:val="es-419"/>
              </w:rPr>
              <w:t>Decisi</w:t>
            </w:r>
            <w:r w:rsidR="00E20B66">
              <w:rPr>
                <w:lang w:val="es-419"/>
              </w:rPr>
              <w:t>ó</w:t>
            </w:r>
            <w:r w:rsidR="00E20B66" w:rsidRPr="00A24BA2">
              <w:rPr>
                <w:lang w:val="es-419"/>
              </w:rPr>
              <w:t>n adoptada por la Conferencia de las Partes en el Convenio sobre la Diversidad Biológica que actúa como reunión de las Partes en el Protocolo de Cartagena sobre Seguridad de la Biotecnología el</w:t>
            </w:r>
            <w:r w:rsidR="00E20B66">
              <w:t xml:space="preserve"> 30 de octubre de 2024</w:t>
            </w:r>
          </w:fldSimple>
        </w:p>
      </w:sdtContent>
    </w:sdt>
    <w:p w14:paraId="3EB608F0" w14:textId="49C2BACD" w:rsidR="00826B18" w:rsidRPr="003E50EB" w:rsidRDefault="00826B18" w:rsidP="00417CEB">
      <w:pPr>
        <w:pStyle w:val="CBDSubTitle"/>
      </w:pPr>
      <w:r>
        <w:t>CP-11/7.</w:t>
      </w:r>
      <w:r>
        <w:tab/>
        <w:t>Evaluación del riesgo y gestión del riesgo</w:t>
      </w:r>
    </w:p>
    <w:p w14:paraId="523D0F44" w14:textId="377D108F" w:rsidR="00CB21D0" w:rsidRPr="003E50EB" w:rsidRDefault="00CB21D0" w:rsidP="00417CEB">
      <w:pPr>
        <w:pStyle w:val="CBDDesicionText"/>
      </w:pPr>
      <w:r>
        <w:rPr>
          <w:i/>
        </w:rPr>
        <w:t>La Conferencia de las Partes que actúa como reunión de las Partes en el Protocolo de Cartagena</w:t>
      </w:r>
      <w:r>
        <w:t>,</w:t>
      </w:r>
    </w:p>
    <w:p w14:paraId="0B7F954C" w14:textId="78B05F7D" w:rsidR="00CB21D0" w:rsidRPr="003E50EB" w:rsidRDefault="00CB21D0" w:rsidP="00417CEB">
      <w:pPr>
        <w:pStyle w:val="CBDDesicionText"/>
      </w:pPr>
      <w:r>
        <w:rPr>
          <w:i/>
        </w:rPr>
        <w:t>Recordando</w:t>
      </w:r>
      <w:r>
        <w:t xml:space="preserve"> el artículo 1 del Protocolo de Cartagena sobre Seguridad de la Biotecnología</w:t>
      </w:r>
      <w:r w:rsidRPr="003E50EB">
        <w:rPr>
          <w:rStyle w:val="FootnoteReference"/>
        </w:rPr>
        <w:footnoteReference w:id="2"/>
      </w:r>
      <w:r>
        <w:t>,</w:t>
      </w:r>
    </w:p>
    <w:p w14:paraId="388F462C" w14:textId="23D45EC8" w:rsidR="00CB21D0" w:rsidRPr="003E50EB" w:rsidRDefault="00CB21D0" w:rsidP="00417CEB">
      <w:pPr>
        <w:pStyle w:val="CBDDesicionText"/>
      </w:pPr>
      <w:r>
        <w:rPr>
          <w:i/>
        </w:rPr>
        <w:t xml:space="preserve">Recordando también </w:t>
      </w:r>
      <w:r>
        <w:t xml:space="preserve">la decisión </w:t>
      </w:r>
      <w:hyperlink r:id="rId14" w:history="1">
        <w:r w:rsidRPr="00E20B66">
          <w:rPr>
            <w:rStyle w:val="Hyperlink"/>
            <w:color w:val="0070C0"/>
          </w:rPr>
          <w:t>CP-10/10</w:t>
        </w:r>
      </w:hyperlink>
      <w:r>
        <w:t>, de 10 de diciembre de 2022,</w:t>
      </w:r>
    </w:p>
    <w:p w14:paraId="6B83DD59" w14:textId="2544DAC0" w:rsidR="00CB21D0" w:rsidRPr="00417CEB" w:rsidRDefault="00CB21D0" w:rsidP="00417CEB">
      <w:pPr>
        <w:pStyle w:val="CBDDesicionText"/>
        <w:rPr>
          <w:i/>
          <w:iCs/>
        </w:rPr>
      </w:pPr>
      <w:r>
        <w:rPr>
          <w:i/>
        </w:rPr>
        <w:t>Recordando además</w:t>
      </w:r>
      <w:r>
        <w:t xml:space="preserve"> la decisión </w:t>
      </w:r>
      <w:hyperlink r:id="rId15" w:history="1">
        <w:r w:rsidRPr="00E20B66">
          <w:rPr>
            <w:rStyle w:val="Hyperlink"/>
            <w:color w:val="0070C0"/>
          </w:rPr>
          <w:t>CP-9/13</w:t>
        </w:r>
      </w:hyperlink>
      <w:r>
        <w:t>, de 28 de noviembre de 2018, por la cual estableció un proceso para la determinación y priorización de cuestiones específicas de la evaluación del riesgo de los organismos vivos modificados que podrían ameritar consideración,</w:t>
      </w:r>
    </w:p>
    <w:p w14:paraId="3CCF9798" w14:textId="2225411C" w:rsidR="00CB21D0" w:rsidRPr="003E50EB" w:rsidRDefault="00CB21D0" w:rsidP="00417CEB">
      <w:pPr>
        <w:pStyle w:val="CBDDesicionText"/>
      </w:pPr>
      <w:r>
        <w:rPr>
          <w:i/>
        </w:rPr>
        <w:t>Recordando</w:t>
      </w:r>
      <w:r>
        <w:t xml:space="preserve"> el párrafo 7 de la decisión </w:t>
      </w:r>
      <w:hyperlink r:id="rId16" w:history="1">
        <w:r w:rsidRPr="00E20B66">
          <w:rPr>
            <w:rStyle w:val="Hyperlink"/>
            <w:color w:val="0070C0"/>
          </w:rPr>
          <w:t>14/19</w:t>
        </w:r>
      </w:hyperlink>
      <w:r>
        <w:t xml:space="preserve"> de la Conferencia de las Partes en el Convenio sobre la Diversidad Biológica</w:t>
      </w:r>
      <w:r w:rsidRPr="003E50EB">
        <w:rPr>
          <w:rStyle w:val="FootnoteReference"/>
        </w:rPr>
        <w:footnoteReference w:id="3"/>
      </w:r>
      <w:r w:rsidR="00871D9F">
        <w:t xml:space="preserve">, de 29 de noviembre de 2018, </w:t>
      </w:r>
      <w:r>
        <w:t xml:space="preserve">en el cual la Conferencia de las Partes ponía de relieve la necesidad de contar con un enfoque coordinado, complementario y sin duplicaciones sobre cuestiones relacionadas con la biología sintética en el marco del Convenio y sus Protocolos, y observando las conclusiones, donde proceda, del Grupo </w:t>
      </w:r>
      <w:r w:rsidR="00871D9F">
        <w:t xml:space="preserve">Multidisciplinario </w:t>
      </w:r>
      <w:r>
        <w:t>Especial de Expertos Técnicos sobre Biología Sintética</w:t>
      </w:r>
      <w:r w:rsidR="00871D9F">
        <w:t xml:space="preserve"> para</w:t>
      </w:r>
      <w:r>
        <w:t xml:space="preserve"> </w:t>
      </w:r>
      <w:r w:rsidR="00871D9F">
        <w:t>A</w:t>
      </w:r>
      <w:r>
        <w:t>poy</w:t>
      </w:r>
      <w:r w:rsidR="00871D9F">
        <w:t>ar</w:t>
      </w:r>
      <w:r>
        <w:t xml:space="preserve"> </w:t>
      </w:r>
      <w:r w:rsidR="00871D9F">
        <w:t>e</w:t>
      </w:r>
      <w:r>
        <w:t xml:space="preserve">l </w:t>
      </w:r>
      <w:r w:rsidR="00871D9F">
        <w:t>P</w:t>
      </w:r>
      <w:r>
        <w:t xml:space="preserve">roceso de </w:t>
      </w:r>
      <w:r w:rsidR="00871D9F">
        <w:t>A</w:t>
      </w:r>
      <w:r>
        <w:t xml:space="preserve">nálisis </w:t>
      </w:r>
      <w:r w:rsidR="00871D9F">
        <w:t>P</w:t>
      </w:r>
      <w:r>
        <w:t xml:space="preserve">rospectivos </w:t>
      </w:r>
      <w:r w:rsidR="00871D9F">
        <w:t>A</w:t>
      </w:r>
      <w:r>
        <w:t xml:space="preserve">mplios y </w:t>
      </w:r>
      <w:r w:rsidR="00871D9F">
        <w:t>P</w:t>
      </w:r>
      <w:r>
        <w:t xml:space="preserve">eriódicos, </w:t>
      </w:r>
      <w:r w:rsidR="00871D9F">
        <w:t>S</w:t>
      </w:r>
      <w:r>
        <w:t xml:space="preserve">eguimiento y </w:t>
      </w:r>
      <w:r w:rsidR="00871D9F">
        <w:t>E</w:t>
      </w:r>
      <w:r>
        <w:t>valuación</w:t>
      </w:r>
      <w:r w:rsidRPr="003E50EB">
        <w:rPr>
          <w:rStyle w:val="FootnoteReference"/>
        </w:rPr>
        <w:footnoteReference w:id="4"/>
      </w:r>
      <w:r>
        <w:t>,</w:t>
      </w:r>
    </w:p>
    <w:p w14:paraId="02F76A3B" w14:textId="4EB872D5" w:rsidR="00CB21D0" w:rsidRPr="003E50EB" w:rsidRDefault="00CB21D0" w:rsidP="00417CEB">
      <w:pPr>
        <w:pStyle w:val="CBDDesicionText"/>
      </w:pPr>
      <w:r>
        <w:rPr>
          <w:i/>
        </w:rPr>
        <w:t>Tomando nota</w:t>
      </w:r>
      <w:r>
        <w:t xml:space="preserve"> de la evaluación realizada por el Grupo Especial de Expertos Técnicos sobre Evaluación del Riesgo </w:t>
      </w:r>
      <w:r w:rsidR="005A2859">
        <w:t xml:space="preserve">con respecto a </w:t>
      </w:r>
      <w:r>
        <w:t>cuestiones adicionales sobre las que p</w:t>
      </w:r>
      <w:r w:rsidR="005A2859">
        <w:t>odría</w:t>
      </w:r>
      <w:r>
        <w:t xml:space="preserve"> ser necesario disponer de material</w:t>
      </w:r>
      <w:r w:rsidR="005A2859">
        <w:t>es</w:t>
      </w:r>
      <w:r>
        <w:t xml:space="preserve"> de orientación </w:t>
      </w:r>
      <w:r w:rsidR="005A2859">
        <w:t>sobre</w:t>
      </w:r>
      <w:r>
        <w:t xml:space="preserve"> evaluación del riesgo</w:t>
      </w:r>
      <w:r w:rsidRPr="003E50EB">
        <w:rPr>
          <w:rStyle w:val="FootnoteReference"/>
          <w:kern w:val="22"/>
        </w:rPr>
        <w:footnoteReference w:id="5"/>
      </w:r>
      <w:r>
        <w:t>,</w:t>
      </w:r>
    </w:p>
    <w:p w14:paraId="68B2FBE6" w14:textId="77777777" w:rsidR="00CB21D0" w:rsidRPr="003E50EB" w:rsidRDefault="00CB21D0" w:rsidP="00417CEB">
      <w:pPr>
        <w:pStyle w:val="CBDDesicionText"/>
        <w:rPr>
          <w:i/>
          <w:iCs/>
        </w:rPr>
      </w:pPr>
      <w:r>
        <w:lastRenderedPageBreak/>
        <w:t>1.</w:t>
      </w:r>
      <w:r>
        <w:tab/>
      </w:r>
      <w:r>
        <w:rPr>
          <w:i/>
        </w:rPr>
        <w:t>Acoge con aprecio</w:t>
      </w:r>
      <w:r>
        <w:t xml:space="preserve"> las conclusiones de las reuniones del Grupo Especial de Expertos Técnicos sobre Evaluación del Riesgo</w:t>
      </w:r>
      <w:r w:rsidRPr="003E50EB">
        <w:rPr>
          <w:rStyle w:val="FootnoteReference"/>
        </w:rPr>
        <w:footnoteReference w:id="6"/>
      </w:r>
      <w:r>
        <w:t>;</w:t>
      </w:r>
    </w:p>
    <w:p w14:paraId="357695AD" w14:textId="333D9978" w:rsidR="00CB21D0" w:rsidRPr="003E50EB" w:rsidRDefault="00CB21D0" w:rsidP="00417CEB">
      <w:pPr>
        <w:pStyle w:val="CBDDesicionText"/>
        <w:rPr>
          <w:i/>
          <w:iCs/>
        </w:rPr>
      </w:pPr>
      <w:r>
        <w:t>2.</w:t>
      </w:r>
      <w:r>
        <w:tab/>
      </w:r>
      <w:r>
        <w:rPr>
          <w:i/>
          <w:iCs/>
        </w:rPr>
        <w:t>Acoge con satisfacción</w:t>
      </w:r>
      <w:r>
        <w:t xml:space="preserve"> los materiales de orientación voluntaria adicionales </w:t>
      </w:r>
      <w:r w:rsidR="005A2859">
        <w:t>para</w:t>
      </w:r>
      <w:r>
        <w:t xml:space="preserve"> apoya</w:t>
      </w:r>
      <w:r w:rsidR="005A2859">
        <w:t>r</w:t>
      </w:r>
      <w:r>
        <w:t xml:space="preserve"> evaluaci</w:t>
      </w:r>
      <w:r w:rsidR="005A2859">
        <w:t>o</w:t>
      </w:r>
      <w:r>
        <w:t>n</w:t>
      </w:r>
      <w:r w:rsidR="005A2859">
        <w:t>es</w:t>
      </w:r>
      <w:r>
        <w:t xml:space="preserve"> del riesgo caso por caso de organismos vivos modificados que contengan impulsores genéticos modificados</w:t>
      </w:r>
      <w:r w:rsidRPr="003E50EB">
        <w:rPr>
          <w:rStyle w:val="FootnoteReference"/>
        </w:rPr>
        <w:footnoteReference w:id="7"/>
      </w:r>
      <w:r>
        <w:t>;</w:t>
      </w:r>
    </w:p>
    <w:p w14:paraId="2158E6A4" w14:textId="77777777" w:rsidR="00CB21D0" w:rsidRPr="003E50EB" w:rsidRDefault="00CB21D0" w:rsidP="00417CEB">
      <w:pPr>
        <w:pStyle w:val="CBDDesicionText"/>
      </w:pPr>
      <w:r>
        <w:t>3.</w:t>
      </w:r>
      <w:r>
        <w:tab/>
      </w:r>
      <w:r>
        <w:rPr>
          <w:i/>
        </w:rPr>
        <w:t>Invita</w:t>
      </w:r>
      <w:r>
        <w:t xml:space="preserve"> a las Partes, otros Gobiernos, pueblos indígenas y comunidades locales, organizaciones de mujeres y de la juventud y organizaciones e interesados pertinentes a utilizar los materiales de orientación voluntaria adicionales cuando realicen evaluaciones del riesgo pertinentes y como herramienta para actividades de creación de capacidad en evaluación del riesgo; </w:t>
      </w:r>
    </w:p>
    <w:p w14:paraId="6A94DE6B" w14:textId="37E28F94" w:rsidR="00CB21D0" w:rsidRPr="003E50EB" w:rsidRDefault="00CB21D0" w:rsidP="00417CEB">
      <w:pPr>
        <w:pStyle w:val="CBDDesicionText"/>
        <w:rPr>
          <w:kern w:val="22"/>
        </w:rPr>
      </w:pPr>
      <w:r>
        <w:t>4.</w:t>
      </w:r>
      <w:r>
        <w:tab/>
      </w:r>
      <w:r>
        <w:rPr>
          <w:i/>
        </w:rPr>
        <w:t xml:space="preserve">Pide </w:t>
      </w:r>
      <w:r>
        <w:t>que se tengan en cuenta las cuestiones relacionadas planteadas en los materiales de orientación voluntaria adicionales</w:t>
      </w:r>
      <w:r w:rsidRPr="003E50EB">
        <w:rPr>
          <w:rStyle w:val="FootnoteReference"/>
          <w:kern w:val="22"/>
        </w:rPr>
        <w:footnoteReference w:id="8"/>
      </w:r>
      <w:r w:rsidR="005A2859">
        <w:t>,</w:t>
      </w:r>
      <w:r>
        <w:t xml:space="preserve"> incluidos los conocimientos tradicionales, la innovación y las prácticas de pueblos indígenas y comunidades locales, en el proceso de toma de decisiones;</w:t>
      </w:r>
    </w:p>
    <w:p w14:paraId="6C259B97" w14:textId="10786743" w:rsidR="00CB21D0" w:rsidRPr="003E50EB" w:rsidRDefault="00CB21D0" w:rsidP="00417CEB">
      <w:pPr>
        <w:pStyle w:val="CBDDesicionText"/>
        <w:rPr>
          <w:kern w:val="22"/>
        </w:rPr>
      </w:pPr>
      <w:r>
        <w:t>5.</w:t>
      </w:r>
      <w:r>
        <w:tab/>
      </w:r>
      <w:r>
        <w:rPr>
          <w:i/>
        </w:rPr>
        <w:t>Invita</w:t>
      </w:r>
      <w:r>
        <w:t xml:space="preserve"> a las Partes, otros Gobiernos, pueblos indígenas y comunidades locales y organizaciones e interesados pertinentes que ha</w:t>
      </w:r>
      <w:r w:rsidR="00C25245">
        <w:t>ya</w:t>
      </w:r>
      <w:r>
        <w:t xml:space="preserve">n utilizado los materiales de orientación voluntaria a </w:t>
      </w:r>
      <w:r w:rsidR="00C25245">
        <w:t>p</w:t>
      </w:r>
      <w:r>
        <w:t>r</w:t>
      </w:r>
      <w:r w:rsidR="00C25245">
        <w:t>ese</w:t>
      </w:r>
      <w:r>
        <w:t>n</w:t>
      </w:r>
      <w:r w:rsidR="00C25245">
        <w:t>t</w:t>
      </w:r>
      <w:r>
        <w:t>ar a la Secretaria Ejecutiva del Convenio sobre la Diversidad Biológica información sobre sus experiencias y evaluaciones de la aplicabilidad y utilidad de esos materiales;</w:t>
      </w:r>
    </w:p>
    <w:p w14:paraId="79CEDF32" w14:textId="56CB9C5E" w:rsidR="00CB21D0" w:rsidRPr="003E50EB" w:rsidRDefault="00CB21D0" w:rsidP="00417CEB">
      <w:pPr>
        <w:pStyle w:val="CBDDesicionText"/>
        <w:rPr>
          <w:kern w:val="22"/>
        </w:rPr>
      </w:pPr>
      <w:r>
        <w:t>6.</w:t>
      </w:r>
      <w:r>
        <w:tab/>
      </w:r>
      <w:r>
        <w:rPr>
          <w:i/>
        </w:rPr>
        <w:t>Pide</w:t>
      </w:r>
      <w:r>
        <w:t xml:space="preserve"> amplia cooperación internacional, intercambio de conocimientos, creación de capacidad y movilización de recursos para apoyar, entre otras cosas, la aplicación de </w:t>
      </w:r>
      <w:r w:rsidR="00277178">
        <w:t xml:space="preserve">los </w:t>
      </w:r>
      <w:r>
        <w:t>materiales de orientación voluntaria adicionales;</w:t>
      </w:r>
    </w:p>
    <w:p w14:paraId="10557E5F" w14:textId="2704B01A" w:rsidR="00CB21D0" w:rsidRPr="003E50EB" w:rsidRDefault="00CB21D0" w:rsidP="00417CEB">
      <w:pPr>
        <w:pStyle w:val="CBDDesicionText"/>
      </w:pPr>
      <w:r>
        <w:t>7.</w:t>
      </w:r>
      <w:r>
        <w:tab/>
      </w:r>
      <w:r>
        <w:rPr>
          <w:i/>
        </w:rPr>
        <w:t>Decide</w:t>
      </w:r>
      <w:r>
        <w:t xml:space="preserve"> establecer un grupo especial de expertos técnicos sobre evaluación del riesgo, con el mandato que figura en el anexo de la presente decisión, encargado de evalua</w:t>
      </w:r>
      <w:r w:rsidR="00277178">
        <w:t>r</w:t>
      </w:r>
      <w:r>
        <w:t xml:space="preserve"> las necesidades y prioridades identificadas por las Partes en la información presentada </w:t>
      </w:r>
      <w:r w:rsidR="00C25245">
        <w:t>en respuesta</w:t>
      </w:r>
      <w:r>
        <w:t xml:space="preserve"> a lo solicitado </w:t>
      </w:r>
      <w:r w:rsidR="00C25245">
        <w:t xml:space="preserve">a continuación </w:t>
      </w:r>
      <w:r>
        <w:t>en el párrafo 8;</w:t>
      </w:r>
    </w:p>
    <w:p w14:paraId="3ADDCA12" w14:textId="5349FE6D" w:rsidR="00CB21D0" w:rsidRPr="003E50EB" w:rsidRDefault="00CB21D0" w:rsidP="00417CEB">
      <w:pPr>
        <w:pStyle w:val="CBDDesicionText"/>
      </w:pPr>
      <w:r>
        <w:t>8.</w:t>
      </w:r>
      <w:r>
        <w:tab/>
      </w:r>
      <w:r>
        <w:rPr>
          <w:i/>
        </w:rPr>
        <w:t>Invita</w:t>
      </w:r>
      <w:r>
        <w:t xml:space="preserve"> a las Partes a presentar información detallada sobre sus necesidades y prioridades con respecto a más materiales de orientación sobre temas específicos de evaluación del riesgo de organismos vivos modificados, </w:t>
      </w:r>
      <w:r w:rsidR="00277178">
        <w:t>con</w:t>
      </w:r>
      <w:r>
        <w:t xml:space="preserve"> una justificación basada en los criterios establecidos en el anexo</w:t>
      </w:r>
      <w:r w:rsidR="00460007">
        <w:t> </w:t>
      </w:r>
      <w:r>
        <w:t xml:space="preserve">I de la decisión </w:t>
      </w:r>
      <w:hyperlink r:id="rId17" w:history="1">
        <w:r w:rsidRPr="00E20B66">
          <w:rPr>
            <w:rStyle w:val="Hyperlink"/>
            <w:color w:val="0070C0"/>
          </w:rPr>
          <w:t>CP-9/13</w:t>
        </w:r>
      </w:hyperlink>
      <w:r>
        <w:t>;</w:t>
      </w:r>
    </w:p>
    <w:p w14:paraId="699DD9EC" w14:textId="34A6B575" w:rsidR="00CB21D0" w:rsidRPr="003E50EB" w:rsidRDefault="00CB21D0" w:rsidP="00417CEB">
      <w:pPr>
        <w:pStyle w:val="CBDDesicionText"/>
        <w:rPr>
          <w:kern w:val="22"/>
        </w:rPr>
      </w:pPr>
      <w:r>
        <w:t>9.</w:t>
      </w:r>
      <w:r>
        <w:tab/>
      </w:r>
      <w:r>
        <w:rPr>
          <w:i/>
        </w:rPr>
        <w:t>Decide</w:t>
      </w:r>
      <w:r>
        <w:t xml:space="preserve"> prorrogar el Foro en Línea de Composición Abierta sobre Evaluación del Riesgo y Gestión del Riesgo a fin de apoyar el análisis de más temas de evaluación del riesgo, conforme a los criterios </w:t>
      </w:r>
      <w:r w:rsidR="004A60B2">
        <w:t>establecidos</w:t>
      </w:r>
      <w:r>
        <w:t xml:space="preserve"> en el anexo I de la decisión </w:t>
      </w:r>
      <w:hyperlink r:id="rId18" w:history="1">
        <w:r w:rsidRPr="00E20B66">
          <w:rPr>
            <w:rStyle w:val="Hyperlink"/>
            <w:color w:val="0070C0"/>
          </w:rPr>
          <w:t>CP-9/13</w:t>
        </w:r>
      </w:hyperlink>
      <w:r>
        <w:t>;</w:t>
      </w:r>
    </w:p>
    <w:p w14:paraId="67BE1437" w14:textId="19A5C187" w:rsidR="00CB21D0" w:rsidRPr="003E50EB" w:rsidRDefault="00CB21D0" w:rsidP="00417CEB">
      <w:pPr>
        <w:pStyle w:val="CBDDesicionText"/>
      </w:pPr>
      <w:r>
        <w:t>10.</w:t>
      </w:r>
      <w:r>
        <w:tab/>
      </w:r>
      <w:r>
        <w:rPr>
          <w:i/>
        </w:rPr>
        <w:t>Decide también</w:t>
      </w:r>
      <w:r>
        <w:t xml:space="preserve"> que en su 12</w:t>
      </w:r>
      <w:r>
        <w:rPr>
          <w:vertAlign w:val="superscript"/>
        </w:rPr>
        <w:t>a</w:t>
      </w:r>
      <w:r>
        <w:t xml:space="preserve"> reunión considerará otras cuestiones respecto a las que se pudiera requerir materiales de orientación sobre evaluación del riesgo, que hubieran surgido del proceso de determinación y priorización de cuestiones específicas de la evaluación del riesgo de los organismos vivos modificados </w:t>
      </w:r>
      <w:r w:rsidR="004A60B2">
        <w:t>establecido</w:t>
      </w:r>
      <w:r>
        <w:t xml:space="preserve"> en la decisión </w:t>
      </w:r>
      <w:hyperlink r:id="rId19" w:history="1">
        <w:r w:rsidRPr="00E20B66">
          <w:rPr>
            <w:rStyle w:val="Hyperlink"/>
            <w:color w:val="0070C0"/>
          </w:rPr>
          <w:t>CP-9/13</w:t>
        </w:r>
      </w:hyperlink>
      <w:r>
        <w:t xml:space="preserve">, teniendo en cuenta las necesidades y prioridades definidas por las Partes </w:t>
      </w:r>
      <w:r w:rsidR="004A60B2">
        <w:t>en respuesta</w:t>
      </w:r>
      <w:r>
        <w:t xml:space="preserve"> al párrafo 8 anterior y la recomendación del Órgano Subsidiario de Asesoramiento Científico, Técnico y Tecnológico </w:t>
      </w:r>
      <w:r w:rsidR="000C3512">
        <w:t xml:space="preserve">formulada </w:t>
      </w:r>
      <w:r>
        <w:t>conforme</w:t>
      </w:r>
      <w:r w:rsidR="004A60B2">
        <w:t xml:space="preserve"> a</w:t>
      </w:r>
      <w:r>
        <w:t>l párrafo</w:t>
      </w:r>
      <w:r w:rsidR="000C3512">
        <w:t> </w:t>
      </w:r>
      <w:r>
        <w:t>1</w:t>
      </w:r>
      <w:r w:rsidR="000C3512">
        <w:t> </w:t>
      </w:r>
      <w:r>
        <w:t>d) del mandato del Grupo Especial de Expertos Técnicos sobre Evaluación del Riesgo;</w:t>
      </w:r>
    </w:p>
    <w:p w14:paraId="021A67E3" w14:textId="77777777" w:rsidR="00CB21D0" w:rsidRPr="003E50EB" w:rsidRDefault="00CB21D0" w:rsidP="00417CEB">
      <w:pPr>
        <w:pStyle w:val="CBDDesicionText"/>
      </w:pPr>
      <w:r>
        <w:t>11.</w:t>
      </w:r>
      <w:r>
        <w:tab/>
      </w:r>
      <w:r>
        <w:rPr>
          <w:i/>
        </w:rPr>
        <w:t>Pide</w:t>
      </w:r>
      <w:r>
        <w:t xml:space="preserve"> a la Secretaría que, con sujeción a la disponibilidad de recursos:</w:t>
      </w:r>
    </w:p>
    <w:p w14:paraId="4A102424" w14:textId="440F0337" w:rsidR="00CB21D0" w:rsidRPr="003E50EB" w:rsidRDefault="00CB21D0" w:rsidP="00417CEB">
      <w:pPr>
        <w:pStyle w:val="CBDDesicionText"/>
      </w:pPr>
      <w:r>
        <w:t>a)</w:t>
      </w:r>
      <w:r>
        <w:tab/>
        <w:t>Prepare una síntesis de la información presentada en respuesta al párrafo 5 anterior para consideración de la 12ª reunión de la Conferencia de las Partes que actúa como reunión de las Partes en el Protocolo de Cartagena sobre Seguridad de la Biotecnología;</w:t>
      </w:r>
    </w:p>
    <w:p w14:paraId="68474727" w14:textId="2CE3777A" w:rsidR="00CB21D0" w:rsidRPr="003E50EB" w:rsidRDefault="00CB21D0" w:rsidP="00417CEB">
      <w:pPr>
        <w:pStyle w:val="CBDDesicionText"/>
      </w:pPr>
      <w:r>
        <w:t>b)</w:t>
      </w:r>
      <w:r>
        <w:tab/>
        <w:t>Convoque d</w:t>
      </w:r>
      <w:r w:rsidR="004A60B2">
        <w:t>iscusion</w:t>
      </w:r>
      <w:r>
        <w:t>es en línea del Foro en Línea de Composición Abierta sobre Evaluación del Riesgo y Gestión del Riesgo;</w:t>
      </w:r>
    </w:p>
    <w:p w14:paraId="11819E5A" w14:textId="0EFB20BC" w:rsidR="00CB21D0" w:rsidRPr="003E50EB" w:rsidRDefault="00CB21D0" w:rsidP="00417CEB">
      <w:pPr>
        <w:pStyle w:val="CBDDesicionText"/>
      </w:pPr>
      <w:r>
        <w:lastRenderedPageBreak/>
        <w:t>c)</w:t>
      </w:r>
      <w:r>
        <w:tab/>
        <w:t>Prepare una síntesis de la información presentada en respuesta a los párrafos 8 y 9 anteriores para apoyar la labor del Grupo Especial de Expertos Técnicos sobre Evaluación del Riesgo;</w:t>
      </w:r>
    </w:p>
    <w:p w14:paraId="34A4ADD9" w14:textId="47976118" w:rsidR="00CB21D0" w:rsidRPr="003E50EB" w:rsidRDefault="00CB21D0" w:rsidP="00417CEB">
      <w:pPr>
        <w:pStyle w:val="CBDDesicionText"/>
      </w:pPr>
      <w:r>
        <w:t>d)</w:t>
      </w:r>
      <w:r>
        <w:tab/>
        <w:t>Convoque por lo menos una reunión presencial del Grupo Especial de Expertos Técnicos sobre Evaluación del Riesgo con anterioridad la 12ª reunión de la Conferencia de las Partes que actúa como reunión de las Partes en el Protocolo de Cartagena;</w:t>
      </w:r>
    </w:p>
    <w:p w14:paraId="2CAE3ECA" w14:textId="77777777" w:rsidR="00CB21D0" w:rsidRPr="003E50EB" w:rsidRDefault="00CB21D0" w:rsidP="00417CEB">
      <w:pPr>
        <w:pStyle w:val="CBDDesicionText"/>
        <w:rPr>
          <w:i/>
          <w:iCs/>
        </w:rPr>
      </w:pPr>
      <w:r>
        <w:t>e)</w:t>
      </w:r>
      <w:r>
        <w:tab/>
        <w:t>Organice actividades de creación y desarrollo de capacidad en apoyo a la evaluación del riesgo, centrándose en particular en la evaluación del riesgo de organismos vivos modificados que contengan impulsores genéticos modificados.</w:t>
      </w:r>
    </w:p>
    <w:p w14:paraId="5B2D8A88" w14:textId="20DDC38E" w:rsidR="00CB21D0" w:rsidRPr="003E50EB" w:rsidRDefault="00CB21D0" w:rsidP="001E6528">
      <w:pPr>
        <w:pStyle w:val="CBDDesicionAnnex"/>
        <w:rPr>
          <w:rFonts w:hint="eastAsia"/>
        </w:rPr>
      </w:pPr>
      <w:r>
        <w:rPr>
          <w:b/>
        </w:rPr>
        <w:t>Anexo</w:t>
      </w:r>
      <w:r>
        <w:rPr>
          <w:b/>
        </w:rPr>
        <w:br/>
      </w:r>
      <w:r>
        <w:t xml:space="preserve">Mandato </w:t>
      </w:r>
      <w:r w:rsidR="00BD5D79">
        <w:t>d</w:t>
      </w:r>
      <w:r>
        <w:t>el Grupo Especial de Expertos Técnicos sobre Evaluación del Riesgo</w:t>
      </w:r>
    </w:p>
    <w:p w14:paraId="7D287538" w14:textId="77777777" w:rsidR="00CB21D0" w:rsidRPr="003E50EB" w:rsidRDefault="00CB21D0" w:rsidP="001E6528">
      <w:pPr>
        <w:pStyle w:val="CBDNormalNoNumber"/>
      </w:pPr>
      <w:r>
        <w:t>1.</w:t>
      </w:r>
      <w:r>
        <w:tab/>
        <w:t>El Grupo Especial de Expertos Técnicos sobre Evaluación del Riesgo:</w:t>
      </w:r>
    </w:p>
    <w:p w14:paraId="1425E22D" w14:textId="52E56A46" w:rsidR="00CB21D0" w:rsidRPr="003E50EB" w:rsidRDefault="00CB21D0" w:rsidP="001E6528">
      <w:pPr>
        <w:pStyle w:val="CBDNormalNoNumber"/>
        <w:ind w:firstLine="567"/>
      </w:pPr>
      <w:r>
        <w:t>a)</w:t>
      </w:r>
      <w:r>
        <w:tab/>
        <w:t xml:space="preserve">Estará conformado por expertos, seleccionados con arreglo a la sección H del </w:t>
      </w:r>
      <w:r>
        <w:rPr>
          <w:i/>
          <w:iCs/>
        </w:rPr>
        <w:t>modus operandi</w:t>
      </w:r>
      <w:r>
        <w:t xml:space="preserve"> refundido del Órgano Subsidiario de Asesoramiento Científico, Técnico y Tecnológico</w:t>
      </w:r>
      <w:r w:rsidRPr="003E50EB">
        <w:rPr>
          <w:rStyle w:val="FootnoteReference"/>
        </w:rPr>
        <w:footnoteReference w:id="9"/>
      </w:r>
      <w:r>
        <w:t xml:space="preserve">, </w:t>
      </w:r>
      <w:r w:rsidR="00802FA1">
        <w:t>que poseen</w:t>
      </w:r>
      <w:r>
        <w:t xml:space="preserve"> conocimientos científicos y técnicos específicos pertinentes para el mandato del Grupo de Expertos, e incluirá expertos </w:t>
      </w:r>
      <w:r w:rsidR="00802FA1">
        <w:t xml:space="preserve">procedentes </w:t>
      </w:r>
      <w:r>
        <w:t>de la academia, organizaciones internacionales pertinentes y pueblos indígenas y comunidades locales, conforme a la decisión</w:t>
      </w:r>
      <w:r w:rsidR="009A4226">
        <w:t> </w:t>
      </w:r>
      <w:hyperlink r:id="rId20" w:history="1">
        <w:r w:rsidRPr="00E20B66">
          <w:rPr>
            <w:rStyle w:val="Hyperlink"/>
            <w:color w:val="0070C0"/>
          </w:rPr>
          <w:t>14/33</w:t>
        </w:r>
      </w:hyperlink>
      <w:r>
        <w:t>, de 29 de noviembre de 2018, sobre el procedimiento para evitar o tratar conflictos de intereses en los grupos de expertos;</w:t>
      </w:r>
    </w:p>
    <w:p w14:paraId="0C62A381" w14:textId="77777777" w:rsidR="00CB21D0" w:rsidRPr="003E50EB" w:rsidRDefault="00CB21D0" w:rsidP="001E6528">
      <w:pPr>
        <w:pStyle w:val="CBDNormalNoNumber"/>
        <w:ind w:firstLine="567"/>
      </w:pPr>
      <w:r>
        <w:t>b)</w:t>
      </w:r>
      <w:r>
        <w:tab/>
        <w:t>Celebrará, con sujeción a la disponibilidad de fondos, al menos una reunión presencial con anterioridad a la 12ª reunión de la Conferencia de las Partes que actúa como reunión de las Partes en el Protocolo de Cartagena sobre Seguridad de la Biotecnología</w:t>
      </w:r>
      <w:r w:rsidRPr="003E50EB">
        <w:rPr>
          <w:rStyle w:val="FootnoteReference"/>
        </w:rPr>
        <w:footnoteReference w:id="10"/>
      </w:r>
      <w:r>
        <w:t>;</w:t>
      </w:r>
    </w:p>
    <w:p w14:paraId="3F274675" w14:textId="38C1FBCF" w:rsidR="00CB21D0" w:rsidRPr="003E50EB" w:rsidRDefault="00CB21D0" w:rsidP="001E6528">
      <w:pPr>
        <w:pStyle w:val="CBDNormalNoNumber"/>
        <w:ind w:firstLine="567"/>
      </w:pPr>
      <w:r>
        <w:t>c)</w:t>
      </w:r>
      <w:r>
        <w:tab/>
        <w:t>Analizará la información presentada por las Partes en respuesta al párrafo 8 de la presente decisión y las discusiones del Foro en Línea de Composición Abierta sobre Evaluación del Riesgo y Gestión del Riesgo, y</w:t>
      </w:r>
      <w:r w:rsidR="00460007">
        <w:t xml:space="preserve"> a partir de ese análisis</w:t>
      </w:r>
      <w:r>
        <w:t xml:space="preserve"> preparará una lista de temas priorizados, si los hubiera, para los que se podría necesitar más materiales de orientación sobre evaluación del riesgo conforme </w:t>
      </w:r>
      <w:r w:rsidR="00802FA1">
        <w:t xml:space="preserve">a </w:t>
      </w:r>
      <w:r>
        <w:t xml:space="preserve">los criterios establecidos en el anexo I de la decisión </w:t>
      </w:r>
      <w:hyperlink r:id="rId21" w:history="1">
        <w:r w:rsidRPr="00E20B66">
          <w:rPr>
            <w:rStyle w:val="Hyperlink"/>
            <w:color w:val="0070C0"/>
          </w:rPr>
          <w:t>CP-9/13</w:t>
        </w:r>
      </w:hyperlink>
      <w:r>
        <w:t>;</w:t>
      </w:r>
    </w:p>
    <w:p w14:paraId="60C6D1FD" w14:textId="225F2050" w:rsidR="00CB21D0" w:rsidRPr="003E50EB" w:rsidRDefault="00CB21D0" w:rsidP="001E6528">
      <w:pPr>
        <w:pStyle w:val="CBDNormalNoNumber"/>
        <w:ind w:firstLine="567"/>
      </w:pPr>
      <w:r>
        <w:t>d)</w:t>
      </w:r>
      <w:r>
        <w:tab/>
        <w:t>Preparará un informe para que sea considerado por el Órgano Subsidiario de Asesoramiento Científico, Técnico y Tecnológico, con miras a que el Órgano Subsidiario formul</w:t>
      </w:r>
      <w:r w:rsidR="00802FA1">
        <w:t>e</w:t>
      </w:r>
      <w:r>
        <w:t xml:space="preserve"> una recomendación para consideración de la Conferencia de las Partes que actúa como reunión de las Partes en el Protocolo de Cartagena en su 12ª reunión.</w:t>
      </w:r>
    </w:p>
    <w:p w14:paraId="4672CECC" w14:textId="77777777" w:rsidR="00CB21D0" w:rsidRPr="003E50EB" w:rsidRDefault="00CB21D0" w:rsidP="001E6528">
      <w:pPr>
        <w:pStyle w:val="CBDNormalNoNumber"/>
      </w:pPr>
      <w:r>
        <w:t>2.</w:t>
      </w:r>
      <w:r>
        <w:tab/>
        <w:t>En el desempeño de su labor, el Grupo Especial de Expertos Técnicos sobre Evaluación del Riesgo considerará la síntesis de opiniones preparada por la Secretaría a partir de la información presentada y de las discusiones del Foro en Línea de Composición Abierta sobre Evaluación del Riesgo y Gestión del Riesgo.</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3E50EB" w14:paraId="4881EEEF" w14:textId="77777777" w:rsidTr="00826B18">
        <w:trPr>
          <w:trHeight w:val="567"/>
        </w:trPr>
        <w:tc>
          <w:tcPr>
            <w:tcW w:w="1337" w:type="dxa"/>
          </w:tcPr>
          <w:p w14:paraId="4BE2766F" w14:textId="77777777" w:rsidR="00826B18" w:rsidRPr="003E50EB" w:rsidRDefault="00826B18" w:rsidP="00826B18">
            <w:pPr>
              <w:pStyle w:val="CBDNormal"/>
            </w:pPr>
          </w:p>
        </w:tc>
        <w:tc>
          <w:tcPr>
            <w:tcW w:w="1337" w:type="dxa"/>
          </w:tcPr>
          <w:p w14:paraId="49E65691" w14:textId="77777777" w:rsidR="00826B18" w:rsidRPr="003E50EB" w:rsidRDefault="00826B18" w:rsidP="00826B18">
            <w:pPr>
              <w:pStyle w:val="CBDNormal"/>
            </w:pPr>
          </w:p>
        </w:tc>
        <w:tc>
          <w:tcPr>
            <w:tcW w:w="1337" w:type="dxa"/>
          </w:tcPr>
          <w:p w14:paraId="2493D524" w14:textId="77777777" w:rsidR="00826B18" w:rsidRPr="003E50EB" w:rsidRDefault="00826B18" w:rsidP="00826B18">
            <w:pPr>
              <w:pStyle w:val="CBDNormal"/>
            </w:pPr>
          </w:p>
        </w:tc>
        <w:tc>
          <w:tcPr>
            <w:tcW w:w="1337" w:type="dxa"/>
            <w:tcBorders>
              <w:bottom w:val="single" w:sz="4" w:space="0" w:color="auto"/>
            </w:tcBorders>
            <w:shd w:val="clear" w:color="auto" w:fill="auto"/>
          </w:tcPr>
          <w:p w14:paraId="56647F19" w14:textId="77777777" w:rsidR="00826B18" w:rsidRPr="003E50EB" w:rsidRDefault="00826B18" w:rsidP="00826B18">
            <w:pPr>
              <w:pStyle w:val="CBDNormal"/>
            </w:pPr>
          </w:p>
        </w:tc>
        <w:tc>
          <w:tcPr>
            <w:tcW w:w="1337" w:type="dxa"/>
          </w:tcPr>
          <w:p w14:paraId="686CC4AF" w14:textId="77777777" w:rsidR="00826B18" w:rsidRPr="003E50EB" w:rsidRDefault="00826B18" w:rsidP="00826B18">
            <w:pPr>
              <w:pStyle w:val="CBDNormal"/>
            </w:pPr>
          </w:p>
        </w:tc>
        <w:tc>
          <w:tcPr>
            <w:tcW w:w="1337" w:type="dxa"/>
          </w:tcPr>
          <w:p w14:paraId="2FC26F47" w14:textId="77777777" w:rsidR="00826B18" w:rsidRPr="003E50EB" w:rsidRDefault="00826B18" w:rsidP="00826B18">
            <w:pPr>
              <w:pStyle w:val="CBDNormal"/>
            </w:pPr>
          </w:p>
        </w:tc>
        <w:tc>
          <w:tcPr>
            <w:tcW w:w="1338" w:type="dxa"/>
          </w:tcPr>
          <w:p w14:paraId="5133BA61" w14:textId="77777777" w:rsidR="00826B18" w:rsidRPr="003E50EB" w:rsidRDefault="00826B18" w:rsidP="00826B18">
            <w:pPr>
              <w:pStyle w:val="CBDNormal"/>
            </w:pPr>
          </w:p>
        </w:tc>
      </w:tr>
    </w:tbl>
    <w:p w14:paraId="610563D5" w14:textId="44F4DE6B" w:rsidR="00826B18" w:rsidRPr="003E50EB" w:rsidRDefault="00826B18" w:rsidP="00826B18">
      <w:pPr>
        <w:pStyle w:val="CBDNormal"/>
      </w:pPr>
    </w:p>
    <w:sectPr w:rsidR="00826B18" w:rsidRPr="003E50EB" w:rsidSect="007742A8">
      <w:headerReference w:type="even" r:id="rId22"/>
      <w:headerReference w:type="default" r:id="rId23"/>
      <w:footerReference w:type="even" r:id="rId24"/>
      <w:footerReference w:type="defaul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953C9" w14:textId="77777777" w:rsidR="00A7465C" w:rsidRPr="003E50EB" w:rsidRDefault="00A7465C" w:rsidP="00826B18">
      <w:r w:rsidRPr="003E50EB">
        <w:separator/>
      </w:r>
    </w:p>
  </w:endnote>
  <w:endnote w:type="continuationSeparator" w:id="0">
    <w:p w14:paraId="0C7E49DD" w14:textId="77777777" w:rsidR="00A7465C" w:rsidRPr="003E50EB" w:rsidRDefault="00A7465C" w:rsidP="00826B18">
      <w:r w:rsidRPr="003E5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1BABD3F5" w:rsidR="00826B18" w:rsidRPr="003E50EB" w:rsidRDefault="00826B18" w:rsidP="007742A8">
    <w:pPr>
      <w:pStyle w:val="Footer"/>
    </w:pPr>
    <w:r w:rsidRPr="003E50EB">
      <w:fldChar w:fldCharType="begin"/>
    </w:r>
    <w:r w:rsidRPr="003E50EB">
      <w:instrText xml:space="preserve"> PAGE </w:instrText>
    </w:r>
    <w:r w:rsidRPr="003E50EB">
      <w:fldChar w:fldCharType="separate"/>
    </w:r>
    <w:r w:rsidR="009A4226">
      <w:rPr>
        <w:noProof/>
      </w:rPr>
      <w:t>2</w:t>
    </w:r>
    <w:r w:rsidRPr="003E50EB">
      <w:fldChar w:fldCharType="end"/>
    </w:r>
    <w:r>
      <w:t>/</w:t>
    </w:r>
    <w:fldSimple w:instr=" NUMPAGES \* MERGEFORMAT ">
      <w:r w:rsidR="009A422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2AD8A9FD" w:rsidR="00826B18" w:rsidRPr="003E50EB" w:rsidRDefault="00826B18" w:rsidP="007742A8">
    <w:pPr>
      <w:pStyle w:val="CBDFooter"/>
      <w:jc w:val="right"/>
    </w:pPr>
    <w:r w:rsidRPr="003E50EB">
      <w:fldChar w:fldCharType="begin"/>
    </w:r>
    <w:r w:rsidRPr="003E50EB">
      <w:instrText xml:space="preserve"> PAGE \* MERGEFORMAT </w:instrText>
    </w:r>
    <w:r w:rsidRPr="003E50EB">
      <w:fldChar w:fldCharType="separate"/>
    </w:r>
    <w:r w:rsidR="009A4226">
      <w:rPr>
        <w:noProof/>
      </w:rPr>
      <w:t>3</w:t>
    </w:r>
    <w:r w:rsidRPr="003E50EB">
      <w:fldChar w:fldCharType="end"/>
    </w:r>
    <w:r>
      <w:t>/</w:t>
    </w:r>
    <w:fldSimple w:instr=" NUMPAGES \* MERGEFORMAT ">
      <w:r w:rsidR="009A422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D63B" w14:textId="77777777" w:rsidR="00A7465C" w:rsidRPr="003E50EB" w:rsidRDefault="00A7465C" w:rsidP="00417CEB">
      <w:pPr>
        <w:pStyle w:val="CBDNormal"/>
      </w:pPr>
      <w:r>
        <w:separator/>
      </w:r>
    </w:p>
  </w:footnote>
  <w:footnote w:type="continuationSeparator" w:id="0">
    <w:p w14:paraId="20785755" w14:textId="77777777" w:rsidR="00A7465C" w:rsidRPr="003E50EB" w:rsidRDefault="00A7465C" w:rsidP="00417CEB">
      <w:pPr>
        <w:pStyle w:val="CBDNormal"/>
      </w:pPr>
      <w:r w:rsidRPr="003E50EB">
        <w:continuationSeparator/>
      </w:r>
    </w:p>
  </w:footnote>
  <w:footnote w:type="continuationNotice" w:id="1">
    <w:p w14:paraId="7BDD1AA3" w14:textId="77777777" w:rsidR="00A7465C" w:rsidRDefault="00A7465C" w:rsidP="00417CEB">
      <w:pPr>
        <w:pStyle w:val="CBDNormal"/>
      </w:pPr>
    </w:p>
  </w:footnote>
  <w:footnote w:id="2">
    <w:p w14:paraId="3D743390" w14:textId="1C758BAD" w:rsidR="00CB21D0" w:rsidRPr="003E50EB" w:rsidRDefault="004A1558" w:rsidP="00417CEB">
      <w:pPr>
        <w:pStyle w:val="CBDFootnoteText"/>
      </w:pPr>
      <w:r>
        <w:rPr>
          <w:rStyle w:val="FootnoteReference"/>
          <w:szCs w:val="18"/>
        </w:rPr>
        <w:footnoteRef/>
      </w:r>
      <w:r>
        <w:t xml:space="preserve"> Naciones Unidas, </w:t>
      </w:r>
      <w:r>
        <w:rPr>
          <w:i/>
        </w:rPr>
        <w:t>Treaty Series</w:t>
      </w:r>
      <w:r>
        <w:t>,</w:t>
      </w:r>
      <w:r>
        <w:rPr>
          <w:i/>
        </w:rPr>
        <w:t xml:space="preserve"> </w:t>
      </w:r>
      <w:r>
        <w:t>vol. 2226, núm. 30619.</w:t>
      </w:r>
    </w:p>
  </w:footnote>
  <w:footnote w:id="3">
    <w:p w14:paraId="2DEAF1C8" w14:textId="3B65E607" w:rsidR="00CB21D0" w:rsidRPr="003E50EB" w:rsidRDefault="004A1558" w:rsidP="00417CEB">
      <w:pPr>
        <w:pStyle w:val="CBDFootnoteText"/>
      </w:pPr>
      <w:r>
        <w:rPr>
          <w:rStyle w:val="FootnoteReference"/>
          <w:szCs w:val="18"/>
        </w:rPr>
        <w:footnoteRef/>
      </w:r>
      <w:r>
        <w:t xml:space="preserve"> </w:t>
      </w:r>
      <w:r w:rsidRPr="00802FA1">
        <w:rPr>
          <w:i/>
        </w:rPr>
        <w:t>Ibid</w:t>
      </w:r>
      <w:r>
        <w:t>., vol. 1760, núm. 30619.</w:t>
      </w:r>
    </w:p>
  </w:footnote>
  <w:footnote w:id="4">
    <w:p w14:paraId="294A50A9" w14:textId="4F366B17" w:rsidR="00CB21D0" w:rsidRPr="003E50EB" w:rsidRDefault="004A1558" w:rsidP="00417CEB">
      <w:pPr>
        <w:pStyle w:val="CBDFootnoteText"/>
      </w:pPr>
      <w:r>
        <w:rPr>
          <w:rStyle w:val="FootnoteReference"/>
          <w:szCs w:val="18"/>
        </w:rPr>
        <w:footnoteRef/>
      </w:r>
      <w:r>
        <w:t xml:space="preserve"> Véase el documento CBD/SYNBIO/AHTEG/2024/1/3.</w:t>
      </w:r>
    </w:p>
  </w:footnote>
  <w:footnote w:id="5">
    <w:p w14:paraId="2305366B" w14:textId="75B7354F" w:rsidR="00CB21D0" w:rsidRPr="003E50EB" w:rsidRDefault="004A1558" w:rsidP="00417CEB">
      <w:pPr>
        <w:pStyle w:val="CBDFootnoteText"/>
      </w:pPr>
      <w:r>
        <w:rPr>
          <w:rStyle w:val="FootnoteReference"/>
          <w:szCs w:val="18"/>
        </w:rPr>
        <w:footnoteRef/>
      </w:r>
      <w:r>
        <w:t xml:space="preserve"> Véase el documento CBD/CP/RA/AHTEG/2024/1/3.</w:t>
      </w:r>
    </w:p>
  </w:footnote>
  <w:footnote w:id="6">
    <w:p w14:paraId="1A05643D" w14:textId="1084FD61" w:rsidR="00CB21D0" w:rsidRPr="003E50EB" w:rsidRDefault="004A1558" w:rsidP="00417CEB">
      <w:pPr>
        <w:pStyle w:val="CBDFootnoteText"/>
      </w:pPr>
      <w:r>
        <w:rPr>
          <w:rStyle w:val="FootnoteReference"/>
          <w:szCs w:val="18"/>
        </w:rPr>
        <w:footnoteRef/>
      </w:r>
      <w:r>
        <w:t xml:space="preserve"> Véanse los documentos CBD/CP/RA/AHTEG/2023/1/4 y CBD/CP/RA/AHTEG/2024/1/3.</w:t>
      </w:r>
    </w:p>
  </w:footnote>
  <w:footnote w:id="7">
    <w:p w14:paraId="5BE348EE" w14:textId="58F93872" w:rsidR="00CB21D0" w:rsidRPr="003E50EB" w:rsidRDefault="004A1558" w:rsidP="00417CEB">
      <w:pPr>
        <w:pStyle w:val="CBDFootnoteText"/>
      </w:pPr>
      <w:r>
        <w:rPr>
          <w:rStyle w:val="FootnoteReference"/>
          <w:szCs w:val="18"/>
        </w:rPr>
        <w:footnoteRef/>
      </w:r>
      <w:r>
        <w:t xml:space="preserve"> CBD/CP/MOP/11/9.</w:t>
      </w:r>
    </w:p>
  </w:footnote>
  <w:footnote w:id="8">
    <w:p w14:paraId="3971CB52" w14:textId="6BF74ED2" w:rsidR="00CB21D0" w:rsidRPr="003E50EB" w:rsidRDefault="004A1558" w:rsidP="00417CEB">
      <w:pPr>
        <w:pStyle w:val="CBDFootnoteText"/>
      </w:pPr>
      <w:r>
        <w:rPr>
          <w:rStyle w:val="FootnoteReference"/>
          <w:szCs w:val="18"/>
        </w:rPr>
        <w:footnoteRef/>
      </w:r>
      <w:r>
        <w:t xml:space="preserve"> </w:t>
      </w:r>
      <w:r w:rsidRPr="00802FA1">
        <w:rPr>
          <w:i/>
        </w:rPr>
        <w:t>Ibid</w:t>
      </w:r>
      <w:r>
        <w:t>., sección 7.</w:t>
      </w:r>
    </w:p>
  </w:footnote>
  <w:footnote w:id="9">
    <w:p w14:paraId="5D91E21A" w14:textId="0997AD3A" w:rsidR="00CB21D0" w:rsidRPr="003E50EB" w:rsidRDefault="004A1558" w:rsidP="00417CEB">
      <w:pPr>
        <w:pStyle w:val="CBDFootnoteText"/>
      </w:pPr>
      <w:r>
        <w:rPr>
          <w:rStyle w:val="FootnoteReference"/>
          <w:szCs w:val="18"/>
        </w:rPr>
        <w:footnoteRef/>
      </w:r>
      <w:r>
        <w:t xml:space="preserve"> Decisión VIII/10, anexo III.</w:t>
      </w:r>
    </w:p>
  </w:footnote>
  <w:footnote w:id="10">
    <w:p w14:paraId="409BED11" w14:textId="1ADD42F2" w:rsidR="00CB21D0" w:rsidRPr="003E50EB" w:rsidRDefault="004A1558" w:rsidP="00417CEB">
      <w:pPr>
        <w:pStyle w:val="CBDFootnoteText"/>
      </w:pPr>
      <w:r>
        <w:rPr>
          <w:rStyle w:val="FootnoteReference"/>
          <w:szCs w:val="18"/>
        </w:rPr>
        <w:footnoteRef/>
      </w:r>
      <w:r>
        <w:t xml:space="preserve"> Naciones Unidas, </w:t>
      </w:r>
      <w:r>
        <w:rPr>
          <w:i/>
        </w:rPr>
        <w:t>Treaty Series</w:t>
      </w:r>
      <w:r>
        <w:t>,</w:t>
      </w:r>
      <w:r>
        <w:rPr>
          <w:i/>
        </w:rPr>
        <w:t xml:space="preserve"> </w:t>
      </w:r>
      <w:r>
        <w:t>vol. 2226,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15E5CC34" w:rsidR="00826B18" w:rsidRPr="003E50EB" w:rsidRDefault="00BA2E06" w:rsidP="007742A8">
    <w:pPr>
      <w:pStyle w:val="CBDHeader"/>
    </w:pPr>
    <w:fldSimple w:instr=" StyleRef AB_Symbol ">
      <w:r w:rsidR="009A4226">
        <w:rPr>
          <w:noProof/>
        </w:rPr>
        <w:t>CBD/CP/MOP/DEC/11/7</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52ACADCC" w:rsidR="00826B18" w:rsidRPr="003E50EB" w:rsidRDefault="00BA2E06" w:rsidP="007742A8">
    <w:pPr>
      <w:pStyle w:val="CBDHeader"/>
      <w:jc w:val="right"/>
    </w:pPr>
    <w:fldSimple w:instr=" StyleRef AB_Symbol ">
      <w:r w:rsidR="009A4226">
        <w:rPr>
          <w:noProof/>
        </w:rPr>
        <w:t>CBD/CP/MOP/DEC/11/7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24678"/>
    <w:rsid w:val="00047407"/>
    <w:rsid w:val="00067985"/>
    <w:rsid w:val="000B7A78"/>
    <w:rsid w:val="000C3512"/>
    <w:rsid w:val="001353D7"/>
    <w:rsid w:val="001E6528"/>
    <w:rsid w:val="00247898"/>
    <w:rsid w:val="00277178"/>
    <w:rsid w:val="002839D9"/>
    <w:rsid w:val="00293C00"/>
    <w:rsid w:val="0029476B"/>
    <w:rsid w:val="002B3B40"/>
    <w:rsid w:val="002D5795"/>
    <w:rsid w:val="002F07DB"/>
    <w:rsid w:val="00306DA5"/>
    <w:rsid w:val="00353346"/>
    <w:rsid w:val="00393349"/>
    <w:rsid w:val="003A4864"/>
    <w:rsid w:val="003C0914"/>
    <w:rsid w:val="003D05ED"/>
    <w:rsid w:val="003E50EB"/>
    <w:rsid w:val="00406C7A"/>
    <w:rsid w:val="00417CEB"/>
    <w:rsid w:val="00456137"/>
    <w:rsid w:val="00460007"/>
    <w:rsid w:val="004628D2"/>
    <w:rsid w:val="0047009A"/>
    <w:rsid w:val="004A1558"/>
    <w:rsid w:val="004A5143"/>
    <w:rsid w:val="004A60B2"/>
    <w:rsid w:val="004D5715"/>
    <w:rsid w:val="00533D42"/>
    <w:rsid w:val="00550390"/>
    <w:rsid w:val="00555B69"/>
    <w:rsid w:val="005651F9"/>
    <w:rsid w:val="005A2859"/>
    <w:rsid w:val="005B19C3"/>
    <w:rsid w:val="005C466C"/>
    <w:rsid w:val="005E56DE"/>
    <w:rsid w:val="006207B4"/>
    <w:rsid w:val="00676A67"/>
    <w:rsid w:val="006C2EE6"/>
    <w:rsid w:val="006D4A3B"/>
    <w:rsid w:val="006E265C"/>
    <w:rsid w:val="006F738B"/>
    <w:rsid w:val="00771329"/>
    <w:rsid w:val="007742A8"/>
    <w:rsid w:val="00802FA1"/>
    <w:rsid w:val="00817459"/>
    <w:rsid w:val="00826B18"/>
    <w:rsid w:val="00871D9F"/>
    <w:rsid w:val="008A1A13"/>
    <w:rsid w:val="008C2444"/>
    <w:rsid w:val="008E6FA1"/>
    <w:rsid w:val="008F6BD9"/>
    <w:rsid w:val="009009BD"/>
    <w:rsid w:val="009143CB"/>
    <w:rsid w:val="00931DB0"/>
    <w:rsid w:val="009443D7"/>
    <w:rsid w:val="00945F92"/>
    <w:rsid w:val="0095710A"/>
    <w:rsid w:val="00991490"/>
    <w:rsid w:val="009A4226"/>
    <w:rsid w:val="009B0923"/>
    <w:rsid w:val="009D643E"/>
    <w:rsid w:val="00A050C5"/>
    <w:rsid w:val="00A302AD"/>
    <w:rsid w:val="00A7465C"/>
    <w:rsid w:val="00B32322"/>
    <w:rsid w:val="00B67E2C"/>
    <w:rsid w:val="00B76CB0"/>
    <w:rsid w:val="00BA2E06"/>
    <w:rsid w:val="00BB7218"/>
    <w:rsid w:val="00BC3C04"/>
    <w:rsid w:val="00BD5D79"/>
    <w:rsid w:val="00BF487B"/>
    <w:rsid w:val="00C237FD"/>
    <w:rsid w:val="00C25245"/>
    <w:rsid w:val="00C25810"/>
    <w:rsid w:val="00C43384"/>
    <w:rsid w:val="00C75EDE"/>
    <w:rsid w:val="00C86565"/>
    <w:rsid w:val="00CA59AB"/>
    <w:rsid w:val="00CB21D0"/>
    <w:rsid w:val="00CB6634"/>
    <w:rsid w:val="00CC042A"/>
    <w:rsid w:val="00CD38C0"/>
    <w:rsid w:val="00D17411"/>
    <w:rsid w:val="00D26636"/>
    <w:rsid w:val="00D52EBD"/>
    <w:rsid w:val="00D85D24"/>
    <w:rsid w:val="00D9789B"/>
    <w:rsid w:val="00DD197A"/>
    <w:rsid w:val="00DE3EAC"/>
    <w:rsid w:val="00E20B66"/>
    <w:rsid w:val="00E23B1A"/>
    <w:rsid w:val="00E7517B"/>
    <w:rsid w:val="00E8218C"/>
    <w:rsid w:val="00EA2E3B"/>
    <w:rsid w:val="00F11076"/>
    <w:rsid w:val="00F7048E"/>
    <w:rsid w:val="00FD57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EB"/>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3E50E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E50E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E50E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E50E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E50E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3E50EB"/>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E50EB"/>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E50EB"/>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E50EB"/>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EB"/>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3E50EB"/>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3E50EB"/>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3E50EB"/>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3E50EB"/>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3E50EB"/>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3E50EB"/>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3E50EB"/>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3E50EB"/>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3E50EB"/>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3E50EB"/>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3E50EB"/>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E50EB"/>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E50EB"/>
    <w:rPr>
      <w:vertAlign w:val="superscript"/>
      <w:lang w:val="es-ES"/>
    </w:rPr>
  </w:style>
  <w:style w:type="paragraph" w:customStyle="1" w:styleId="Footnote">
    <w:name w:val="Footnote"/>
    <w:basedOn w:val="FootnoteText"/>
    <w:semiHidden/>
    <w:qFormat/>
    <w:rsid w:val="003E50EB"/>
    <w:rPr>
      <w:szCs w:val="18"/>
    </w:rPr>
  </w:style>
  <w:style w:type="paragraph" w:styleId="Header">
    <w:name w:val="header"/>
    <w:basedOn w:val="Normal"/>
    <w:link w:val="HeaderChar"/>
    <w:semiHidden/>
    <w:rsid w:val="003E50E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E50EB"/>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3E50EB"/>
    <w:pPr>
      <w:tabs>
        <w:tab w:val="center" w:pos="4680"/>
        <w:tab w:val="right" w:pos="9360"/>
      </w:tabs>
    </w:pPr>
    <w:rPr>
      <w:sz w:val="20"/>
    </w:rPr>
  </w:style>
  <w:style w:type="character" w:customStyle="1" w:styleId="FooterChar">
    <w:name w:val="Footer Char"/>
    <w:basedOn w:val="DefaultParagraphFont"/>
    <w:link w:val="Footer"/>
    <w:uiPriority w:val="99"/>
    <w:semiHidden/>
    <w:rsid w:val="003E50EB"/>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3E50EB"/>
    <w:pPr>
      <w:spacing w:after="240"/>
    </w:pPr>
    <w:rPr>
      <w:b/>
      <w:sz w:val="28"/>
    </w:rPr>
  </w:style>
  <w:style w:type="paragraph" w:customStyle="1" w:styleId="ABSymbol">
    <w:name w:val="AB_Symbol"/>
    <w:basedOn w:val="Normal"/>
    <w:qFormat/>
    <w:rsid w:val="003E50E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E50EB"/>
    <w:pPr>
      <w:numPr>
        <w:numId w:val="4"/>
      </w:numPr>
      <w:tabs>
        <w:tab w:val="left" w:pos="3969"/>
      </w:tabs>
      <w:spacing w:before="120" w:after="120"/>
    </w:pPr>
  </w:style>
  <w:style w:type="paragraph" w:customStyle="1" w:styleId="AFCorNNormal">
    <w:name w:val="AF_CorNNormal"/>
    <w:basedOn w:val="Normal"/>
    <w:unhideWhenUsed/>
    <w:rsid w:val="003E50EB"/>
    <w:pPr>
      <w:jc w:val="left"/>
    </w:pPr>
  </w:style>
  <w:style w:type="paragraph" w:customStyle="1" w:styleId="AEDistrNormal">
    <w:name w:val="AE_DistrNormal"/>
    <w:basedOn w:val="Normal"/>
    <w:unhideWhenUsed/>
    <w:rsid w:val="003E50EB"/>
    <w:pPr>
      <w:jc w:val="left"/>
    </w:pPr>
  </w:style>
  <w:style w:type="paragraph" w:customStyle="1" w:styleId="AASmallLogo">
    <w:name w:val="AA_SmallLogo"/>
    <w:basedOn w:val="AEDistrNormal"/>
    <w:unhideWhenUsed/>
    <w:rsid w:val="003E50EB"/>
    <w:pPr>
      <w:spacing w:before="40"/>
    </w:pPr>
    <w:rPr>
      <w:sz w:val="4"/>
    </w:rPr>
  </w:style>
  <w:style w:type="paragraph" w:customStyle="1" w:styleId="ACLargeLogo">
    <w:name w:val="AC_LargeLogo"/>
    <w:basedOn w:val="AFCorNNormal"/>
    <w:next w:val="AISpacer"/>
    <w:unhideWhenUsed/>
    <w:rsid w:val="003E50EB"/>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E50E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E50EB"/>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3E50E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E50EB"/>
    <w:rPr>
      <w:rFonts w:eastAsiaTheme="minorHAnsi"/>
      <w:sz w:val="22"/>
      <w:szCs w:val="22"/>
      <w:lang w:val="es-ES" w:eastAsia="en-US"/>
    </w:rPr>
  </w:style>
  <w:style w:type="character" w:styleId="CommentReference">
    <w:name w:val="annotation reference"/>
    <w:basedOn w:val="DefaultParagraphFont"/>
    <w:uiPriority w:val="99"/>
    <w:semiHidden/>
    <w:unhideWhenUsed/>
    <w:rsid w:val="003E50EB"/>
    <w:rPr>
      <w:sz w:val="16"/>
      <w:szCs w:val="16"/>
      <w:lang w:val="es-ES"/>
    </w:rPr>
  </w:style>
  <w:style w:type="paragraph" w:styleId="CommentText">
    <w:name w:val="annotation text"/>
    <w:basedOn w:val="Normal"/>
    <w:link w:val="CommentTextChar"/>
    <w:uiPriority w:val="99"/>
    <w:semiHidden/>
    <w:rsid w:val="003E50EB"/>
    <w:rPr>
      <w:sz w:val="20"/>
      <w:szCs w:val="20"/>
    </w:rPr>
  </w:style>
  <w:style w:type="character" w:customStyle="1" w:styleId="CommentTextChar">
    <w:name w:val="Comment Text Char"/>
    <w:basedOn w:val="DefaultParagraphFont"/>
    <w:link w:val="CommentText"/>
    <w:uiPriority w:val="99"/>
    <w:semiHidden/>
    <w:rsid w:val="003E50EB"/>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3E50EB"/>
    <w:rPr>
      <w:b/>
      <w:bCs/>
    </w:rPr>
  </w:style>
  <w:style w:type="character" w:customStyle="1" w:styleId="CommentSubjectChar">
    <w:name w:val="Comment Subject Char"/>
    <w:basedOn w:val="CommentTextChar"/>
    <w:link w:val="CommentSubject"/>
    <w:uiPriority w:val="99"/>
    <w:semiHidden/>
    <w:rsid w:val="003E50EB"/>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3E50EB"/>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E50E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3E50EB"/>
    <w:pPr>
      <w:contextualSpacing/>
    </w:pPr>
  </w:style>
  <w:style w:type="numbering" w:customStyle="1" w:styleId="ListCBD">
    <w:name w:val="ListCBD"/>
    <w:basedOn w:val="NoList"/>
    <w:uiPriority w:val="99"/>
    <w:rsid w:val="003E50EB"/>
    <w:pPr>
      <w:numPr>
        <w:numId w:val="2"/>
      </w:numPr>
    </w:pPr>
  </w:style>
  <w:style w:type="numbering" w:customStyle="1" w:styleId="CBDHeadings">
    <w:name w:val="CBD_Headings"/>
    <w:basedOn w:val="ListCBD"/>
    <w:uiPriority w:val="99"/>
    <w:rsid w:val="003E50EB"/>
    <w:pPr>
      <w:numPr>
        <w:numId w:val="3"/>
      </w:numPr>
    </w:pPr>
  </w:style>
  <w:style w:type="paragraph" w:customStyle="1" w:styleId="AISpacer">
    <w:name w:val="AI_Spacer"/>
    <w:next w:val="Normal"/>
    <w:unhideWhenUsed/>
    <w:qFormat/>
    <w:rsid w:val="003E50EB"/>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3E50EB"/>
    <w:pPr>
      <w:spacing w:before="120"/>
    </w:pPr>
  </w:style>
  <w:style w:type="paragraph" w:customStyle="1" w:styleId="AFCorNBold">
    <w:name w:val="AF_CorNBold"/>
    <w:basedOn w:val="AFCorNNormal"/>
    <w:next w:val="AFCorNNormal"/>
    <w:unhideWhenUsed/>
    <w:qFormat/>
    <w:rsid w:val="003E50EB"/>
    <w:rPr>
      <w:b/>
    </w:rPr>
  </w:style>
  <w:style w:type="paragraph" w:customStyle="1" w:styleId="AFCorN12Bold">
    <w:name w:val="AF_CorN12Bold"/>
    <w:basedOn w:val="AFCorNNormal"/>
    <w:next w:val="AFCorNNormal"/>
    <w:unhideWhenUsed/>
    <w:qFormat/>
    <w:rsid w:val="003E50EB"/>
    <w:rPr>
      <w:b/>
      <w:sz w:val="24"/>
    </w:rPr>
  </w:style>
  <w:style w:type="paragraph" w:customStyle="1" w:styleId="CBDAgendaItem">
    <w:name w:val="CBD_AgendaItem"/>
    <w:basedOn w:val="Normal"/>
    <w:qFormat/>
    <w:rsid w:val="003E50EB"/>
    <w:pPr>
      <w:keepNext/>
      <w:keepLines/>
      <w:spacing w:before="240" w:after="120"/>
      <w:jc w:val="left"/>
    </w:pPr>
    <w:rPr>
      <w:b/>
      <w:sz w:val="24"/>
    </w:rPr>
  </w:style>
  <w:style w:type="paragraph" w:customStyle="1" w:styleId="CBDDesicionText">
    <w:name w:val="CBD_DesicionText"/>
    <w:basedOn w:val="CBDNormal"/>
    <w:qFormat/>
    <w:rsid w:val="003E50EB"/>
    <w:pPr>
      <w:spacing w:after="120"/>
      <w:ind w:left="567" w:firstLine="567"/>
    </w:pPr>
  </w:style>
  <w:style w:type="paragraph" w:customStyle="1" w:styleId="CBDDesicionAnnex">
    <w:name w:val="CBD_DesicionAnnex"/>
    <w:basedOn w:val="CBDNormal"/>
    <w:next w:val="CBDDesicionText"/>
    <w:qFormat/>
    <w:rsid w:val="003E50E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E50EB"/>
    <w:rPr>
      <w:rFonts w:ascii="Times New Roman" w:hAnsi="Times New Roman"/>
      <w:color w:val="467886" w:themeColor="hyperlink"/>
      <w:u w:val="single"/>
      <w:lang w:val="es-ES"/>
    </w:rPr>
  </w:style>
  <w:style w:type="paragraph" w:customStyle="1" w:styleId="CBDAnnex">
    <w:name w:val="CBD_Annex"/>
    <w:basedOn w:val="CBDNormal"/>
    <w:next w:val="CBDTitle"/>
    <w:qFormat/>
    <w:rsid w:val="003E50EB"/>
    <w:pPr>
      <w:keepNext/>
      <w:keepLines/>
      <w:spacing w:after="240"/>
      <w:jc w:val="left"/>
    </w:pPr>
    <w:rPr>
      <w:b/>
      <w:sz w:val="28"/>
      <w:lang w:bidi="ar-SY"/>
    </w:rPr>
  </w:style>
  <w:style w:type="paragraph" w:customStyle="1" w:styleId="CBDSubTitle">
    <w:name w:val="CBD_SubTitle"/>
    <w:basedOn w:val="CBDNormal"/>
    <w:qFormat/>
    <w:rsid w:val="003E50EB"/>
    <w:pPr>
      <w:keepNext/>
      <w:keepLines/>
      <w:spacing w:before="240" w:after="240"/>
      <w:ind w:left="567"/>
      <w:jc w:val="left"/>
    </w:pPr>
    <w:rPr>
      <w:b/>
    </w:rPr>
  </w:style>
  <w:style w:type="paragraph" w:customStyle="1" w:styleId="CBDTitle">
    <w:name w:val="CBD_Title"/>
    <w:basedOn w:val="CBDNormal"/>
    <w:next w:val="CBDSubTitle"/>
    <w:qFormat/>
    <w:rsid w:val="003E50EB"/>
    <w:pPr>
      <w:keepNext/>
      <w:keepLines/>
      <w:spacing w:before="240" w:after="240"/>
      <w:ind w:left="567"/>
      <w:jc w:val="left"/>
    </w:pPr>
    <w:rPr>
      <w:b/>
      <w:sz w:val="28"/>
    </w:rPr>
  </w:style>
  <w:style w:type="paragraph" w:customStyle="1" w:styleId="AENormal">
    <w:name w:val="AE_Normal"/>
    <w:basedOn w:val="Normal"/>
    <w:rsid w:val="003E50EB"/>
  </w:style>
  <w:style w:type="paragraph" w:customStyle="1" w:styleId="CBDH1">
    <w:name w:val="CBD_H1"/>
    <w:basedOn w:val="CBDNormal"/>
    <w:qFormat/>
    <w:rsid w:val="003E50EB"/>
    <w:pPr>
      <w:keepNext/>
      <w:keepLines/>
      <w:spacing w:before="240" w:after="120"/>
      <w:ind w:left="567" w:hanging="567"/>
      <w:jc w:val="left"/>
      <w:outlineLvl w:val="0"/>
    </w:pPr>
    <w:rPr>
      <w:b/>
      <w:sz w:val="28"/>
    </w:rPr>
  </w:style>
  <w:style w:type="paragraph" w:customStyle="1" w:styleId="CBDH2">
    <w:name w:val="CBD_H2"/>
    <w:basedOn w:val="CBDNormalNumber"/>
    <w:qFormat/>
    <w:rsid w:val="003E50EB"/>
    <w:pPr>
      <w:keepNext/>
      <w:keepLines/>
      <w:numPr>
        <w:numId w:val="0"/>
      </w:numPr>
      <w:ind w:left="567" w:hanging="567"/>
    </w:pPr>
    <w:rPr>
      <w:b/>
      <w:sz w:val="24"/>
    </w:rPr>
  </w:style>
  <w:style w:type="paragraph" w:customStyle="1" w:styleId="CBDFootnoteText">
    <w:name w:val="CBD_Footnote_Text"/>
    <w:basedOn w:val="CBDNormal"/>
    <w:qFormat/>
    <w:rsid w:val="003E50EB"/>
    <w:pPr>
      <w:jc w:val="left"/>
    </w:pPr>
    <w:rPr>
      <w:sz w:val="18"/>
    </w:rPr>
  </w:style>
  <w:style w:type="paragraph" w:customStyle="1" w:styleId="CBDFooter">
    <w:name w:val="CBD_Footer"/>
    <w:basedOn w:val="CBDNormal"/>
    <w:qFormat/>
    <w:rsid w:val="003E50EB"/>
    <w:rPr>
      <w:sz w:val="20"/>
    </w:rPr>
  </w:style>
  <w:style w:type="paragraph" w:customStyle="1" w:styleId="CBDHeader">
    <w:name w:val="CBD_Header"/>
    <w:basedOn w:val="CBDNormal"/>
    <w:next w:val="CBDFooter"/>
    <w:qFormat/>
    <w:rsid w:val="003E50EB"/>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E50EB"/>
    <w:pPr>
      <w:keepNext/>
      <w:keepLines/>
      <w:spacing w:before="120" w:after="120"/>
      <w:ind w:left="567" w:hanging="567"/>
      <w:jc w:val="left"/>
    </w:pPr>
    <w:rPr>
      <w:b/>
    </w:rPr>
  </w:style>
  <w:style w:type="paragraph" w:customStyle="1" w:styleId="CBDH4">
    <w:name w:val="CBD_H4"/>
    <w:basedOn w:val="CBDNormal"/>
    <w:rsid w:val="003E50EB"/>
    <w:pPr>
      <w:keepNext/>
      <w:keepLines/>
      <w:spacing w:before="120" w:after="120"/>
      <w:ind w:left="567" w:hanging="567"/>
      <w:jc w:val="left"/>
    </w:pPr>
    <w:rPr>
      <w:b/>
    </w:rPr>
  </w:style>
  <w:style w:type="paragraph" w:customStyle="1" w:styleId="CBDH5">
    <w:name w:val="CBD_H5"/>
    <w:basedOn w:val="CBDNormal"/>
    <w:qFormat/>
    <w:rsid w:val="003E50EB"/>
    <w:pPr>
      <w:keepNext/>
      <w:keepLines/>
      <w:spacing w:before="120" w:after="120"/>
      <w:ind w:left="567" w:hanging="567"/>
      <w:jc w:val="left"/>
    </w:pPr>
    <w:rPr>
      <w:i/>
    </w:rPr>
  </w:style>
  <w:style w:type="paragraph" w:customStyle="1" w:styleId="CBDTableNormal">
    <w:name w:val="CBD_TableNormal"/>
    <w:basedOn w:val="CBDNormal"/>
    <w:qFormat/>
    <w:rsid w:val="003E50EB"/>
    <w:pPr>
      <w:spacing w:before="40" w:after="80"/>
      <w:jc w:val="left"/>
    </w:pPr>
    <w:rPr>
      <w:sz w:val="20"/>
    </w:rPr>
  </w:style>
  <w:style w:type="paragraph" w:customStyle="1" w:styleId="CBDTableTitle">
    <w:name w:val="CBD_TableTitle"/>
    <w:basedOn w:val="CBDNormal"/>
    <w:qFormat/>
    <w:rsid w:val="003E50EB"/>
    <w:pPr>
      <w:keepNext/>
      <w:keepLines/>
      <w:spacing w:before="120" w:after="60"/>
      <w:ind w:left="567"/>
      <w:jc w:val="left"/>
    </w:pPr>
    <w:rPr>
      <w:b/>
    </w:rPr>
  </w:style>
  <w:style w:type="paragraph" w:customStyle="1" w:styleId="CBDFigureTitle">
    <w:name w:val="CBD_FigureTitle"/>
    <w:basedOn w:val="CBDNormal"/>
    <w:next w:val="CBDNormalNoNumber"/>
    <w:qFormat/>
    <w:rsid w:val="003E50EB"/>
    <w:pPr>
      <w:keepNext/>
      <w:keepLines/>
      <w:spacing w:before="120" w:after="60"/>
      <w:ind w:left="567"/>
      <w:jc w:val="left"/>
    </w:pPr>
    <w:rPr>
      <w:b/>
    </w:rPr>
  </w:style>
  <w:style w:type="paragraph" w:styleId="TOC1">
    <w:name w:val="toc 1"/>
    <w:basedOn w:val="CBDNormal"/>
    <w:next w:val="Normal"/>
    <w:autoRedefine/>
    <w:uiPriority w:val="39"/>
    <w:unhideWhenUsed/>
    <w:rsid w:val="003E50E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E50E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E50E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E50E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E50E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customStyle="1" w:styleId="SmartHyperlink">
    <w:name w:val="Smart Hyperlink"/>
    <w:basedOn w:val="DefaultParagraphFont"/>
    <w:uiPriority w:val="99"/>
    <w:semiHidden/>
    <w:unhideWhenUsed/>
    <w:rsid w:val="00826B18"/>
    <w:rPr>
      <w:u w:val="dotted"/>
      <w:lang w:val="es-ES"/>
    </w:rPr>
  </w:style>
  <w:style w:type="character" w:customStyle="1"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9789B"/>
    <w:rPr>
      <w:rFonts w:ascii="Times New Roman" w:eastAsia="SimSun" w:hAnsi="Times New Roman" w:cs="Times New Roman"/>
      <w:kern w:val="0"/>
      <w:sz w:val="22"/>
      <w:szCs w:val="22"/>
      <w:lang w:eastAsia="en-US"/>
      <w14:ligatures w14:val="none"/>
    </w:rPr>
  </w:style>
  <w:style w:type="paragraph" w:customStyle="1" w:styleId="Para2">
    <w:name w:val="Para 2"/>
    <w:qFormat/>
    <w:rsid w:val="00CB21D0"/>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p-mop-09/cp-mop-09-dec-13-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p-mop-09/cp-mop-09-dec-13-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e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4/cop-14-dec-19-es.pdf" TargetMode="External"/><Relationship Id="rId20" Type="http://schemas.openxmlformats.org/officeDocument/2006/relationships/hyperlink" Target="https://www.cbd.int/doc/decisions/cop-14/cop-14-dec-33-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09/cp-mop-09-dec-13-es.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p-mop-09/cp-mop-09-dec-13-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es.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016F8B"/>
    <w:rsid w:val="00067985"/>
    <w:rsid w:val="00133A16"/>
    <w:rsid w:val="00161551"/>
    <w:rsid w:val="002D5795"/>
    <w:rsid w:val="003D05ED"/>
    <w:rsid w:val="0047009A"/>
    <w:rsid w:val="005E56DE"/>
    <w:rsid w:val="00771329"/>
    <w:rsid w:val="00794051"/>
    <w:rsid w:val="00817459"/>
    <w:rsid w:val="00BE3534"/>
    <w:rsid w:val="00C43384"/>
    <w:rsid w:val="00CB6634"/>
    <w:rsid w:val="00DF3447"/>
    <w:rsid w:val="00EA2E3B"/>
    <w:rsid w:val="00F11076"/>
    <w:rsid w:val="00F435D5"/>
    <w:rsid w:val="00FE32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26BF1-FFAE-45F8-B90E-7156ABF845B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3</Pages>
  <Words>1416</Words>
  <Characters>7792</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30 October 2024</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30 October 2024</dc:title>
  <dc:subject>CBD/CP/MOP/DEC/11/7</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13</cp:revision>
  <cp:lastPrinted>2025-02-10T21:41:00Z</cp:lastPrinted>
  <dcterms:created xsi:type="dcterms:W3CDTF">2025-02-10T21:41:00Z</dcterms:created>
  <dcterms:modified xsi:type="dcterms:W3CDTF">2025-02-11T00:40:00Z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