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A90442" w14:paraId="70DBD24E" w14:textId="77777777" w:rsidTr="00826B18">
        <w:trPr>
          <w:trHeight w:val="850"/>
        </w:trPr>
        <w:tc>
          <w:tcPr>
            <w:tcW w:w="975" w:type="dxa"/>
            <w:shd w:val="clear" w:color="auto" w:fill="auto"/>
            <w:vAlign w:val="bottom"/>
          </w:tcPr>
          <w:p w14:paraId="55627B33" w14:textId="03D4B91F" w:rsidR="00826B18" w:rsidRPr="00A90442" w:rsidRDefault="00826B18" w:rsidP="00826B18">
            <w:pPr>
              <w:pStyle w:val="AASmallLogo"/>
            </w:pPr>
            <w:r w:rsidRPr="00A90442">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90442">
              <w:t xml:space="preserve"> </w:t>
            </w:r>
          </w:p>
          <w:p w14:paraId="7BB3E199" w14:textId="0A435D64" w:rsidR="00826B18" w:rsidRPr="00A90442" w:rsidRDefault="00826B18" w:rsidP="00826B18">
            <w:pPr>
              <w:pStyle w:val="AASmallLogo"/>
            </w:pPr>
          </w:p>
        </w:tc>
        <w:tc>
          <w:tcPr>
            <w:tcW w:w="1434" w:type="dxa"/>
            <w:shd w:val="clear" w:color="auto" w:fill="auto"/>
            <w:noWrap/>
            <w:vAlign w:val="bottom"/>
          </w:tcPr>
          <w:p w14:paraId="34214783" w14:textId="3D6D8187" w:rsidR="00826B18" w:rsidRPr="00A90442" w:rsidRDefault="00826B18" w:rsidP="00826B18">
            <w:pPr>
              <w:pStyle w:val="AASmallLogo"/>
            </w:pPr>
            <w:r w:rsidRPr="00A90442">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90442">
              <w:t xml:space="preserve"> </w:t>
            </w:r>
          </w:p>
          <w:p w14:paraId="3EE2A4CA" w14:textId="054145D9" w:rsidR="00826B18" w:rsidRPr="00A90442" w:rsidRDefault="00826B18" w:rsidP="00826B18">
            <w:pPr>
              <w:pStyle w:val="AASmallLogo"/>
            </w:pPr>
          </w:p>
        </w:tc>
        <w:tc>
          <w:tcPr>
            <w:tcW w:w="8073" w:type="dxa"/>
            <w:shd w:val="clear" w:color="auto" w:fill="auto"/>
            <w:vAlign w:val="bottom"/>
          </w:tcPr>
          <w:p w14:paraId="17D8BD1D" w14:textId="3FC8E248" w:rsidR="00826B18" w:rsidRPr="00A90442" w:rsidRDefault="00826B18" w:rsidP="00826B18">
            <w:pPr>
              <w:pStyle w:val="ABSymbol"/>
              <w:rPr>
                <w:sz w:val="22"/>
                <w:szCs w:val="22"/>
              </w:rPr>
            </w:pPr>
            <w:r w:rsidRPr="00A90442">
              <w:rPr>
                <w:sz w:val="22"/>
                <w:szCs w:val="22"/>
              </w:rPr>
              <w:fldChar w:fldCharType="begin"/>
            </w:r>
            <w:r w:rsidRPr="00A90442">
              <w:rPr>
                <w:sz w:val="22"/>
                <w:szCs w:val="22"/>
              </w:rPr>
              <w:instrText xml:space="preserve"> DOCPROPERTY Subject \* MERGEFORMAT </w:instrText>
            </w:r>
            <w:r w:rsidRPr="00A90442">
              <w:rPr>
                <w:sz w:val="22"/>
                <w:szCs w:val="22"/>
              </w:rPr>
              <w:fldChar w:fldCharType="separate"/>
            </w:r>
            <w:r w:rsidR="00BF487B" w:rsidRPr="00A90442">
              <w:rPr>
                <w:sz w:val="40"/>
                <w:szCs w:val="40"/>
              </w:rPr>
              <w:t>CBD</w:t>
            </w:r>
            <w:r w:rsidR="00BF487B" w:rsidRPr="00A90442">
              <w:rPr>
                <w:sz w:val="22"/>
                <w:szCs w:val="22"/>
              </w:rPr>
              <w:t>/CP/MOP/DEC/11/</w:t>
            </w:r>
            <w:r w:rsidR="002A39E3" w:rsidRPr="00A90442">
              <w:rPr>
                <w:sz w:val="22"/>
                <w:szCs w:val="22"/>
              </w:rPr>
              <w:t>10</w:t>
            </w:r>
            <w:r w:rsidRPr="00A90442">
              <w:rPr>
                <w:sz w:val="22"/>
                <w:szCs w:val="22"/>
              </w:rPr>
              <w:fldChar w:fldCharType="end"/>
            </w:r>
          </w:p>
        </w:tc>
      </w:tr>
    </w:tbl>
    <w:p w14:paraId="39A877E0" w14:textId="77777777" w:rsidR="009443D7" w:rsidRPr="00A90442"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A90442" w14:paraId="52A9537E" w14:textId="77777777" w:rsidTr="00826B18">
        <w:trPr>
          <w:trHeight w:val="1814"/>
        </w:trPr>
        <w:tc>
          <w:tcPr>
            <w:tcW w:w="7370" w:type="dxa"/>
            <w:shd w:val="clear" w:color="auto" w:fill="auto"/>
          </w:tcPr>
          <w:p w14:paraId="59FC3EDD" w14:textId="7507AE03" w:rsidR="00826B18" w:rsidRPr="00A90442" w:rsidRDefault="00826B18" w:rsidP="00826B18">
            <w:pPr>
              <w:pStyle w:val="ACLargeLogo"/>
            </w:pPr>
            <w:r w:rsidRPr="00A90442">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90442">
              <w:t xml:space="preserve"> </w:t>
            </w:r>
          </w:p>
          <w:p w14:paraId="14373D68" w14:textId="31F3331A" w:rsidR="00826B18" w:rsidRPr="00A90442" w:rsidRDefault="00826B18" w:rsidP="00826B18">
            <w:pPr>
              <w:pStyle w:val="ACLargeLogo"/>
            </w:pPr>
          </w:p>
        </w:tc>
        <w:tc>
          <w:tcPr>
            <w:tcW w:w="3112" w:type="dxa"/>
            <w:shd w:val="clear" w:color="auto" w:fill="auto"/>
          </w:tcPr>
          <w:p w14:paraId="281C19C6" w14:textId="72D9EBB3" w:rsidR="00826B18" w:rsidRPr="00A90442" w:rsidRDefault="00826B18" w:rsidP="00826B18">
            <w:pPr>
              <w:pStyle w:val="AEDistrNormal"/>
            </w:pPr>
            <w:r w:rsidRPr="00A90442">
              <w:t xml:space="preserve">Distr.: </w:t>
            </w:r>
            <w:sdt>
              <w:sdtPr>
                <w:alias w:val="DistributionType"/>
                <w:id w:val="-943536495"/>
                <w:placeholder>
                  <w:docPart w:val="537D9D7C40F1433C964135921AE6D203"/>
                </w:placeholder>
                <w15:color w:val="800000"/>
              </w:sdtPr>
              <w:sdtEndPr/>
              <w:sdtContent>
                <w:r w:rsidRPr="00A90442">
                  <w:t>General</w:t>
                </w:r>
              </w:sdtContent>
            </w:sdt>
            <w:r w:rsidRPr="00A90442">
              <w:t xml:space="preserve"> </w:t>
            </w:r>
          </w:p>
          <w:p w14:paraId="40626E3D" w14:textId="04B7F986" w:rsidR="00826B18" w:rsidRPr="00A90442" w:rsidRDefault="00732DC5" w:rsidP="00826B18">
            <w:pPr>
              <w:pStyle w:val="AEDistrNormal"/>
            </w:pPr>
            <w:sdt>
              <w:sdtPr>
                <w:alias w:val="DistributionDate"/>
                <w:id w:val="1090040067"/>
                <w:placeholder>
                  <w:docPart w:val="589DAB67B08C4894BD605321B97EB4D9"/>
                </w:placeholder>
                <w15:color w:val="800000"/>
              </w:sdtPr>
              <w:sdtEndPr/>
              <w:sdtContent>
                <w:r w:rsidR="00826B18" w:rsidRPr="00A90442">
                  <w:t>25 October 202</w:t>
                </w:r>
                <w:r w:rsidR="008E6FA1" w:rsidRPr="00A90442">
                  <w:t>4</w:t>
                </w:r>
              </w:sdtContent>
            </w:sdt>
            <w:r w:rsidR="00826B18" w:rsidRPr="00A90442">
              <w:t xml:space="preserve"> </w:t>
            </w:r>
          </w:p>
          <w:p w14:paraId="6885AE69" w14:textId="0DB58DE3" w:rsidR="00826B18" w:rsidRPr="00A90442" w:rsidRDefault="00732DC5" w:rsidP="00826B18">
            <w:pPr>
              <w:pStyle w:val="AEDistrNormal6pt"/>
            </w:pPr>
            <w:sdt>
              <w:sdtPr>
                <w:alias w:val="DistributionLanguage"/>
                <w:id w:val="-1478219683"/>
                <w:placeholder>
                  <w:docPart w:val="7588511DD0584B9C87618C4D7AABEB34"/>
                </w:placeholder>
                <w15:color w:val="800000"/>
              </w:sdtPr>
              <w:sdtEndPr/>
              <w:sdtContent>
                <w:r w:rsidR="00826B18" w:rsidRPr="00A90442">
                  <w:t>Original: English</w:t>
                </w:r>
              </w:sdtContent>
            </w:sdt>
            <w:r w:rsidR="00826B18" w:rsidRPr="00A90442">
              <w:t xml:space="preserve"> </w:t>
            </w:r>
          </w:p>
          <w:p w14:paraId="263B794D" w14:textId="45B2697D" w:rsidR="00826B18" w:rsidRPr="00A90442" w:rsidRDefault="00826B18" w:rsidP="00826B18">
            <w:pPr>
              <w:pStyle w:val="AEDistrNormal6pt"/>
            </w:pPr>
          </w:p>
        </w:tc>
      </w:tr>
    </w:tbl>
    <w:p w14:paraId="27487BE5" w14:textId="77777777" w:rsidR="00826B18" w:rsidRPr="00A90442"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A90442" w14:paraId="32F8FA33" w14:textId="77777777" w:rsidTr="00826B18">
        <w:trPr>
          <w:trHeight w:val="57"/>
        </w:trPr>
        <w:tc>
          <w:tcPr>
            <w:tcW w:w="6094" w:type="dxa"/>
            <w:shd w:val="clear" w:color="auto" w:fill="auto"/>
          </w:tcPr>
          <w:p w14:paraId="7E769921" w14:textId="2306F975" w:rsidR="00826B18" w:rsidRPr="00A90442" w:rsidRDefault="00732DC5" w:rsidP="00826B18">
            <w:pPr>
              <w:pStyle w:val="AFCorN12Bold"/>
            </w:pPr>
            <w:sdt>
              <w:sdtPr>
                <w:alias w:val="CorNot1Text"/>
                <w:id w:val="1971018176"/>
                <w:placeholder>
                  <w:docPart w:val="9F1F261572B44A579B41DC5262C7583E"/>
                </w:placeholder>
                <w15:color w:val="800000"/>
                <w:text w:multiLine="1"/>
              </w:sdtPr>
              <w:sdtEndPr/>
              <w:sdtContent>
                <w:r w:rsidR="00826B18" w:rsidRPr="00A90442">
                  <w:t xml:space="preserve">Conference of the Parties to the Convention on </w:t>
                </w:r>
                <w:r w:rsidR="00826B18" w:rsidRPr="00A90442">
                  <w:br/>
                  <w:t xml:space="preserve">Biological Diversity serving as the meeting of the </w:t>
                </w:r>
                <w:r w:rsidR="00826B18" w:rsidRPr="00A90442">
                  <w:br/>
                  <w:t>Parties to the Cartagena Protocol on Biosafety</w:t>
                </w:r>
              </w:sdtContent>
            </w:sdt>
            <w:r w:rsidR="00826B18" w:rsidRPr="00A90442">
              <w:t xml:space="preserve"> </w:t>
            </w:r>
          </w:p>
          <w:p w14:paraId="59C22D78" w14:textId="089F0551" w:rsidR="00826B18" w:rsidRPr="00A90442" w:rsidRDefault="00732DC5" w:rsidP="00826B18">
            <w:pPr>
              <w:pStyle w:val="AFCorNBold"/>
            </w:pPr>
            <w:sdt>
              <w:sdtPr>
                <w:alias w:val="CorNot1TextPart2"/>
                <w:id w:val="-1728751740"/>
                <w:placeholder>
                  <w:docPart w:val="B9873788B48E44E58D56666428B1CE7D"/>
                </w:placeholder>
                <w15:color w:val="800000"/>
                <w:text w:multiLine="1"/>
              </w:sdtPr>
              <w:sdtEndPr/>
              <w:sdtContent>
                <w:r w:rsidR="00826B18" w:rsidRPr="00A90442">
                  <w:t>Eleventh meeting</w:t>
                </w:r>
              </w:sdtContent>
            </w:sdt>
            <w:r w:rsidR="00826B18" w:rsidRPr="00A90442">
              <w:t xml:space="preserve"> </w:t>
            </w:r>
          </w:p>
          <w:p w14:paraId="08ED4AD2" w14:textId="66379809" w:rsidR="00826B18" w:rsidRPr="00A90442" w:rsidRDefault="00732DC5"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A90442">
                  <w:rPr>
                    <w:b w:val="0"/>
                    <w:bCs/>
                  </w:rPr>
                  <w:t>Cali, Colombia, 21 October–1 November 2024</w:t>
                </w:r>
              </w:sdtContent>
            </w:sdt>
            <w:r w:rsidR="00826B18" w:rsidRPr="00A90442">
              <w:rPr>
                <w:b w:val="0"/>
                <w:bCs/>
              </w:rPr>
              <w:t xml:space="preserve"> </w:t>
            </w:r>
          </w:p>
          <w:p w14:paraId="2EF44AAB" w14:textId="7C9447AA" w:rsidR="00826B18" w:rsidRPr="00A90442" w:rsidRDefault="00732DC5" w:rsidP="00826B18">
            <w:pPr>
              <w:pStyle w:val="AFCorNNormal"/>
            </w:pPr>
            <w:sdt>
              <w:sdtPr>
                <w:alias w:val="CorNot1AgItem"/>
                <w:id w:val="287018184"/>
                <w:placeholder>
                  <w:docPart w:val="4DAAF98F411D4DFEA5A9AD38FBF4D602"/>
                </w:placeholder>
                <w15:color w:val="800000"/>
                <w:text/>
              </w:sdtPr>
              <w:sdtEndPr/>
              <w:sdtContent>
                <w:r w:rsidR="00826B18" w:rsidRPr="00A90442">
                  <w:t>Agenda item 1</w:t>
                </w:r>
                <w:r w:rsidR="00931DB0" w:rsidRPr="00A90442">
                  <w:t>4</w:t>
                </w:r>
              </w:sdtContent>
            </w:sdt>
            <w:r w:rsidR="00826B18" w:rsidRPr="00A90442">
              <w:t xml:space="preserve"> </w:t>
            </w:r>
          </w:p>
          <w:p w14:paraId="5A5F6AAC" w14:textId="4C685AA9" w:rsidR="00826B18" w:rsidRPr="00A90442" w:rsidRDefault="009009BD" w:rsidP="00826B18">
            <w:pPr>
              <w:pStyle w:val="AFCorNBold"/>
            </w:pPr>
            <w:r w:rsidRPr="00A90442">
              <w:t xml:space="preserve">Nagoya-Kuala Lumpur Supplementary Protocol on </w:t>
            </w:r>
            <w:r w:rsidR="00293C00" w:rsidRPr="00A90442">
              <w:br/>
            </w:r>
            <w:r w:rsidRPr="00A90442">
              <w:t>Liability and Redress</w:t>
            </w:r>
          </w:p>
        </w:tc>
        <w:tc>
          <w:tcPr>
            <w:tcW w:w="4388" w:type="dxa"/>
            <w:shd w:val="clear" w:color="auto" w:fill="auto"/>
          </w:tcPr>
          <w:p w14:paraId="198C35CF" w14:textId="77777777" w:rsidR="00826B18" w:rsidRPr="00A90442"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3BF092AD" w:rsidR="00826B18" w:rsidRPr="00A90442" w:rsidRDefault="00BF487B" w:rsidP="00826B18">
          <w:pPr>
            <w:pStyle w:val="CBDTitle"/>
          </w:pPr>
          <w:fldSimple w:instr=" DOCPROPERTY Title \* MERGEFORMAT ">
            <w:r w:rsidRPr="00A90442">
              <w:t>Decision adopted by the Conference of the Parties to the Convention on Biological Diversity serving as the meeting of the Parties to the Cartagena Protocol on Biosafety on 25 October 2024</w:t>
            </w:r>
          </w:fldSimple>
        </w:p>
      </w:sdtContent>
    </w:sdt>
    <w:p w14:paraId="3EB608F0" w14:textId="51A19035" w:rsidR="00826B18" w:rsidRPr="00A90442" w:rsidRDefault="00826B18" w:rsidP="000D063F">
      <w:pPr>
        <w:pStyle w:val="CBDSubTitle"/>
      </w:pPr>
      <w:r w:rsidRPr="00A90442">
        <w:t>CP-11/</w:t>
      </w:r>
      <w:r w:rsidR="002A39E3" w:rsidRPr="00A90442">
        <w:t>10</w:t>
      </w:r>
      <w:r w:rsidRPr="00A90442">
        <w:t xml:space="preserve">. </w:t>
      </w:r>
      <w:r w:rsidR="00293C00" w:rsidRPr="00A90442">
        <w:t>Nagoya-Kuala Lumpur Supplementary Protocol on Liability and Redress</w:t>
      </w:r>
    </w:p>
    <w:p w14:paraId="183264CA" w14:textId="6C584CFD" w:rsidR="00E8218C" w:rsidRPr="00A90442" w:rsidRDefault="00E8218C" w:rsidP="000D063F">
      <w:pPr>
        <w:pStyle w:val="CBDDesicionText"/>
      </w:pPr>
      <w:r w:rsidRPr="000D063F">
        <w:rPr>
          <w:i/>
          <w:iCs/>
        </w:rPr>
        <w:t>The Conference of the Parties serving as the meeting of the Parties to the Cartagena Protocol and further serving as the meeting of the Parties to the Nagoya-Kuala Lumpur Supplementary Protocol</w:t>
      </w:r>
      <w:r w:rsidR="007B0240" w:rsidRPr="000D063F">
        <w:t>,</w:t>
      </w:r>
      <w:r w:rsidRPr="00A90442">
        <w:rPr>
          <w:rStyle w:val="FootnoteReference"/>
        </w:rPr>
        <w:footnoteReference w:id="2"/>
      </w:r>
    </w:p>
    <w:p w14:paraId="60515E64" w14:textId="67A5A763" w:rsidR="00E8218C" w:rsidRPr="00A90442" w:rsidRDefault="00E8218C" w:rsidP="000D063F">
      <w:pPr>
        <w:pStyle w:val="CBDDesicionText"/>
      </w:pPr>
      <w:r w:rsidRPr="00A90442">
        <w:rPr>
          <w:i/>
          <w:iCs/>
        </w:rPr>
        <w:t xml:space="preserve">Recalling </w:t>
      </w:r>
      <w:r w:rsidRPr="00A90442">
        <w:t xml:space="preserve">decision </w:t>
      </w:r>
      <w:hyperlink r:id="rId13" w:history="1">
        <w:r w:rsidRPr="00A90442">
          <w:rPr>
            <w:rStyle w:val="Hyperlink"/>
          </w:rPr>
          <w:t>CP-10/13</w:t>
        </w:r>
      </w:hyperlink>
      <w:r w:rsidRPr="00A90442">
        <w:t xml:space="preserve"> of 10 December 2022, in particular its paragraph 8,</w:t>
      </w:r>
    </w:p>
    <w:p w14:paraId="2C9F0755" w14:textId="77777777" w:rsidR="00E8218C" w:rsidRPr="00A90442" w:rsidRDefault="00E8218C" w:rsidP="000D063F">
      <w:pPr>
        <w:pStyle w:val="CBDDesicionText"/>
      </w:pPr>
      <w:r w:rsidRPr="00A90442">
        <w:rPr>
          <w:i/>
          <w:iCs/>
        </w:rPr>
        <w:t>Also recalling</w:t>
      </w:r>
      <w:r w:rsidRPr="00A90442">
        <w:t xml:space="preserve"> Goal A.10 of the implementation plan</w:t>
      </w:r>
      <w:r w:rsidRPr="00A90442">
        <w:rPr>
          <w:rStyle w:val="FootnoteReference"/>
          <w:rFonts w:asciiTheme="majorBidi" w:hAnsiTheme="majorBidi"/>
        </w:rPr>
        <w:footnoteReference w:id="3"/>
      </w:r>
      <w:r w:rsidRPr="00A90442">
        <w:t xml:space="preserve"> and the capacity-building action plan</w:t>
      </w:r>
      <w:r w:rsidRPr="00A90442">
        <w:rPr>
          <w:rStyle w:val="FootnoteReference"/>
          <w:rFonts w:asciiTheme="majorBidi" w:eastAsiaTheme="minorEastAsia" w:hAnsiTheme="majorBidi"/>
        </w:rPr>
        <w:footnoteReference w:id="4"/>
      </w:r>
      <w:r w:rsidRPr="00A90442">
        <w:t xml:space="preserve"> for the Cartagena Protocol on Biosafety,</w:t>
      </w:r>
      <w:r w:rsidRPr="00A90442">
        <w:rPr>
          <w:rStyle w:val="FootnoteReference"/>
          <w:rFonts w:asciiTheme="majorBidi" w:eastAsiaTheme="minorEastAsia" w:hAnsiTheme="majorBidi"/>
        </w:rPr>
        <w:footnoteReference w:id="5"/>
      </w:r>
    </w:p>
    <w:p w14:paraId="6BE91C05" w14:textId="47C9DEF5" w:rsidR="00E8218C" w:rsidRPr="00A90442" w:rsidRDefault="00E8218C" w:rsidP="000D063F">
      <w:pPr>
        <w:pStyle w:val="CBDDesicionText"/>
      </w:pPr>
      <w:r w:rsidRPr="00A90442">
        <w:rPr>
          <w:iCs/>
        </w:rPr>
        <w:t>1.</w:t>
      </w:r>
      <w:r w:rsidRPr="00A90442">
        <w:rPr>
          <w:i/>
        </w:rPr>
        <w:tab/>
        <w:t xml:space="preserve">Welcomes </w:t>
      </w:r>
      <w:r w:rsidRPr="00A90442">
        <w:rPr>
          <w:iCs/>
        </w:rPr>
        <w:t>the additional</w:t>
      </w:r>
      <w:r w:rsidRPr="00A90442">
        <w:rPr>
          <w:i/>
        </w:rPr>
        <w:t xml:space="preserve"> </w:t>
      </w:r>
      <w:r w:rsidRPr="00A90442">
        <w:t>instruments of ratification, acceptance, approval or accession to the Nagoya-Kuala Lumpur Supplementary Protocol on Liability and Redress to the Cartagena Protocol</w:t>
      </w:r>
      <w:r w:rsidRPr="00A90442">
        <w:rPr>
          <w:rStyle w:val="FootnoteReference"/>
        </w:rPr>
        <w:footnoteReference w:id="6"/>
      </w:r>
      <w:r w:rsidRPr="00A90442">
        <w:t xml:space="preserve"> that have been deposited since the adoption of decision </w:t>
      </w:r>
      <w:hyperlink r:id="rId14" w:history="1">
        <w:r w:rsidRPr="00A90442">
          <w:rPr>
            <w:rStyle w:val="Hyperlink"/>
          </w:rPr>
          <w:t>CP-10/13</w:t>
        </w:r>
      </w:hyperlink>
      <w:r w:rsidRPr="00A90442">
        <w:t>;</w:t>
      </w:r>
    </w:p>
    <w:p w14:paraId="68E4EB58" w14:textId="77777777" w:rsidR="00E8218C" w:rsidRPr="00A90442" w:rsidRDefault="00E8218C" w:rsidP="000D063F">
      <w:pPr>
        <w:pStyle w:val="CBDDesicionText"/>
      </w:pPr>
      <w:r w:rsidRPr="00A90442">
        <w:rPr>
          <w:iCs/>
        </w:rPr>
        <w:t>2.</w:t>
      </w:r>
      <w:r w:rsidRPr="00A90442">
        <w:rPr>
          <w:i/>
        </w:rPr>
        <w:tab/>
      </w:r>
      <w:r w:rsidRPr="00A90442">
        <w:rPr>
          <w:bCs/>
          <w:i/>
          <w:color w:val="000000" w:themeColor="text1"/>
        </w:rPr>
        <w:t xml:space="preserve">Notes with regret </w:t>
      </w:r>
      <w:r w:rsidRPr="00A90442">
        <w:rPr>
          <w:bCs/>
          <w:color w:val="000000" w:themeColor="text1"/>
        </w:rPr>
        <w:t>the limited number of Parties to the Cartagena Protocol that have ratified the Nagoya-Kuala Lumpur Supplementary Protocol, and</w:t>
      </w:r>
      <w:r w:rsidRPr="00A90442">
        <w:rPr>
          <w:i/>
        </w:rPr>
        <w:t xml:space="preserve"> </w:t>
      </w:r>
      <w:r w:rsidRPr="00A90442">
        <w:rPr>
          <w:iCs/>
        </w:rPr>
        <w:t>invites</w:t>
      </w:r>
      <w:r w:rsidRPr="00A90442">
        <w:rPr>
          <w:i/>
        </w:rPr>
        <w:t xml:space="preserve"> </w:t>
      </w:r>
      <w:r w:rsidRPr="00A90442">
        <w:t>all Parties to the Cartagena Protocol that have not yet done so to deposit an instrument of ratification, acceptance, approval or accession to the Supplementary Protocol as soon as possible;</w:t>
      </w:r>
    </w:p>
    <w:p w14:paraId="31256ECE" w14:textId="77777777" w:rsidR="00E8218C" w:rsidRPr="00A90442" w:rsidRDefault="00E8218C" w:rsidP="000D063F">
      <w:pPr>
        <w:pStyle w:val="CBDDesicionText"/>
        <w:rPr>
          <w:b/>
          <w:bCs/>
          <w:caps/>
        </w:rPr>
      </w:pPr>
      <w:r w:rsidRPr="00A90442">
        <w:t>3.</w:t>
      </w:r>
      <w:r w:rsidRPr="00A90442">
        <w:rPr>
          <w:i/>
          <w:iCs/>
        </w:rPr>
        <w:tab/>
        <w:t xml:space="preserve">Welcomes </w:t>
      </w:r>
      <w:r w:rsidRPr="00A90442">
        <w:t xml:space="preserve">the additional records published in the Biosafety </w:t>
      </w:r>
      <w:proofErr w:type="gramStart"/>
      <w:r w:rsidRPr="00A90442">
        <w:t>Clearing-House</w:t>
      </w:r>
      <w:proofErr w:type="gramEnd"/>
      <w:r w:rsidRPr="00A90442">
        <w:t xml:space="preserve"> containing the contact details of the competent authorities to perform the functions set out in Article 5 of the </w:t>
      </w:r>
      <w:r w:rsidRPr="00A90442">
        <w:rPr>
          <w:bCs/>
          <w:color w:val="000000" w:themeColor="text1"/>
        </w:rPr>
        <w:t xml:space="preserve">Nagoya-Kuala Lumpur </w:t>
      </w:r>
      <w:r w:rsidRPr="00A90442">
        <w:t>Supplementary Protocol;</w:t>
      </w:r>
    </w:p>
    <w:p w14:paraId="04189487" w14:textId="43F9AFD3" w:rsidR="00E8218C" w:rsidRPr="00A90442" w:rsidRDefault="00E8218C" w:rsidP="000D063F">
      <w:pPr>
        <w:pStyle w:val="CBDDesicionText"/>
        <w:rPr>
          <w:b/>
          <w:bCs/>
          <w:caps/>
        </w:rPr>
      </w:pPr>
      <w:r w:rsidRPr="00A90442">
        <w:rPr>
          <w:iCs/>
        </w:rPr>
        <w:t>4.</w:t>
      </w:r>
      <w:r w:rsidRPr="00A90442">
        <w:rPr>
          <w:i/>
        </w:rPr>
        <w:tab/>
        <w:t xml:space="preserve">Reminds </w:t>
      </w:r>
      <w:r w:rsidRPr="00A90442">
        <w:t xml:space="preserve">Parties to the </w:t>
      </w:r>
      <w:r w:rsidRPr="00A90442">
        <w:rPr>
          <w:bCs/>
          <w:color w:val="000000" w:themeColor="text1"/>
        </w:rPr>
        <w:t xml:space="preserve">Nagoya-Kuala Lumpur </w:t>
      </w:r>
      <w:r w:rsidRPr="00A90442">
        <w:t>Supplementary Protocol to designate a competent authority to perform the functions set out in Article</w:t>
      </w:r>
      <w:r w:rsidR="00D85D24" w:rsidRPr="00A90442">
        <w:t xml:space="preserve"> </w:t>
      </w:r>
      <w:r w:rsidRPr="00A90442">
        <w:t xml:space="preserve">5 of the Supplementary Protocol and to publish information on the competent authorities using the common format available for that purpose in the Biosafety </w:t>
      </w:r>
      <w:proofErr w:type="gramStart"/>
      <w:r w:rsidRPr="00A90442">
        <w:t>Clearing-House</w:t>
      </w:r>
      <w:proofErr w:type="gramEnd"/>
      <w:r w:rsidRPr="00A90442">
        <w:t>;</w:t>
      </w:r>
    </w:p>
    <w:p w14:paraId="3E06C1A8" w14:textId="77777777" w:rsidR="00E8218C" w:rsidRPr="00A90442" w:rsidRDefault="00E8218C" w:rsidP="000D063F">
      <w:pPr>
        <w:pStyle w:val="CBDDesicionText"/>
        <w:rPr>
          <w:b/>
          <w:bCs/>
          <w:caps/>
        </w:rPr>
      </w:pPr>
      <w:r w:rsidRPr="00A90442">
        <w:t>5.</w:t>
      </w:r>
      <w:r w:rsidRPr="00A90442">
        <w:rPr>
          <w:i/>
          <w:iCs/>
        </w:rPr>
        <w:tab/>
        <w:t>Welcomes</w:t>
      </w:r>
      <w:r w:rsidRPr="00A90442">
        <w:t xml:space="preserve"> the information provided by Parties on the measures in place to provide for financial security for damage from living modified organisms, while noting with regret that only a few Parties have provided such information;</w:t>
      </w:r>
    </w:p>
    <w:p w14:paraId="24400FDE" w14:textId="6842A603" w:rsidR="00E8218C" w:rsidRPr="00A90442" w:rsidRDefault="00E8218C" w:rsidP="000D063F">
      <w:pPr>
        <w:pStyle w:val="CBDDesicionText"/>
        <w:rPr>
          <w:b/>
          <w:bCs/>
          <w:caps/>
        </w:rPr>
      </w:pPr>
      <w:r w:rsidRPr="00A90442">
        <w:t>6.</w:t>
      </w:r>
      <w:r w:rsidRPr="00A90442">
        <w:rPr>
          <w:i/>
          <w:iCs/>
        </w:rPr>
        <w:tab/>
        <w:t xml:space="preserve">Invites </w:t>
      </w:r>
      <w:r w:rsidRPr="00A90442">
        <w:t xml:space="preserve">Parties to share information on financial security mechanisms, together with other information on national measures for the implementation of the </w:t>
      </w:r>
      <w:r w:rsidRPr="00A90442">
        <w:rPr>
          <w:bCs/>
          <w:color w:val="000000" w:themeColor="text1"/>
        </w:rPr>
        <w:t>Nagoya-Kuala Lumpur</w:t>
      </w:r>
      <w:r w:rsidRPr="00A90442">
        <w:rPr>
          <w:bCs/>
          <w:color w:val="000000" w:themeColor="text1"/>
          <w:u w:val="single"/>
        </w:rPr>
        <w:t xml:space="preserve"> </w:t>
      </w:r>
      <w:r w:rsidRPr="00A90442">
        <w:t xml:space="preserve">Supplementary Protocol, in their fifth national reports, and requests the Executive Secretary </w:t>
      </w:r>
      <w:r w:rsidR="00490F5A" w:rsidRPr="00A90442">
        <w:t>of the Convention</w:t>
      </w:r>
      <w:r w:rsidR="00490F5A">
        <w:t xml:space="preserve"> on Biological Diversity</w:t>
      </w:r>
      <w:r w:rsidR="00D750BA">
        <w:rPr>
          <w:rStyle w:val="FootnoteReference"/>
        </w:rPr>
        <w:footnoteReference w:id="7"/>
      </w:r>
      <w:r w:rsidR="00490F5A" w:rsidRPr="00A90442">
        <w:t xml:space="preserve"> </w:t>
      </w:r>
      <w:r w:rsidRPr="00A90442">
        <w:t>to use that information when preparing the documentation for the first assessment and review of the effectiveness of the Supplementary Protocol;</w:t>
      </w:r>
      <w:r w:rsidRPr="00A90442">
        <w:rPr>
          <w:rStyle w:val="FootnoteReference"/>
        </w:rPr>
        <w:footnoteReference w:id="8"/>
      </w:r>
      <w:r w:rsidRPr="00A90442">
        <w:rPr>
          <w:rStyle w:val="FootnoteReference"/>
        </w:rPr>
        <w:t xml:space="preserve"> </w:t>
      </w:r>
    </w:p>
    <w:p w14:paraId="48AD7637" w14:textId="59E4977D" w:rsidR="00E8218C" w:rsidRPr="00A90442" w:rsidRDefault="00E8218C" w:rsidP="000D063F">
      <w:pPr>
        <w:pStyle w:val="CBDDesicionText"/>
      </w:pPr>
      <w:r w:rsidRPr="00A90442">
        <w:t>7.</w:t>
      </w:r>
      <w:r w:rsidRPr="00A90442">
        <w:rPr>
          <w:i/>
          <w:iCs/>
        </w:rPr>
        <w:tab/>
        <w:t>Invites</w:t>
      </w:r>
      <w:r w:rsidRPr="00A90442">
        <w:t xml:space="preserve"> Parties, other Governments and organizations to carry out capacity-building and awareness-raising activities in support of the ratification and the effective implementation of the </w:t>
      </w:r>
      <w:r w:rsidRPr="00A90442">
        <w:rPr>
          <w:bCs/>
          <w:color w:val="000000" w:themeColor="text1"/>
        </w:rPr>
        <w:t xml:space="preserve">Nagoya-Kuala Lumpur </w:t>
      </w:r>
      <w:r w:rsidRPr="00A90442">
        <w:t>Supplementary Protocol, and encourages donors to provide the resources necessary in that regard, further to Goal</w:t>
      </w:r>
      <w:r w:rsidR="00D85D24" w:rsidRPr="00A90442">
        <w:t xml:space="preserve"> </w:t>
      </w:r>
      <w:r w:rsidRPr="00A90442">
        <w:t>A.10 of the implementation plan and the capacity-building action plan for the Cartagena Protocol;</w:t>
      </w:r>
    </w:p>
    <w:p w14:paraId="419CE928" w14:textId="77777777" w:rsidR="00E8218C" w:rsidRPr="00A90442" w:rsidRDefault="00E8218C" w:rsidP="000D063F">
      <w:pPr>
        <w:pStyle w:val="CBDDesicionText"/>
      </w:pPr>
      <w:r w:rsidRPr="00A90442">
        <w:t>8.</w:t>
      </w:r>
      <w:r w:rsidRPr="00A90442">
        <w:tab/>
      </w:r>
      <w:r w:rsidRPr="00A90442">
        <w:rPr>
          <w:i/>
          <w:iCs/>
        </w:rPr>
        <w:t>Requests</w:t>
      </w:r>
      <w:r w:rsidRPr="00A90442">
        <w:t xml:space="preserve"> the Executive Secretary, subject to the availability of resources, to continue to undertake awareness-raising and capacity-building activities and to provide support to Parties for implementing the </w:t>
      </w:r>
      <w:r w:rsidRPr="00A90442">
        <w:rPr>
          <w:bCs/>
          <w:color w:val="000000" w:themeColor="text1"/>
        </w:rPr>
        <w:t xml:space="preserve">Nagoya-Kuala Lumpur </w:t>
      </w:r>
      <w:r w:rsidRPr="00A90442">
        <w:t>Supplementary Protocol at the national level.</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A90442" w14:paraId="4881EEEF" w14:textId="77777777" w:rsidTr="00826B18">
        <w:trPr>
          <w:trHeight w:val="567"/>
        </w:trPr>
        <w:tc>
          <w:tcPr>
            <w:tcW w:w="1337" w:type="dxa"/>
          </w:tcPr>
          <w:p w14:paraId="4BE2766F" w14:textId="77777777" w:rsidR="00826B18" w:rsidRPr="00A90442" w:rsidRDefault="00826B18" w:rsidP="00826B18">
            <w:pPr>
              <w:pStyle w:val="CBDNormal"/>
            </w:pPr>
          </w:p>
        </w:tc>
        <w:tc>
          <w:tcPr>
            <w:tcW w:w="1337" w:type="dxa"/>
          </w:tcPr>
          <w:p w14:paraId="49E65691" w14:textId="77777777" w:rsidR="00826B18" w:rsidRPr="00A90442" w:rsidRDefault="00826B18" w:rsidP="00826B18">
            <w:pPr>
              <w:pStyle w:val="CBDNormal"/>
            </w:pPr>
          </w:p>
        </w:tc>
        <w:tc>
          <w:tcPr>
            <w:tcW w:w="1337" w:type="dxa"/>
          </w:tcPr>
          <w:p w14:paraId="2493D524" w14:textId="77777777" w:rsidR="00826B18" w:rsidRPr="00A90442" w:rsidRDefault="00826B18" w:rsidP="00826B18">
            <w:pPr>
              <w:pStyle w:val="CBDNormal"/>
            </w:pPr>
          </w:p>
        </w:tc>
        <w:tc>
          <w:tcPr>
            <w:tcW w:w="1337" w:type="dxa"/>
            <w:tcBorders>
              <w:bottom w:val="single" w:sz="4" w:space="0" w:color="auto"/>
            </w:tcBorders>
            <w:shd w:val="clear" w:color="auto" w:fill="auto"/>
          </w:tcPr>
          <w:p w14:paraId="56647F19" w14:textId="77777777" w:rsidR="00826B18" w:rsidRPr="00A90442" w:rsidRDefault="00826B18" w:rsidP="00826B18">
            <w:pPr>
              <w:pStyle w:val="CBDNormal"/>
            </w:pPr>
          </w:p>
        </w:tc>
        <w:tc>
          <w:tcPr>
            <w:tcW w:w="1337" w:type="dxa"/>
          </w:tcPr>
          <w:p w14:paraId="686CC4AF" w14:textId="77777777" w:rsidR="00826B18" w:rsidRPr="00A90442" w:rsidRDefault="00826B18" w:rsidP="00826B18">
            <w:pPr>
              <w:pStyle w:val="CBDNormal"/>
            </w:pPr>
          </w:p>
        </w:tc>
        <w:tc>
          <w:tcPr>
            <w:tcW w:w="1337" w:type="dxa"/>
          </w:tcPr>
          <w:p w14:paraId="2FC26F47" w14:textId="77777777" w:rsidR="00826B18" w:rsidRPr="00A90442" w:rsidRDefault="00826B18" w:rsidP="00826B18">
            <w:pPr>
              <w:pStyle w:val="CBDNormal"/>
            </w:pPr>
          </w:p>
        </w:tc>
        <w:tc>
          <w:tcPr>
            <w:tcW w:w="1338" w:type="dxa"/>
          </w:tcPr>
          <w:p w14:paraId="5133BA61" w14:textId="77777777" w:rsidR="00826B18" w:rsidRPr="00A90442" w:rsidRDefault="00826B18" w:rsidP="00826B18">
            <w:pPr>
              <w:pStyle w:val="CBDNormal"/>
            </w:pPr>
          </w:p>
        </w:tc>
      </w:tr>
    </w:tbl>
    <w:p w14:paraId="610563D5" w14:textId="44F4DE6B" w:rsidR="00826B18" w:rsidRPr="00A90442" w:rsidRDefault="00826B18" w:rsidP="00826B18">
      <w:pPr>
        <w:pStyle w:val="CBDNormal"/>
      </w:pPr>
    </w:p>
    <w:sectPr w:rsidR="00826B18" w:rsidRPr="00A90442" w:rsidSect="00826B18">
      <w:headerReference w:type="even" r:id="rId15"/>
      <w:headerReference w:type="default" r:id="rId16"/>
      <w:footerReference w:type="even" r:id="rId17"/>
      <w:footerReference w:type="default" r:id="rId18"/>
      <w:headerReference w:type="first" r:id="rId19"/>
      <w:foot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F613" w14:textId="77777777" w:rsidR="00732DC5" w:rsidRPr="00A90442" w:rsidRDefault="00732DC5" w:rsidP="00826B18">
      <w:r w:rsidRPr="00A90442">
        <w:separator/>
      </w:r>
    </w:p>
  </w:endnote>
  <w:endnote w:type="continuationSeparator" w:id="0">
    <w:p w14:paraId="2B198025" w14:textId="77777777" w:rsidR="00732DC5" w:rsidRPr="00A90442" w:rsidRDefault="00732DC5" w:rsidP="00826B18">
      <w:r w:rsidRPr="00A90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A90442" w:rsidRDefault="00826B18" w:rsidP="00826B18">
    <w:pPr>
      <w:pStyle w:val="Footer"/>
    </w:pPr>
    <w:r w:rsidRPr="00A90442">
      <w:fldChar w:fldCharType="begin"/>
    </w:r>
    <w:r w:rsidRPr="00A90442">
      <w:instrText xml:space="preserve"> PAGE </w:instrText>
    </w:r>
    <w:r w:rsidRPr="00A90442">
      <w:fldChar w:fldCharType="separate"/>
    </w:r>
    <w:r w:rsidRPr="00A90442">
      <w:rPr>
        <w:noProof/>
      </w:rPr>
      <w:t>1</w:t>
    </w:r>
    <w:r w:rsidRPr="00A90442">
      <w:fldChar w:fldCharType="end"/>
    </w:r>
    <w:r w:rsidRPr="00A90442">
      <w:t>/</w:t>
    </w:r>
    <w:fldSimple w:instr=" NUMPAGES \* MERGEFORMAT ">
      <w:r w:rsidRPr="00A90442">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A90442" w:rsidRDefault="00826B18" w:rsidP="00826B18">
    <w:pPr>
      <w:pStyle w:val="CBDFooter"/>
      <w:jc w:val="right"/>
    </w:pPr>
    <w:r w:rsidRPr="00A90442">
      <w:fldChar w:fldCharType="begin"/>
    </w:r>
    <w:r w:rsidRPr="00A90442">
      <w:instrText xml:space="preserve"> PAGE \* MERGEFORMAT </w:instrText>
    </w:r>
    <w:r w:rsidRPr="00A90442">
      <w:fldChar w:fldCharType="separate"/>
    </w:r>
    <w:r w:rsidRPr="00A90442">
      <w:rPr>
        <w:noProof/>
      </w:rPr>
      <w:t>1</w:t>
    </w:r>
    <w:r w:rsidRPr="00A90442">
      <w:fldChar w:fldCharType="end"/>
    </w:r>
    <w:r w:rsidRPr="00A90442">
      <w:t>/</w:t>
    </w:r>
    <w:fldSimple w:instr=" NUMPAGES \* MERGEFORMAT ">
      <w:r w:rsidRPr="00A90442">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5486BCFE" w:rsidR="00826B18" w:rsidRPr="00A90442" w:rsidRDefault="00826B18" w:rsidP="00826B18">
    <w:pPr>
      <w:pStyle w:val="CBDNormal"/>
    </w:pPr>
    <w:r w:rsidRPr="00A904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8363" w14:textId="77777777" w:rsidR="00732DC5" w:rsidRPr="00A90442" w:rsidRDefault="00732DC5" w:rsidP="000D063F">
      <w:pPr>
        <w:pStyle w:val="CBDNormal"/>
      </w:pPr>
      <w:r>
        <w:separator/>
      </w:r>
    </w:p>
  </w:footnote>
  <w:footnote w:type="continuationSeparator" w:id="0">
    <w:p w14:paraId="61D0218E" w14:textId="77777777" w:rsidR="00732DC5" w:rsidRPr="00A90442" w:rsidRDefault="00732DC5" w:rsidP="000D063F">
      <w:pPr>
        <w:pStyle w:val="CBDNormal"/>
      </w:pPr>
      <w:r w:rsidRPr="00A90442">
        <w:continuationSeparator/>
      </w:r>
    </w:p>
  </w:footnote>
  <w:footnote w:type="continuationNotice" w:id="1">
    <w:p w14:paraId="1BC2A6AD" w14:textId="77777777" w:rsidR="00732DC5" w:rsidRDefault="00732DC5" w:rsidP="000D063F">
      <w:pPr>
        <w:pStyle w:val="CBDNormal"/>
      </w:pPr>
    </w:p>
  </w:footnote>
  <w:footnote w:id="2">
    <w:p w14:paraId="3BA980D1" w14:textId="277DCC82" w:rsidR="00E8218C" w:rsidRPr="00A90442" w:rsidRDefault="00435BF3" w:rsidP="000D063F">
      <w:pPr>
        <w:pStyle w:val="CBDFootnoteText"/>
      </w:pPr>
      <w:r w:rsidRPr="00A90442">
        <w:rPr>
          <w:rStyle w:val="FootnoteReference"/>
          <w:szCs w:val="18"/>
        </w:rPr>
        <w:footnoteRef/>
      </w:r>
      <w:r w:rsidR="00E8218C" w:rsidRPr="00A90442">
        <w:t xml:space="preserve"> In accordance with paragraph 1 of Article 14 of the </w:t>
      </w:r>
      <w:r w:rsidR="00E8218C" w:rsidRPr="00A90442">
        <w:rPr>
          <w:bCs/>
          <w:color w:val="000000" w:themeColor="text1"/>
        </w:rPr>
        <w:t xml:space="preserve">Nagoya-Kuala Lumpur </w:t>
      </w:r>
      <w:r w:rsidR="00E8218C" w:rsidRPr="00A90442">
        <w:t>Supplementary Protocol, and subject to paragraph</w:t>
      </w:r>
      <w:r w:rsidR="001E0F9C">
        <w:t> </w:t>
      </w:r>
      <w:r w:rsidR="00E8218C" w:rsidRPr="00A90442">
        <w:t>2 of Article</w:t>
      </w:r>
      <w:r w:rsidR="00945F92" w:rsidRPr="00A90442">
        <w:t xml:space="preserve"> </w:t>
      </w:r>
      <w:r w:rsidR="00E8218C" w:rsidRPr="00A90442">
        <w:t>32 of the Convention</w:t>
      </w:r>
      <w:r w:rsidR="00040589">
        <w:t xml:space="preserve"> on Biological Diversity</w:t>
      </w:r>
      <w:r w:rsidR="00E8218C" w:rsidRPr="00A90442">
        <w:t xml:space="preserve">, the Conference of the Parties serving as the meeting of the Parties to the </w:t>
      </w:r>
      <w:r w:rsidR="00DD4D6C">
        <w:t xml:space="preserve">Cartagena </w:t>
      </w:r>
      <w:r w:rsidR="00E8218C" w:rsidRPr="00A90442">
        <w:t>Protocol serve</w:t>
      </w:r>
      <w:r w:rsidR="00040589">
        <w:t>s</w:t>
      </w:r>
      <w:r w:rsidR="00E8218C" w:rsidRPr="00A90442">
        <w:t xml:space="preserve"> as the meeting of the Parties to the Supplementary Protocol. Consequently, the present decision has been adopted by the Parties to the Supplementary Protocol.</w:t>
      </w:r>
    </w:p>
  </w:footnote>
  <w:footnote w:id="3">
    <w:p w14:paraId="70BFB13B" w14:textId="201B6C33" w:rsidR="00E8218C" w:rsidRPr="00A90442" w:rsidRDefault="00435BF3" w:rsidP="000D063F">
      <w:pPr>
        <w:pStyle w:val="CBDFootnoteText"/>
      </w:pPr>
      <w:r w:rsidRPr="00A90442">
        <w:rPr>
          <w:rStyle w:val="FootnoteReference"/>
        </w:rPr>
        <w:footnoteRef/>
      </w:r>
      <w:r w:rsidR="00E8218C" w:rsidRPr="00A90442">
        <w:t xml:space="preserve"> Decision </w:t>
      </w:r>
      <w:hyperlink r:id="rId1" w:history="1">
        <w:r w:rsidR="00E8218C" w:rsidRPr="00C8118D">
          <w:rPr>
            <w:rStyle w:val="Hyperlink"/>
          </w:rPr>
          <w:t>CP-10/3</w:t>
        </w:r>
      </w:hyperlink>
      <w:r w:rsidR="00E8218C" w:rsidRPr="00A90442">
        <w:t>, annex.</w:t>
      </w:r>
    </w:p>
  </w:footnote>
  <w:footnote w:id="4">
    <w:p w14:paraId="04FF2670" w14:textId="57129341" w:rsidR="00E8218C" w:rsidRPr="00A90442" w:rsidRDefault="00435BF3" w:rsidP="000D063F">
      <w:pPr>
        <w:pStyle w:val="CBDFootnoteText"/>
      </w:pPr>
      <w:r w:rsidRPr="00A90442">
        <w:rPr>
          <w:rStyle w:val="FootnoteReference"/>
        </w:rPr>
        <w:footnoteRef/>
      </w:r>
      <w:r w:rsidR="00E8218C" w:rsidRPr="00A90442">
        <w:t xml:space="preserve"> Decision </w:t>
      </w:r>
      <w:hyperlink r:id="rId2" w:history="1">
        <w:r w:rsidR="00E8218C" w:rsidRPr="000869F6">
          <w:rPr>
            <w:rStyle w:val="Hyperlink"/>
          </w:rPr>
          <w:t>CP-10/4</w:t>
        </w:r>
      </w:hyperlink>
      <w:r w:rsidR="00E8218C" w:rsidRPr="00A90442">
        <w:t>, annex.</w:t>
      </w:r>
    </w:p>
  </w:footnote>
  <w:footnote w:id="5">
    <w:p w14:paraId="4B724FDB" w14:textId="7EA7FD53" w:rsidR="00E8218C" w:rsidRPr="00A90442" w:rsidRDefault="00435BF3" w:rsidP="000D063F">
      <w:pPr>
        <w:pStyle w:val="CBDFootnoteText"/>
      </w:pPr>
      <w:r w:rsidRPr="00A90442">
        <w:rPr>
          <w:rStyle w:val="FootnoteReference"/>
        </w:rPr>
        <w:footnoteRef/>
      </w:r>
      <w:r w:rsidR="00E8218C" w:rsidRPr="00A90442">
        <w:t xml:space="preserve"> United Nations, </w:t>
      </w:r>
      <w:r w:rsidR="00E8218C" w:rsidRPr="00A90442">
        <w:rPr>
          <w:i/>
          <w:iCs/>
        </w:rPr>
        <w:t>Treaty Series</w:t>
      </w:r>
      <w:r w:rsidR="00E8218C" w:rsidRPr="00A90442">
        <w:t>, vol. 2226, No. 30619.</w:t>
      </w:r>
    </w:p>
  </w:footnote>
  <w:footnote w:id="6">
    <w:p w14:paraId="7B6E7519" w14:textId="0DAE5BC1" w:rsidR="00E8218C" w:rsidRPr="00A90442" w:rsidRDefault="00435BF3" w:rsidP="000D063F">
      <w:pPr>
        <w:pStyle w:val="CBDFootnoteText"/>
      </w:pPr>
      <w:r w:rsidRPr="00A90442">
        <w:rPr>
          <w:rStyle w:val="FootnoteReference"/>
        </w:rPr>
        <w:footnoteRef/>
      </w:r>
      <w:r w:rsidR="00E8218C" w:rsidRPr="00A90442">
        <w:t xml:space="preserve"> See United Nations Environment Programme, document UNEP/CBD/BS/COP-MOP/5/17, annex, decision BS-V/11.</w:t>
      </w:r>
    </w:p>
  </w:footnote>
  <w:footnote w:id="7">
    <w:p w14:paraId="5FE7B53A" w14:textId="642CC9E2" w:rsidR="00D750BA" w:rsidRPr="000D063F" w:rsidRDefault="00D750BA">
      <w:pPr>
        <w:pStyle w:val="FootnoteText"/>
        <w:rPr>
          <w:lang w:val="en-US"/>
        </w:rPr>
      </w:pPr>
      <w:r>
        <w:rPr>
          <w:rStyle w:val="FootnoteReference"/>
        </w:rPr>
        <w:footnoteRef/>
      </w:r>
      <w:r>
        <w:t xml:space="preserve"> </w:t>
      </w:r>
      <w:r w:rsidRPr="00D750BA">
        <w:t xml:space="preserve">United Nations, </w:t>
      </w:r>
      <w:r w:rsidRPr="000D063F">
        <w:rPr>
          <w:i/>
          <w:iCs/>
        </w:rPr>
        <w:t>Treaty Series</w:t>
      </w:r>
      <w:r w:rsidRPr="00D750BA">
        <w:t>, vol. 1760, No. 30619.</w:t>
      </w:r>
    </w:p>
  </w:footnote>
  <w:footnote w:id="8">
    <w:p w14:paraId="578F398A" w14:textId="29EBDABF" w:rsidR="00E8218C" w:rsidRPr="00A90442" w:rsidRDefault="00435BF3" w:rsidP="000D063F">
      <w:pPr>
        <w:pStyle w:val="CBDFootnoteText"/>
      </w:pPr>
      <w:r w:rsidRPr="00A90442">
        <w:rPr>
          <w:rStyle w:val="FootnoteReference"/>
          <w:szCs w:val="18"/>
        </w:rPr>
        <w:footnoteRef/>
      </w:r>
      <w:r w:rsidR="00E8218C" w:rsidRPr="00A90442">
        <w:t xml:space="preserve"> See decision </w:t>
      </w:r>
      <w:hyperlink r:id="rId3" w:history="1">
        <w:r w:rsidR="00E8218C" w:rsidRPr="000869F6">
          <w:rPr>
            <w:rStyle w:val="Hyperlink"/>
          </w:rPr>
          <w:t>CP-10/13</w:t>
        </w:r>
      </w:hyperlink>
      <w:r w:rsidR="00E8218C" w:rsidRPr="00A90442">
        <w:t>, para.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6063E918" w:rsidR="00826B18" w:rsidRPr="00A90442" w:rsidRDefault="008F7931" w:rsidP="00826B18">
    <w:pPr>
      <w:pStyle w:val="CBDHeader"/>
    </w:pPr>
    <w:fldSimple w:instr=" DOCPROPERTY Subject \* MERGEFORMAT ">
      <w:r w:rsidRPr="00A90442">
        <w:t>CBD/CP/MOP/DEC/11/10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02AAE867" w:rsidR="00826B18" w:rsidRPr="00A90442" w:rsidRDefault="00826B18" w:rsidP="00826B18">
    <w:pPr>
      <w:pStyle w:val="CBDHeader"/>
      <w:jc w:val="right"/>
    </w:pPr>
    <w:fldSimple w:instr=" DOCPROPERTY Subject \* MERGEFORMAT ">
      <w:r w:rsidRPr="00A90442">
        <w:t>CBD/CP/MOP/DEC/11/--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293B625D" w:rsidR="00826B18" w:rsidRPr="00A90442" w:rsidRDefault="00826B18" w:rsidP="00826B18">
    <w:pPr>
      <w:pStyle w:val="CBDNormal"/>
    </w:pPr>
    <w:r w:rsidRPr="00A904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0EE5"/>
    <w:rsid w:val="000029C5"/>
    <w:rsid w:val="00040589"/>
    <w:rsid w:val="00057C5B"/>
    <w:rsid w:val="000869F6"/>
    <w:rsid w:val="000A08D6"/>
    <w:rsid w:val="000D063F"/>
    <w:rsid w:val="00196315"/>
    <w:rsid w:val="001E0F9C"/>
    <w:rsid w:val="002117EA"/>
    <w:rsid w:val="00293C00"/>
    <w:rsid w:val="002A39E3"/>
    <w:rsid w:val="002D5795"/>
    <w:rsid w:val="00397F3A"/>
    <w:rsid w:val="00435BF3"/>
    <w:rsid w:val="00452317"/>
    <w:rsid w:val="00484516"/>
    <w:rsid w:val="00490F5A"/>
    <w:rsid w:val="005114A3"/>
    <w:rsid w:val="00550390"/>
    <w:rsid w:val="00582BB6"/>
    <w:rsid w:val="00595BE5"/>
    <w:rsid w:val="005E56DE"/>
    <w:rsid w:val="006119A2"/>
    <w:rsid w:val="006C2EE6"/>
    <w:rsid w:val="00732DC5"/>
    <w:rsid w:val="007728C6"/>
    <w:rsid w:val="00794100"/>
    <w:rsid w:val="007A3383"/>
    <w:rsid w:val="007B0240"/>
    <w:rsid w:val="007C4D34"/>
    <w:rsid w:val="007C54BD"/>
    <w:rsid w:val="00826B18"/>
    <w:rsid w:val="008E6FA1"/>
    <w:rsid w:val="008F7931"/>
    <w:rsid w:val="009009BD"/>
    <w:rsid w:val="009143CB"/>
    <w:rsid w:val="00931DB0"/>
    <w:rsid w:val="009443D7"/>
    <w:rsid w:val="00945F92"/>
    <w:rsid w:val="0095710A"/>
    <w:rsid w:val="00991490"/>
    <w:rsid w:val="009956E9"/>
    <w:rsid w:val="00A90442"/>
    <w:rsid w:val="00AC04D9"/>
    <w:rsid w:val="00B81ADA"/>
    <w:rsid w:val="00BF487B"/>
    <w:rsid w:val="00C436E8"/>
    <w:rsid w:val="00C8118D"/>
    <w:rsid w:val="00CD38C0"/>
    <w:rsid w:val="00D750BA"/>
    <w:rsid w:val="00D822E7"/>
    <w:rsid w:val="00D851AA"/>
    <w:rsid w:val="00D85D24"/>
    <w:rsid w:val="00D86DC7"/>
    <w:rsid w:val="00DA46A6"/>
    <w:rsid w:val="00DD4D6C"/>
    <w:rsid w:val="00E8218C"/>
    <w:rsid w:val="00F0526B"/>
    <w:rsid w:val="00F11076"/>
    <w:rsid w:val="00F7048E"/>
    <w:rsid w:val="00F85832"/>
    <w:rsid w:val="00FA2D36"/>
    <w:rsid w:val="00FB1A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42"/>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A90442"/>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90442"/>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90442"/>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90442"/>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90442"/>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9044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9044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9044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90442"/>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442"/>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A90442"/>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A90442"/>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A90442"/>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A90442"/>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A90442"/>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A90442"/>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A90442"/>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A90442"/>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basedOn w:val="Normal"/>
    <w:uiPriority w:val="34"/>
    <w:qFormat/>
    <w:rsid w:val="00A90442"/>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A90442"/>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A90442"/>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A90442"/>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90442"/>
    <w:rPr>
      <w:vertAlign w:val="superscript"/>
      <w:lang w:val="en-GB"/>
    </w:rPr>
  </w:style>
  <w:style w:type="paragraph" w:customStyle="1" w:styleId="Footnote">
    <w:name w:val="Footnote"/>
    <w:basedOn w:val="FootnoteText"/>
    <w:semiHidden/>
    <w:qFormat/>
    <w:rsid w:val="00A90442"/>
    <w:rPr>
      <w:szCs w:val="18"/>
    </w:rPr>
  </w:style>
  <w:style w:type="paragraph" w:styleId="Header">
    <w:name w:val="header"/>
    <w:basedOn w:val="Normal"/>
    <w:link w:val="HeaderChar"/>
    <w:semiHidden/>
    <w:rsid w:val="00A9044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A90442"/>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A90442"/>
    <w:pPr>
      <w:tabs>
        <w:tab w:val="center" w:pos="4680"/>
        <w:tab w:val="right" w:pos="9360"/>
      </w:tabs>
    </w:pPr>
    <w:rPr>
      <w:sz w:val="20"/>
    </w:rPr>
  </w:style>
  <w:style w:type="character" w:customStyle="1" w:styleId="FooterChar">
    <w:name w:val="Footer Char"/>
    <w:basedOn w:val="DefaultParagraphFont"/>
    <w:link w:val="Footer"/>
    <w:uiPriority w:val="99"/>
    <w:semiHidden/>
    <w:rsid w:val="00A90442"/>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A90442"/>
    <w:pPr>
      <w:spacing w:after="240"/>
    </w:pPr>
    <w:rPr>
      <w:b/>
      <w:sz w:val="28"/>
    </w:rPr>
  </w:style>
  <w:style w:type="paragraph" w:customStyle="1" w:styleId="ABSymbol">
    <w:name w:val="AB_Symbol"/>
    <w:basedOn w:val="Normal"/>
    <w:qFormat/>
    <w:rsid w:val="00A9044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90442"/>
    <w:pPr>
      <w:numPr>
        <w:numId w:val="4"/>
      </w:numPr>
      <w:tabs>
        <w:tab w:val="left" w:pos="3969"/>
      </w:tabs>
      <w:spacing w:before="120" w:after="120"/>
    </w:pPr>
  </w:style>
  <w:style w:type="paragraph" w:customStyle="1" w:styleId="AFCorNNormal">
    <w:name w:val="AF_CorNNormal"/>
    <w:basedOn w:val="Normal"/>
    <w:unhideWhenUsed/>
    <w:rsid w:val="00A90442"/>
    <w:pPr>
      <w:jc w:val="left"/>
    </w:pPr>
  </w:style>
  <w:style w:type="paragraph" w:customStyle="1" w:styleId="AEDistrNormal">
    <w:name w:val="AE_DistrNormal"/>
    <w:basedOn w:val="Normal"/>
    <w:unhideWhenUsed/>
    <w:rsid w:val="00A90442"/>
    <w:pPr>
      <w:jc w:val="left"/>
    </w:pPr>
  </w:style>
  <w:style w:type="paragraph" w:customStyle="1" w:styleId="AASmallLogo">
    <w:name w:val="AA_SmallLogo"/>
    <w:basedOn w:val="AEDistrNormal"/>
    <w:unhideWhenUsed/>
    <w:rsid w:val="00A90442"/>
    <w:pPr>
      <w:spacing w:before="40"/>
    </w:pPr>
    <w:rPr>
      <w:sz w:val="4"/>
    </w:rPr>
  </w:style>
  <w:style w:type="paragraph" w:customStyle="1" w:styleId="ACLargeLogo">
    <w:name w:val="AC_LargeLogo"/>
    <w:basedOn w:val="AFCorNNormal"/>
    <w:next w:val="AISpacer"/>
    <w:unhideWhenUsed/>
    <w:rsid w:val="00A90442"/>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90442"/>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0442"/>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A9044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90442"/>
    <w:rPr>
      <w:rFonts w:eastAsiaTheme="minorHAnsi"/>
      <w:sz w:val="22"/>
      <w:szCs w:val="22"/>
      <w:lang w:val="en-GB" w:eastAsia="en-US"/>
    </w:rPr>
  </w:style>
  <w:style w:type="character" w:styleId="CommentReference">
    <w:name w:val="annotation reference"/>
    <w:basedOn w:val="DefaultParagraphFont"/>
    <w:uiPriority w:val="99"/>
    <w:semiHidden/>
    <w:unhideWhenUsed/>
    <w:rsid w:val="00A90442"/>
    <w:rPr>
      <w:sz w:val="16"/>
      <w:szCs w:val="16"/>
      <w:lang w:val="en-GB"/>
    </w:rPr>
  </w:style>
  <w:style w:type="paragraph" w:styleId="CommentText">
    <w:name w:val="annotation text"/>
    <w:basedOn w:val="Normal"/>
    <w:link w:val="CommentTextChar"/>
    <w:uiPriority w:val="99"/>
    <w:semiHidden/>
    <w:rsid w:val="00A90442"/>
    <w:rPr>
      <w:sz w:val="20"/>
      <w:szCs w:val="20"/>
    </w:rPr>
  </w:style>
  <w:style w:type="character" w:customStyle="1" w:styleId="CommentTextChar">
    <w:name w:val="Comment Text Char"/>
    <w:basedOn w:val="DefaultParagraphFont"/>
    <w:link w:val="CommentText"/>
    <w:uiPriority w:val="99"/>
    <w:semiHidden/>
    <w:rsid w:val="00A90442"/>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A90442"/>
    <w:rPr>
      <w:b/>
      <w:bCs/>
    </w:rPr>
  </w:style>
  <w:style w:type="character" w:customStyle="1" w:styleId="CommentSubjectChar">
    <w:name w:val="Comment Subject Char"/>
    <w:basedOn w:val="CommentTextChar"/>
    <w:link w:val="CommentSubject"/>
    <w:uiPriority w:val="99"/>
    <w:semiHidden/>
    <w:rsid w:val="00A90442"/>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A90442"/>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9044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A90442"/>
    <w:pPr>
      <w:contextualSpacing/>
    </w:pPr>
  </w:style>
  <w:style w:type="numbering" w:customStyle="1" w:styleId="ListCBD">
    <w:name w:val="ListCBD"/>
    <w:basedOn w:val="NoList"/>
    <w:uiPriority w:val="99"/>
    <w:rsid w:val="00A90442"/>
    <w:pPr>
      <w:numPr>
        <w:numId w:val="2"/>
      </w:numPr>
    </w:pPr>
  </w:style>
  <w:style w:type="numbering" w:customStyle="1" w:styleId="CBDHeadings">
    <w:name w:val="CBD_Headings"/>
    <w:basedOn w:val="ListCBD"/>
    <w:uiPriority w:val="99"/>
    <w:rsid w:val="00A90442"/>
    <w:pPr>
      <w:numPr>
        <w:numId w:val="3"/>
      </w:numPr>
    </w:pPr>
  </w:style>
  <w:style w:type="paragraph" w:customStyle="1" w:styleId="AISpacer">
    <w:name w:val="AI_Spacer"/>
    <w:next w:val="Normal"/>
    <w:unhideWhenUsed/>
    <w:qFormat/>
    <w:rsid w:val="00A90442"/>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A90442"/>
    <w:pPr>
      <w:spacing w:before="120"/>
    </w:pPr>
  </w:style>
  <w:style w:type="paragraph" w:customStyle="1" w:styleId="AFCorNBold">
    <w:name w:val="AF_CorNBold"/>
    <w:basedOn w:val="AFCorNNormal"/>
    <w:next w:val="AFCorNNormal"/>
    <w:unhideWhenUsed/>
    <w:qFormat/>
    <w:rsid w:val="00A90442"/>
    <w:rPr>
      <w:b/>
    </w:rPr>
  </w:style>
  <w:style w:type="paragraph" w:customStyle="1" w:styleId="AFCorN12Bold">
    <w:name w:val="AF_CorN12Bold"/>
    <w:basedOn w:val="AFCorNNormal"/>
    <w:next w:val="AFCorNNormal"/>
    <w:unhideWhenUsed/>
    <w:qFormat/>
    <w:rsid w:val="00A90442"/>
    <w:rPr>
      <w:b/>
      <w:sz w:val="24"/>
    </w:rPr>
  </w:style>
  <w:style w:type="paragraph" w:customStyle="1" w:styleId="CBDAgendaItem">
    <w:name w:val="CBD_AgendaItem"/>
    <w:basedOn w:val="Normal"/>
    <w:qFormat/>
    <w:rsid w:val="00A90442"/>
    <w:pPr>
      <w:keepNext/>
      <w:keepLines/>
      <w:spacing w:before="240" w:after="120"/>
      <w:jc w:val="left"/>
    </w:pPr>
    <w:rPr>
      <w:b/>
      <w:sz w:val="24"/>
    </w:rPr>
  </w:style>
  <w:style w:type="paragraph" w:customStyle="1" w:styleId="CBDDesicionText">
    <w:name w:val="CBD_DesicionText"/>
    <w:basedOn w:val="CBDNormal"/>
    <w:qFormat/>
    <w:rsid w:val="00A90442"/>
    <w:pPr>
      <w:spacing w:after="120"/>
      <w:ind w:left="567" w:firstLine="567"/>
    </w:pPr>
  </w:style>
  <w:style w:type="paragraph" w:customStyle="1" w:styleId="CBDDesicionAnnex">
    <w:name w:val="CBD_DesicionAnnex"/>
    <w:basedOn w:val="CBDNormal"/>
    <w:next w:val="CBDDesicionText"/>
    <w:qFormat/>
    <w:rsid w:val="00A9044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90442"/>
    <w:rPr>
      <w:rFonts w:ascii="Times New Roman" w:hAnsi="Times New Roman"/>
      <w:color w:val="467886" w:themeColor="hyperlink"/>
      <w:u w:val="single"/>
      <w:lang w:val="en-GB"/>
    </w:rPr>
  </w:style>
  <w:style w:type="paragraph" w:customStyle="1" w:styleId="CBDAnnex">
    <w:name w:val="CBD_Annex"/>
    <w:basedOn w:val="CBDNormal"/>
    <w:next w:val="CBDTitle"/>
    <w:qFormat/>
    <w:rsid w:val="00A90442"/>
    <w:pPr>
      <w:keepNext/>
      <w:keepLines/>
      <w:spacing w:after="240"/>
      <w:jc w:val="left"/>
    </w:pPr>
    <w:rPr>
      <w:b/>
      <w:sz w:val="28"/>
      <w:lang w:bidi="ar-SY"/>
    </w:rPr>
  </w:style>
  <w:style w:type="paragraph" w:customStyle="1" w:styleId="CBDSubTitle">
    <w:name w:val="CBD_SubTitle"/>
    <w:basedOn w:val="CBDNormal"/>
    <w:qFormat/>
    <w:rsid w:val="00A90442"/>
    <w:pPr>
      <w:keepNext/>
      <w:keepLines/>
      <w:spacing w:before="240" w:after="240"/>
      <w:ind w:left="567"/>
      <w:jc w:val="left"/>
    </w:pPr>
    <w:rPr>
      <w:b/>
    </w:rPr>
  </w:style>
  <w:style w:type="paragraph" w:customStyle="1" w:styleId="CBDTitle">
    <w:name w:val="CBD_Title"/>
    <w:basedOn w:val="CBDNormal"/>
    <w:next w:val="CBDSubTitle"/>
    <w:qFormat/>
    <w:rsid w:val="00A90442"/>
    <w:pPr>
      <w:keepNext/>
      <w:keepLines/>
      <w:spacing w:before="240" w:after="240"/>
      <w:ind w:left="567"/>
      <w:jc w:val="left"/>
    </w:pPr>
    <w:rPr>
      <w:b/>
      <w:sz w:val="28"/>
    </w:rPr>
  </w:style>
  <w:style w:type="paragraph" w:customStyle="1" w:styleId="AENormal">
    <w:name w:val="AE_Normal"/>
    <w:basedOn w:val="Normal"/>
    <w:rsid w:val="00A90442"/>
  </w:style>
  <w:style w:type="paragraph" w:customStyle="1" w:styleId="CBDH1">
    <w:name w:val="CBD_H1"/>
    <w:basedOn w:val="CBDNormal"/>
    <w:qFormat/>
    <w:rsid w:val="00A90442"/>
    <w:pPr>
      <w:keepNext/>
      <w:keepLines/>
      <w:spacing w:before="240" w:after="120"/>
      <w:ind w:left="567" w:hanging="567"/>
      <w:jc w:val="left"/>
      <w:outlineLvl w:val="0"/>
    </w:pPr>
    <w:rPr>
      <w:b/>
      <w:sz w:val="28"/>
    </w:rPr>
  </w:style>
  <w:style w:type="paragraph" w:customStyle="1" w:styleId="CBDH2">
    <w:name w:val="CBD_H2"/>
    <w:basedOn w:val="CBDNormalNumber"/>
    <w:qFormat/>
    <w:rsid w:val="00A90442"/>
    <w:pPr>
      <w:keepNext/>
      <w:keepLines/>
      <w:numPr>
        <w:numId w:val="0"/>
      </w:numPr>
      <w:ind w:left="567" w:hanging="567"/>
    </w:pPr>
    <w:rPr>
      <w:b/>
      <w:sz w:val="24"/>
    </w:rPr>
  </w:style>
  <w:style w:type="paragraph" w:customStyle="1" w:styleId="CBDFootnoteText">
    <w:name w:val="CBD_Footnote_Text"/>
    <w:basedOn w:val="CBDNormal"/>
    <w:qFormat/>
    <w:rsid w:val="00A90442"/>
    <w:pPr>
      <w:jc w:val="left"/>
    </w:pPr>
    <w:rPr>
      <w:sz w:val="18"/>
    </w:rPr>
  </w:style>
  <w:style w:type="paragraph" w:customStyle="1" w:styleId="CBDFooter">
    <w:name w:val="CBD_Footer"/>
    <w:basedOn w:val="CBDNormal"/>
    <w:qFormat/>
    <w:rsid w:val="00A90442"/>
    <w:rPr>
      <w:sz w:val="20"/>
    </w:rPr>
  </w:style>
  <w:style w:type="paragraph" w:customStyle="1" w:styleId="CBDHeader">
    <w:name w:val="CBD_Header"/>
    <w:basedOn w:val="CBDNormal"/>
    <w:next w:val="CBDFooter"/>
    <w:qFormat/>
    <w:rsid w:val="00A9044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90442"/>
    <w:pPr>
      <w:keepNext/>
      <w:keepLines/>
      <w:spacing w:before="120" w:after="120"/>
      <w:ind w:left="567" w:hanging="567"/>
      <w:jc w:val="left"/>
    </w:pPr>
    <w:rPr>
      <w:b/>
    </w:rPr>
  </w:style>
  <w:style w:type="paragraph" w:customStyle="1" w:styleId="CBDH4">
    <w:name w:val="CBD_H4"/>
    <w:basedOn w:val="CBDNormal"/>
    <w:rsid w:val="00A90442"/>
    <w:pPr>
      <w:keepNext/>
      <w:keepLines/>
      <w:spacing w:before="120" w:after="120"/>
      <w:ind w:left="567" w:hanging="567"/>
      <w:jc w:val="left"/>
    </w:pPr>
    <w:rPr>
      <w:b/>
    </w:rPr>
  </w:style>
  <w:style w:type="paragraph" w:customStyle="1" w:styleId="CBDH5">
    <w:name w:val="CBD_H5"/>
    <w:basedOn w:val="CBDNormal"/>
    <w:qFormat/>
    <w:rsid w:val="00A90442"/>
    <w:pPr>
      <w:keepNext/>
      <w:keepLines/>
      <w:spacing w:before="120" w:after="120"/>
      <w:ind w:left="567" w:hanging="567"/>
      <w:jc w:val="left"/>
    </w:pPr>
    <w:rPr>
      <w:i/>
    </w:rPr>
  </w:style>
  <w:style w:type="paragraph" w:customStyle="1" w:styleId="CBDTableNormal">
    <w:name w:val="CBD_TableNormal"/>
    <w:basedOn w:val="CBDNormal"/>
    <w:qFormat/>
    <w:rsid w:val="00A90442"/>
    <w:pPr>
      <w:spacing w:before="40" w:after="80"/>
      <w:jc w:val="left"/>
    </w:pPr>
    <w:rPr>
      <w:sz w:val="20"/>
    </w:rPr>
  </w:style>
  <w:style w:type="paragraph" w:customStyle="1" w:styleId="CBDTableTitle">
    <w:name w:val="CBD_TableTitle"/>
    <w:basedOn w:val="CBDNormal"/>
    <w:qFormat/>
    <w:rsid w:val="00A90442"/>
    <w:pPr>
      <w:keepNext/>
      <w:keepLines/>
      <w:spacing w:before="120" w:after="60"/>
      <w:ind w:left="567"/>
      <w:jc w:val="left"/>
    </w:pPr>
    <w:rPr>
      <w:b/>
    </w:rPr>
  </w:style>
  <w:style w:type="paragraph" w:customStyle="1" w:styleId="CBDFigureTitle">
    <w:name w:val="CBD_FigureTitle"/>
    <w:basedOn w:val="CBDNormal"/>
    <w:next w:val="CBDNormalNoNumber"/>
    <w:qFormat/>
    <w:rsid w:val="00A90442"/>
    <w:pPr>
      <w:keepNext/>
      <w:keepLines/>
      <w:spacing w:before="120" w:after="60"/>
      <w:ind w:left="567"/>
      <w:jc w:val="left"/>
    </w:pPr>
    <w:rPr>
      <w:b/>
    </w:rPr>
  </w:style>
  <w:style w:type="paragraph" w:styleId="TOC1">
    <w:name w:val="toc 1"/>
    <w:basedOn w:val="CBDNormal"/>
    <w:next w:val="Normal"/>
    <w:autoRedefine/>
    <w:uiPriority w:val="39"/>
    <w:unhideWhenUsed/>
    <w:rsid w:val="00A9044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9044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9044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9044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13-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p-mop-10/cp-mop-10-dec-13-en.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ecisions/mop/?m=cp-mop-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133A16"/>
    <w:rsid w:val="00196315"/>
    <w:rsid w:val="002D5795"/>
    <w:rsid w:val="0031489D"/>
    <w:rsid w:val="00536289"/>
    <w:rsid w:val="00595BE5"/>
    <w:rsid w:val="005A5800"/>
    <w:rsid w:val="005E56DE"/>
    <w:rsid w:val="00710750"/>
    <w:rsid w:val="007C4D34"/>
    <w:rsid w:val="0086320A"/>
    <w:rsid w:val="00B81ADA"/>
    <w:rsid w:val="00C436E8"/>
    <w:rsid w:val="00CC223B"/>
    <w:rsid w:val="00D87B6D"/>
    <w:rsid w:val="00DA46A6"/>
    <w:rsid w:val="00F11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3.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555</Words>
  <Characters>3325</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25 October 2024</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25 October 2024</dc:title>
  <dc:subject>CBD/CP/MOP/DEC/11/10</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4</cp:revision>
  <dcterms:created xsi:type="dcterms:W3CDTF">2025-02-17T14:16:00Z</dcterms:created>
  <dcterms:modified xsi:type="dcterms:W3CDTF">2025-02-17T14:17:00Z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