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14:paraId="5CBC74AE" w14:textId="77777777" w:rsidTr="00A43334">
        <w:trPr>
          <w:trHeight w:val="850"/>
        </w:trPr>
        <w:tc>
          <w:tcPr>
            <w:tcW w:w="975" w:type="dxa"/>
            <w:shd w:val="clear" w:color="auto" w:fill="auto"/>
            <w:vAlign w:val="bottom"/>
          </w:tcPr>
          <w:p w14:paraId="6D24D026" w14:textId="77777777" w:rsidR="00A43334" w:rsidRDefault="00A43334" w:rsidP="00A43334">
            <w:pPr>
              <w:pStyle w:val="AASmallLogo"/>
            </w:pPr>
            <w:r>
              <w:rPr>
                <w:noProof/>
              </w:rPr>
              <w:drawing>
                <wp:inline distT="0" distB="0" distL="0" distR="0" wp14:anchorId="5CD2063A" wp14:editId="1566DE31">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975" w:type="dxa"/>
            <w:shd w:val="clear" w:color="auto" w:fill="auto"/>
            <w:noWrap/>
            <w:vAlign w:val="bottom"/>
          </w:tcPr>
          <w:p w14:paraId="4584A671" w14:textId="1E8E9DDB" w:rsidR="00A43334" w:rsidRDefault="00753C42" w:rsidP="00A43334">
            <w:pPr>
              <w:pStyle w:val="AASmallLogo"/>
            </w:pPr>
            <w:r>
              <w:rPr>
                <w:noProof/>
                <w14:ligatures w14:val="standardContextual"/>
              </w:rPr>
              <w:drawing>
                <wp:inline distT="0" distB="0" distL="0" distR="0" wp14:anchorId="604A9C7E" wp14:editId="296287FC">
                  <wp:extent cx="481965" cy="2768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1965" cy="276860"/>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8532" w:type="dxa"/>
            <w:shd w:val="clear" w:color="auto" w:fill="auto"/>
            <w:vAlign w:val="bottom"/>
          </w:tcPr>
          <w:p w14:paraId="3D14A9A2" w14:textId="0311C837" w:rsidR="00A43334" w:rsidRDefault="00A43334" w:rsidP="00A43334">
            <w:pPr>
              <w:pStyle w:val="ABSymbol"/>
            </w:pPr>
            <w:r>
              <w:rPr>
                <w:sz w:val="40"/>
              </w:rPr>
              <w:t>CBD</w:t>
            </w:r>
            <w:r>
              <w:t>/</w:t>
            </w:r>
            <w:bookmarkStart w:id="0" w:name="CBDSymbolPart2"/>
            <w:r>
              <w:t>CP/</w:t>
            </w:r>
            <w:bookmarkStart w:id="1" w:name="CBDSymbolPart3"/>
            <w:bookmarkEnd w:id="0"/>
            <w:r>
              <w:t>MOP/</w:t>
            </w:r>
            <w:bookmarkEnd w:id="1"/>
            <w:r w:rsidR="003B71A6">
              <w:t>DEC/</w:t>
            </w:r>
            <w:r>
              <w:t>11/</w:t>
            </w:r>
            <w:r w:rsidR="003B71A6">
              <w:t>10</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66AED557" w:rsidR="00A43334" w:rsidRDefault="00753C42" w:rsidP="00A43334">
            <w:pPr>
              <w:pStyle w:val="ACLargeLogo"/>
            </w:pPr>
            <w:r>
              <w:rPr>
                <w:noProof/>
                <w14:ligatures w14:val="standardContextual"/>
              </w:rPr>
              <w:drawing>
                <wp:inline distT="0" distB="0" distL="0" distR="0" wp14:anchorId="5C3B6A22" wp14:editId="6E637A08">
                  <wp:extent cx="2857500" cy="1076325"/>
                  <wp:effectExtent l="0" t="0" r="0" b="9525"/>
                  <wp:docPr id="5"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BD_logo_fr-CMYK-black [Conver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2B676D63" w:rsidR="00A43334" w:rsidRDefault="00A43334" w:rsidP="00A43334">
            <w:pPr>
              <w:pStyle w:val="AEDistrNormal"/>
            </w:pPr>
            <w:proofErr w:type="spellStart"/>
            <w:r>
              <w:t>Distr</w:t>
            </w:r>
            <w:proofErr w:type="spellEnd"/>
            <w:r>
              <w:t>.</w:t>
            </w:r>
            <w:r w:rsidR="000270C8">
              <w:t> </w:t>
            </w:r>
            <w:r>
              <w:t xml:space="preserve">: </w:t>
            </w:r>
            <w:r w:rsidR="003B71A6">
              <w:t>générale</w:t>
            </w:r>
            <w:r>
              <w:t xml:space="preserve"> </w:t>
            </w:r>
          </w:p>
          <w:p w14:paraId="446A838B" w14:textId="1A4ACD5B" w:rsidR="00A43334" w:rsidRDefault="00522528" w:rsidP="00753C42">
            <w:pPr>
              <w:pStyle w:val="AEDistrNormal"/>
            </w:pPr>
            <w:bookmarkStart w:id="2" w:name="CBDDistributionDate"/>
            <w:r>
              <w:t>2</w:t>
            </w:r>
            <w:r w:rsidR="00AA5604">
              <w:t>5</w:t>
            </w:r>
            <w:r>
              <w:t> octobre 2024</w:t>
            </w:r>
            <w:bookmarkEnd w:id="2"/>
            <w:r>
              <w:t xml:space="preserve"> </w:t>
            </w:r>
            <w:bookmarkStart w:id="3" w:name="CBDDistributionLanguage"/>
            <w:r w:rsidR="00753C42">
              <w:br/>
              <w:t>Français</w:t>
            </w:r>
            <w:r w:rsidR="00753C42">
              <w:br/>
            </w:r>
            <w:r w:rsidR="00A43334">
              <w:t xml:space="preserve">Original : </w:t>
            </w:r>
            <w:r w:rsidR="00753C42">
              <w:t>a</w:t>
            </w:r>
            <w:r w:rsidR="00A43334">
              <w:t>nglais</w:t>
            </w:r>
            <w:bookmarkEnd w:id="3"/>
            <w:r w:rsidR="00A43334">
              <w:t xml:space="preserve"> </w:t>
            </w:r>
          </w:p>
          <w:p w14:paraId="45454E40" w14:textId="77777777" w:rsidR="00A43334" w:rsidRDefault="00A43334" w:rsidP="00A43334">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14:paraId="6E7D2C1C" w14:textId="77777777" w:rsidTr="00A43334">
        <w:trPr>
          <w:trHeight w:val="57"/>
        </w:trPr>
        <w:tc>
          <w:tcPr>
            <w:tcW w:w="5244" w:type="dxa"/>
            <w:shd w:val="clear" w:color="auto" w:fill="auto"/>
          </w:tcPr>
          <w:p w14:paraId="050E0E6A" w14:textId="77777777" w:rsidR="00A43334" w:rsidRDefault="00A43334" w:rsidP="00A43334">
            <w:pPr>
              <w:pStyle w:val="AFCorNot12Bold"/>
            </w:pPr>
            <w:r>
              <w:t xml:space="preserve">Conférence des Parties à la Convention </w:t>
            </w:r>
            <w:bookmarkStart w:id="4" w:name="_Hlk190700224"/>
            <w:r>
              <w:t xml:space="preserve">sur la diversité biologique </w:t>
            </w:r>
            <w:bookmarkEnd w:id="4"/>
            <w:r>
              <w:t>siégeant en tant que réunion des Parties au Protocole de Cartagena sur la prévention des risques biotechnologiques</w:t>
            </w:r>
          </w:p>
          <w:p w14:paraId="074BA0D3" w14:textId="17600781" w:rsidR="00A43334" w:rsidRDefault="00A43334" w:rsidP="00A43334">
            <w:pPr>
              <w:pStyle w:val="AFCorNotBold"/>
            </w:pPr>
            <w:bookmarkStart w:id="5" w:name="CBDMeetingName2"/>
            <w:r>
              <w:t>Onzième réunion</w:t>
            </w:r>
            <w:bookmarkEnd w:id="5"/>
            <w:r>
              <w:t xml:space="preserve"> </w:t>
            </w:r>
          </w:p>
          <w:p w14:paraId="7B65677C" w14:textId="644D43D5" w:rsidR="00A43334" w:rsidRDefault="00A43334" w:rsidP="00A43334">
            <w:pPr>
              <w:pStyle w:val="AFCorNotNormal"/>
            </w:pPr>
            <w:bookmarkStart w:id="6" w:name="CBDMeetingVenueDate"/>
            <w:r>
              <w:t>Cali (Colombie), 21</w:t>
            </w:r>
            <w:r w:rsidR="000270C8">
              <w:t> </w:t>
            </w:r>
            <w:r>
              <w:t>octobre–1</w:t>
            </w:r>
            <w:r>
              <w:rPr>
                <w:vertAlign w:val="superscript"/>
              </w:rPr>
              <w:t>er</w:t>
            </w:r>
            <w:r w:rsidR="000270C8">
              <w:rPr>
                <w:vertAlign w:val="superscript"/>
              </w:rPr>
              <w:t> </w:t>
            </w:r>
            <w:r>
              <w:t>novembre 2024</w:t>
            </w:r>
            <w:bookmarkEnd w:id="6"/>
            <w:r>
              <w:t xml:space="preserve"> </w:t>
            </w:r>
          </w:p>
          <w:p w14:paraId="7C400005" w14:textId="69D98971" w:rsidR="00A43334" w:rsidRDefault="00B161EB" w:rsidP="00A43334">
            <w:pPr>
              <w:pStyle w:val="AFCorNotNormal"/>
            </w:pPr>
            <w:bookmarkStart w:id="7" w:name="CBDMeetingAgendaItem"/>
            <w:r>
              <w:t>Point</w:t>
            </w:r>
            <w:r w:rsidR="000270C8">
              <w:t> </w:t>
            </w:r>
            <w:r>
              <w:t>14 de l’ordre du jour</w:t>
            </w:r>
            <w:bookmarkEnd w:id="7"/>
          </w:p>
          <w:p w14:paraId="21E984D8" w14:textId="445D1D1C" w:rsidR="00A43334" w:rsidRDefault="00323A5C" w:rsidP="00323A5C">
            <w:pPr>
              <w:pStyle w:val="AFCorNotBold"/>
              <w:jc w:val="left"/>
            </w:pPr>
            <w:bookmarkStart w:id="8" w:name="CBDMeetingAgendaTitle"/>
            <w:r>
              <w:t>Protocole additionnel de Nagoya-Kuala Lumpur sur la responsabilité et la réparation</w:t>
            </w:r>
            <w:bookmarkEnd w:id="8"/>
          </w:p>
          <w:p w14:paraId="3E4DC94F" w14:textId="57A7CE4D" w:rsidR="00C60B91" w:rsidRPr="00C60B91" w:rsidRDefault="00C60B91" w:rsidP="00C60B91">
            <w:pPr>
              <w:pStyle w:val="AFCorNotNormal"/>
            </w:pPr>
          </w:p>
        </w:tc>
        <w:tc>
          <w:tcPr>
            <w:tcW w:w="5238" w:type="dxa"/>
            <w:shd w:val="clear" w:color="auto" w:fill="auto"/>
          </w:tcPr>
          <w:p w14:paraId="4930C187" w14:textId="77777777" w:rsidR="00A43334" w:rsidRDefault="00A43334" w:rsidP="00A43334">
            <w:pPr>
              <w:jc w:val="left"/>
            </w:pPr>
          </w:p>
        </w:tc>
      </w:tr>
    </w:tbl>
    <w:p w14:paraId="531226BB" w14:textId="34AECF1E" w:rsidR="00A96B21" w:rsidRPr="00961149" w:rsidRDefault="00D7307B" w:rsidP="00A43334">
      <w:pPr>
        <w:pStyle w:val="CBDTitle"/>
      </w:pPr>
      <w:sdt>
        <w:sdtPr>
          <w:alias w:val="Titr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EndPr/>
        <w:sdtContent>
          <w:r w:rsidR="00FC357D">
            <w:t>Décision adoptée par la Conférence des Parties à la Convention sur la diversité biologique siégeant en tant que réunion des Parties au Protocole de Cartagena sur la prévention des risques biotechnologiques le 25 octobre 2024</w:t>
          </w:r>
        </w:sdtContent>
      </w:sdt>
    </w:p>
    <w:p w14:paraId="7A64B7CF" w14:textId="4B86EF65" w:rsidR="00A96B21" w:rsidRDefault="00FC357D" w:rsidP="00A43334">
      <w:pPr>
        <w:pStyle w:val="CBDSubTitle"/>
      </w:pPr>
      <w:r>
        <w:t>CP-11/10. Protocole additionnel de Nagoya-Kuala Lumpur sur la responsabilité et la réparation</w:t>
      </w:r>
    </w:p>
    <w:p w14:paraId="4737517B" w14:textId="6CD2515C" w:rsidR="007A6FFC" w:rsidRPr="001C4CAA" w:rsidRDefault="007A6FFC" w:rsidP="007A6FFC">
      <w:pPr>
        <w:pStyle w:val="Para1"/>
        <w:shd w:val="clear" w:color="auto" w:fill="FFFFFF" w:themeFill="background1"/>
        <w:tabs>
          <w:tab w:val="clear" w:pos="1134"/>
        </w:tabs>
        <w:ind w:firstLine="567"/>
      </w:pPr>
      <w:r>
        <w:rPr>
          <w:i/>
          <w:iCs/>
        </w:rPr>
        <w:t>La Conférence des Parties siégeant en tant que réunion des Parties au Protocole de Cartagena et siégeant en tant que réunion des Parties au Protocole additionnel de Nagoya</w:t>
      </w:r>
      <w:r>
        <w:t>-</w:t>
      </w:r>
      <w:r>
        <w:rPr>
          <w:i/>
          <w:iCs/>
        </w:rPr>
        <w:t>Kuala Lumpur</w:t>
      </w:r>
      <w:r w:rsidRPr="001C4CAA">
        <w:rPr>
          <w:rStyle w:val="FootnoteReference"/>
        </w:rPr>
        <w:footnoteReference w:id="1"/>
      </w:r>
      <w:r>
        <w:t>,</w:t>
      </w:r>
    </w:p>
    <w:p w14:paraId="303DB3E0" w14:textId="3C1D7705" w:rsidR="007A6FFC" w:rsidRPr="001C4CAA" w:rsidRDefault="007A6FFC" w:rsidP="007A6FFC">
      <w:pPr>
        <w:pStyle w:val="Para1"/>
        <w:shd w:val="clear" w:color="auto" w:fill="FFFFFF" w:themeFill="background1"/>
        <w:tabs>
          <w:tab w:val="clear" w:pos="1134"/>
        </w:tabs>
        <w:ind w:firstLine="567"/>
      </w:pPr>
      <w:r>
        <w:rPr>
          <w:i/>
          <w:iCs/>
        </w:rPr>
        <w:t>Rappelant</w:t>
      </w:r>
      <w:r>
        <w:t xml:space="preserve"> la décision</w:t>
      </w:r>
      <w:r w:rsidR="000270C8">
        <w:t> </w:t>
      </w:r>
      <w:hyperlink r:id="rId14" w:history="1">
        <w:r w:rsidRPr="00533F29">
          <w:rPr>
            <w:rStyle w:val="Hyperlink"/>
          </w:rPr>
          <w:t>CP-10/13</w:t>
        </w:r>
      </w:hyperlink>
      <w:r>
        <w:t xml:space="preserve"> du 10 décembre 2022,</w:t>
      </w:r>
      <w:r w:rsidR="002309D7">
        <w:t xml:space="preserve"> en particulier le paragraphe 8,</w:t>
      </w:r>
    </w:p>
    <w:p w14:paraId="4A2A6A32" w14:textId="48A45217" w:rsidR="007A6FFC" w:rsidRPr="001C4CAA" w:rsidRDefault="007A6FFC" w:rsidP="007A6FFC">
      <w:pPr>
        <w:pStyle w:val="Para1"/>
        <w:shd w:val="clear" w:color="auto" w:fill="FFFFFF" w:themeFill="background1"/>
        <w:tabs>
          <w:tab w:val="clear" w:pos="1134"/>
        </w:tabs>
        <w:ind w:firstLine="567"/>
        <w:rPr>
          <w:rFonts w:asciiTheme="majorBidi" w:eastAsiaTheme="minorEastAsia" w:hAnsiTheme="majorBidi" w:cstheme="majorBidi"/>
        </w:rPr>
      </w:pPr>
      <w:r>
        <w:rPr>
          <w:i/>
          <w:iCs/>
        </w:rPr>
        <w:t xml:space="preserve">Rappelant également </w:t>
      </w:r>
      <w:r>
        <w:t>l’Objectif</w:t>
      </w:r>
      <w:r w:rsidR="000270C8">
        <w:t> </w:t>
      </w:r>
      <w:r>
        <w:t>A.10 du plan de mise en œuvre</w:t>
      </w:r>
      <w:r w:rsidRPr="001C4CAA">
        <w:rPr>
          <w:rStyle w:val="FootnoteReference"/>
          <w:rFonts w:asciiTheme="majorBidi" w:hAnsiTheme="majorBidi" w:cstheme="majorBidi"/>
        </w:rPr>
        <w:footnoteReference w:id="2"/>
      </w:r>
      <w:r>
        <w:t xml:space="preserve"> et le plan d’action pour le renforcement des capacités</w:t>
      </w:r>
      <w:r w:rsidR="00BD3CEC" w:rsidRPr="001C4CAA">
        <w:rPr>
          <w:rStyle w:val="FootnoteReference"/>
          <w:rFonts w:asciiTheme="majorBidi" w:eastAsiaTheme="minorEastAsia" w:hAnsiTheme="majorBidi" w:cstheme="majorBidi"/>
        </w:rPr>
        <w:footnoteReference w:id="3"/>
      </w:r>
      <w:r>
        <w:t xml:space="preserve"> du Protocole de Cartagena sur la prévention des risques biotechnologiques</w:t>
      </w:r>
      <w:r w:rsidRPr="001C4CAA">
        <w:rPr>
          <w:rStyle w:val="FootnoteReference"/>
          <w:rFonts w:asciiTheme="majorBidi" w:eastAsiaTheme="minorEastAsia" w:hAnsiTheme="majorBidi" w:cstheme="majorBidi"/>
        </w:rPr>
        <w:footnoteReference w:id="4"/>
      </w:r>
      <w:r>
        <w:t>,</w:t>
      </w:r>
    </w:p>
    <w:p w14:paraId="5838E77D" w14:textId="4D10D328" w:rsidR="007A6FFC" w:rsidRPr="001C4CAA" w:rsidRDefault="007A6FFC" w:rsidP="007A6FFC">
      <w:pPr>
        <w:pStyle w:val="CBDNormalNoNumber"/>
        <w:shd w:val="clear" w:color="auto" w:fill="FFFFFF" w:themeFill="background1"/>
        <w:tabs>
          <w:tab w:val="left" w:pos="1701"/>
        </w:tabs>
        <w:ind w:left="567" w:firstLine="567"/>
      </w:pPr>
      <w:r>
        <w:t>1.</w:t>
      </w:r>
      <w:r>
        <w:rPr>
          <w:i/>
        </w:rPr>
        <w:tab/>
        <w:t xml:space="preserve">Accueille avec satisfaction </w:t>
      </w:r>
      <w:r>
        <w:t>les instruments additionnels de ratification, d’acceptation, d’approbation ou d’adhésion au Protocole additionnel de Nagoya-Kuala Lumpur sur la responsabilité</w:t>
      </w:r>
      <w:r w:rsidR="002D6A27">
        <w:t> </w:t>
      </w:r>
      <w:r>
        <w:t>et la réparation au Protocole de Cartagena</w:t>
      </w:r>
      <w:r w:rsidRPr="001C4CAA">
        <w:rPr>
          <w:rStyle w:val="FootnoteReference"/>
        </w:rPr>
        <w:footnoteReference w:id="5"/>
      </w:r>
      <w:r>
        <w:t xml:space="preserve"> qui ont été déposés depuis l’adoption de la décision</w:t>
      </w:r>
      <w:r w:rsidR="000270C8">
        <w:t> </w:t>
      </w:r>
      <w:hyperlink r:id="rId15" w:history="1">
        <w:r>
          <w:rPr>
            <w:rStyle w:val="Hyperlink"/>
          </w:rPr>
          <w:t>CP-10/13</w:t>
        </w:r>
      </w:hyperlink>
      <w:r w:rsidR="000270C8" w:rsidRPr="000270C8">
        <w:rPr>
          <w:rStyle w:val="Hyperlink"/>
          <w:u w:val="none"/>
        </w:rPr>
        <w:t> </w:t>
      </w:r>
      <w:r>
        <w:t>;</w:t>
      </w:r>
    </w:p>
    <w:p w14:paraId="1A1592C2" w14:textId="35AA2D6E" w:rsidR="007A6FFC" w:rsidRPr="001C4CAA" w:rsidRDefault="007A6FFC" w:rsidP="007A6FFC">
      <w:pPr>
        <w:pStyle w:val="CBDNormalNoNumber"/>
        <w:shd w:val="clear" w:color="auto" w:fill="FFFFFF" w:themeFill="background1"/>
        <w:tabs>
          <w:tab w:val="left" w:pos="1701"/>
        </w:tabs>
        <w:ind w:left="567" w:firstLine="567"/>
      </w:pPr>
      <w:r>
        <w:lastRenderedPageBreak/>
        <w:t>2.</w:t>
      </w:r>
      <w:r>
        <w:rPr>
          <w:i/>
        </w:rPr>
        <w:tab/>
      </w:r>
      <w:r>
        <w:rPr>
          <w:i/>
          <w:iCs/>
        </w:rPr>
        <w:t>Constate avec regret</w:t>
      </w:r>
      <w:r>
        <w:t xml:space="preserve"> qu’un nombre limité de Parties au Protocole de Cartagena ont ratifié le Protocole additionnel de Nagoya-Kuala Lumpur, et invite toutes les Parties au Protocole de </w:t>
      </w:r>
      <w:r w:rsidR="00F2082A">
        <w:t>Cartagena</w:t>
      </w:r>
      <w:r>
        <w:t xml:space="preserve"> qui ne l’ont pas encore fait à déposer, dès que possible, un instrument de ratification, d’acceptation, d’approbation ou d’adhésion au Protocole additionnel</w:t>
      </w:r>
      <w:r w:rsidR="000270C8">
        <w:t> </w:t>
      </w:r>
      <w:r>
        <w:t>;</w:t>
      </w:r>
    </w:p>
    <w:p w14:paraId="48ABE8FA" w14:textId="58E49F25" w:rsidR="007A6FFC" w:rsidRPr="001C4CAA" w:rsidRDefault="007A6FFC" w:rsidP="007A6FFC">
      <w:pPr>
        <w:pStyle w:val="CBDNormalNoNumber"/>
        <w:shd w:val="clear" w:color="auto" w:fill="FFFFFF" w:themeFill="background1"/>
        <w:tabs>
          <w:tab w:val="left" w:pos="1701"/>
        </w:tabs>
        <w:ind w:left="567" w:firstLine="567"/>
        <w:rPr>
          <w:b/>
          <w:bCs/>
          <w:caps/>
        </w:rPr>
      </w:pPr>
      <w:r>
        <w:t>3.</w:t>
      </w:r>
      <w:r>
        <w:rPr>
          <w:i/>
          <w:iCs/>
        </w:rPr>
        <w:tab/>
        <w:t>Se félicite</w:t>
      </w:r>
      <w:r>
        <w:t xml:space="preserve"> des dossiers supplémentaires publiés dans le Centre d’échange pour la prévention des risques biotechnologiques, qui contiennent les coordonnées des autorités compétentes chargées d’exercer les fonctions énoncées à l’article 5 du Protocole additionnel de Nagoya-Kuala Lumpur</w:t>
      </w:r>
      <w:r w:rsidR="000270C8">
        <w:t> </w:t>
      </w:r>
      <w:r>
        <w:t>;</w:t>
      </w:r>
    </w:p>
    <w:p w14:paraId="0615AA1F" w14:textId="5BCB3A5B" w:rsidR="007A6FFC" w:rsidRPr="001C4CAA" w:rsidRDefault="007A6FFC" w:rsidP="007A6FFC">
      <w:pPr>
        <w:pStyle w:val="CBDNormalNoNumber"/>
        <w:shd w:val="clear" w:color="auto" w:fill="FFFFFF" w:themeFill="background1"/>
        <w:tabs>
          <w:tab w:val="left" w:pos="1701"/>
        </w:tabs>
        <w:ind w:left="567" w:firstLine="567"/>
        <w:rPr>
          <w:b/>
          <w:bCs/>
          <w:caps/>
        </w:rPr>
      </w:pPr>
      <w:r>
        <w:t>4.</w:t>
      </w:r>
      <w:r>
        <w:rPr>
          <w:i/>
        </w:rPr>
        <w:tab/>
        <w:t>Rappelle</w:t>
      </w:r>
      <w:r>
        <w:t xml:space="preserve"> aux Parties au Protocole additionnel de Nagoya-Kuala </w:t>
      </w:r>
      <w:r w:rsidR="000270C8">
        <w:t>Lumpur</w:t>
      </w:r>
      <w:r>
        <w:t xml:space="preserve"> de désigner une autorité compétente pour exercer les fonctions énoncées à l’article 5 du Protocole additionnel et de publier des informations sur les autorités compétentes en utilisant le modèle commun disponible à cet effet dans le Centre d’échange pour la prévention des risques biotechnologiques</w:t>
      </w:r>
      <w:r w:rsidR="000270C8">
        <w:t> </w:t>
      </w:r>
      <w:r>
        <w:t>;</w:t>
      </w:r>
    </w:p>
    <w:p w14:paraId="082C1EF0" w14:textId="1E12E158" w:rsidR="007A6FFC" w:rsidRPr="001C4CAA" w:rsidRDefault="007A6FFC" w:rsidP="007A6FFC">
      <w:pPr>
        <w:pStyle w:val="CBDNormalNoNumber"/>
        <w:shd w:val="clear" w:color="auto" w:fill="FFFFFF" w:themeFill="background1"/>
        <w:tabs>
          <w:tab w:val="left" w:pos="1701"/>
        </w:tabs>
        <w:ind w:left="567" w:firstLine="567"/>
        <w:rPr>
          <w:b/>
          <w:bCs/>
          <w:caps/>
        </w:rPr>
      </w:pPr>
      <w:r>
        <w:t>5.</w:t>
      </w:r>
      <w:r>
        <w:rPr>
          <w:i/>
          <w:iCs/>
        </w:rPr>
        <w:tab/>
        <w:t>Accueille avec satisfaction</w:t>
      </w:r>
      <w:r>
        <w:t xml:space="preserve"> les informations communiquées par les Parties sur les mesures mises en place pour assurer une garantie financière en cas de dommages causés par les organismes vivants modifiés, tout en relevant avec regret que seules quelques Parties ont fourni de telles informations</w:t>
      </w:r>
      <w:r w:rsidR="000270C8">
        <w:t> </w:t>
      </w:r>
      <w:r>
        <w:t>;</w:t>
      </w:r>
    </w:p>
    <w:p w14:paraId="1FAB8F18" w14:textId="16B1EB3E" w:rsidR="007A6FFC" w:rsidRPr="001C4CAA" w:rsidRDefault="007A6FFC" w:rsidP="007A6FFC">
      <w:pPr>
        <w:pStyle w:val="CBDNormalNoNumber"/>
        <w:shd w:val="clear" w:color="auto" w:fill="FFFFFF" w:themeFill="background1"/>
        <w:tabs>
          <w:tab w:val="left" w:pos="1701"/>
        </w:tabs>
        <w:ind w:left="567" w:firstLine="567"/>
        <w:rPr>
          <w:b/>
          <w:bCs/>
          <w:caps/>
        </w:rPr>
      </w:pPr>
      <w:r>
        <w:t>6.</w:t>
      </w:r>
      <w:r>
        <w:rPr>
          <w:i/>
          <w:iCs/>
        </w:rPr>
        <w:tab/>
        <w:t>Invite</w:t>
      </w:r>
      <w:r>
        <w:t xml:space="preserve"> les Parties à partager des informations sur les mécanismes de sécurité financière, ainsi que d’autres informations sur les mesures nationales en faveur de la mise en œuvre du Protocole additionnel de Nagoya-Kuala Lumpur, dans leurs cinquièmes rapports nationaux, et prie la Secrétaire exécutive </w:t>
      </w:r>
      <w:r w:rsidR="00A54EFD">
        <w:t>à la Convention sur la diversité biologique</w:t>
      </w:r>
      <w:r w:rsidR="00A54EFD">
        <w:rPr>
          <w:rStyle w:val="FootnoteReference"/>
        </w:rPr>
        <w:footnoteReference w:id="6"/>
      </w:r>
      <w:r w:rsidR="00A54EFD">
        <w:t xml:space="preserve"> </w:t>
      </w:r>
      <w:r>
        <w:t>de s’appuyer sur ces informations lors de la préparation de la documentation destinée au premier exercice d’évaluation et d’examen de l’efficacité du Protocole additionnel</w:t>
      </w:r>
      <w:r w:rsidRPr="001C4CAA">
        <w:rPr>
          <w:rStyle w:val="FootnoteReference"/>
        </w:rPr>
        <w:footnoteReference w:id="7"/>
      </w:r>
      <w:r w:rsidR="000270C8">
        <w:t> </w:t>
      </w:r>
      <w:r>
        <w:t>;</w:t>
      </w:r>
      <w:r>
        <w:rPr>
          <w:rStyle w:val="FootnoteReference"/>
        </w:rPr>
        <w:t xml:space="preserve"> </w:t>
      </w:r>
    </w:p>
    <w:p w14:paraId="533E4F34" w14:textId="034498BF" w:rsidR="000B0229" w:rsidRDefault="001A6647" w:rsidP="007A6FFC">
      <w:pPr>
        <w:pStyle w:val="CBDNormalNoNumber"/>
        <w:shd w:val="clear" w:color="auto" w:fill="FFFFFF" w:themeFill="background1"/>
        <w:tabs>
          <w:tab w:val="left" w:pos="1701"/>
        </w:tabs>
        <w:ind w:left="567" w:firstLine="567"/>
      </w:pPr>
      <w:r>
        <w:t>7</w:t>
      </w:r>
      <w:r w:rsidR="00164036">
        <w:t>.</w:t>
      </w:r>
      <w:r w:rsidR="00164036">
        <w:rPr>
          <w:i/>
          <w:iCs/>
        </w:rPr>
        <w:tab/>
        <w:t>Invite</w:t>
      </w:r>
      <w:r w:rsidR="00164036">
        <w:t xml:space="preserve"> les Parties, les autres gouvernements et les organisations à mener des activités de renforcement des capacités et de sensibilisation en appui à la ratification et à la mise en œuvre effective du Protocole additionnel de Nagoya-Kuala Lumpur, et encourage les donateurs à mettre à</w:t>
      </w:r>
      <w:r w:rsidR="00EA7B37">
        <w:t> </w:t>
      </w:r>
      <w:r w:rsidR="00164036">
        <w:t>disposition les ressources nécessaires à cet égard, conformément à l’Objectif A.10 du plan de mise en œuvre et le plan d’action de renforcement des capacités pour le Protocole de Cartagena</w:t>
      </w:r>
      <w:r w:rsidR="000270C8">
        <w:t> </w:t>
      </w:r>
      <w:r w:rsidR="00164036">
        <w:t>;</w:t>
      </w:r>
    </w:p>
    <w:p w14:paraId="100AD7F9" w14:textId="13679F16" w:rsidR="00C60B91" w:rsidRDefault="001A6647" w:rsidP="00991374">
      <w:pPr>
        <w:pStyle w:val="CBDNormalNoNumber"/>
        <w:shd w:val="clear" w:color="auto" w:fill="FFFFFF" w:themeFill="background1"/>
        <w:tabs>
          <w:tab w:val="clear" w:pos="2835"/>
          <w:tab w:val="clear" w:pos="3402"/>
          <w:tab w:val="left" w:pos="1701"/>
        </w:tabs>
        <w:ind w:left="567" w:firstLine="567"/>
      </w:pPr>
      <w:r>
        <w:t>8</w:t>
      </w:r>
      <w:r w:rsidR="00164036">
        <w:t>.</w:t>
      </w:r>
      <w:r w:rsidR="00991374">
        <w:rPr>
          <w:i/>
          <w:iCs/>
        </w:rPr>
        <w:tab/>
      </w:r>
      <w:r w:rsidR="00164036">
        <w:rPr>
          <w:i/>
          <w:iCs/>
        </w:rPr>
        <w:t>Prie</w:t>
      </w:r>
      <w:r w:rsidR="00164036">
        <w:t xml:space="preserve"> la Secrétaire exécutive, selon la disponibilité des ressources, de continuer à</w:t>
      </w:r>
      <w:r w:rsidR="001009FB">
        <w:t> </w:t>
      </w:r>
      <w:r w:rsidR="00164036">
        <w:t>entreprendre des activités de sensibilisation et de renforcement des capacités et de fournir un soutien aux Parties dans leur mise en œuvre du Protocole additionnel de Nagoya-Kuala Lumpur à</w:t>
      </w:r>
      <w:r w:rsidR="001009FB">
        <w:t> </w:t>
      </w:r>
      <w:r w:rsidR="00164036">
        <w:t>l’échelle nationale.</w:t>
      </w:r>
    </w:p>
    <w:p w14:paraId="45DFAFCD" w14:textId="77777777" w:rsidR="00795822" w:rsidRPr="00A43334" w:rsidRDefault="00795822" w:rsidP="002B5606">
      <w:pPr>
        <w:pStyle w:val="CBDNormalNoNumber"/>
        <w:shd w:val="clear" w:color="auto" w:fill="FFFFFF" w:themeFill="background1"/>
        <w:tabs>
          <w:tab w:val="clear" w:pos="2835"/>
          <w:tab w:val="clear" w:pos="3402"/>
        </w:tabs>
        <w:ind w:left="567" w:firstLine="567"/>
      </w:pPr>
    </w:p>
    <w:p w14:paraId="10991BF3" w14:textId="3B824E07" w:rsidR="002B559C" w:rsidRPr="00A43334" w:rsidRDefault="00ED3849" w:rsidP="00B161EB">
      <w:pPr>
        <w:pStyle w:val="Para1"/>
        <w:tabs>
          <w:tab w:val="clear" w:pos="567"/>
        </w:tabs>
        <w:ind w:left="0"/>
        <w:jc w:val="center"/>
      </w:pPr>
      <w:r>
        <w:t>__________</w:t>
      </w:r>
    </w:p>
    <w:sectPr w:rsidR="002B559C" w:rsidRPr="00A43334" w:rsidSect="00C60B91">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0D37" w14:textId="77777777" w:rsidR="00B96301" w:rsidRPr="00A43334" w:rsidRDefault="00B96301" w:rsidP="00A96B21">
      <w:r w:rsidRPr="00A43334">
        <w:separator/>
      </w:r>
    </w:p>
  </w:endnote>
  <w:endnote w:type="continuationSeparator" w:id="0">
    <w:p w14:paraId="5F632270" w14:textId="77777777" w:rsidR="00B96301" w:rsidRPr="00A43334" w:rsidRDefault="00B96301"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Footer"/>
    </w:pPr>
    <w:r>
      <w:fldChar w:fldCharType="begin"/>
    </w:r>
    <w:r>
      <w:instrText xml:space="preserve"> PAGE </w:instrText>
    </w:r>
    <w:r>
      <w:fldChar w:fldCharType="separate"/>
    </w:r>
    <w: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Footer"/>
      <w:jc w:val="right"/>
    </w:pPr>
    <w:r>
      <w:fldChar w:fldCharType="begin"/>
    </w:r>
    <w:r>
      <w:instrText xml:space="preserve"> PAGE \* MERGEFORMAT </w:instrText>
    </w:r>
    <w:r>
      <w:fldChar w:fldCharType="separate"/>
    </w:r>
    <w: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66F7" w14:textId="77777777" w:rsidR="00B96301" w:rsidRPr="00A43334" w:rsidRDefault="00B96301" w:rsidP="00A96B21">
      <w:r w:rsidRPr="00A43334">
        <w:separator/>
      </w:r>
    </w:p>
  </w:footnote>
  <w:footnote w:type="continuationSeparator" w:id="0">
    <w:p w14:paraId="0D088E26" w14:textId="77777777" w:rsidR="00B96301" w:rsidRPr="00A43334" w:rsidRDefault="00B96301" w:rsidP="00A96B21">
      <w:r w:rsidRPr="00A43334">
        <w:continuationSeparator/>
      </w:r>
    </w:p>
  </w:footnote>
  <w:footnote w:id="1">
    <w:p w14:paraId="1265F4A6" w14:textId="35AC5056" w:rsidR="007A6FFC" w:rsidRPr="00B55C49" w:rsidRDefault="007A6FFC" w:rsidP="007A6FFC">
      <w:pPr>
        <w:pStyle w:val="FootnoteText"/>
        <w:rPr>
          <w:szCs w:val="18"/>
        </w:rPr>
      </w:pPr>
      <w:r>
        <w:rPr>
          <w:rStyle w:val="FootnoteReference"/>
          <w:szCs w:val="18"/>
        </w:rPr>
        <w:footnoteRef/>
      </w:r>
      <w:r>
        <w:t xml:space="preserve"> Conformément au paragraphe 1 de l’article 14 du Protocole additionnel de Nagoya-Kuala Lumpur, et sous réserve du paragraphe 2 de l’article 32 de la Convention</w:t>
      </w:r>
      <w:r w:rsidR="00D7307B">
        <w:rPr>
          <w:rFonts w:eastAsia="Yu Mincho" w:hint="eastAsia"/>
          <w:lang w:eastAsia="ja-JP"/>
        </w:rPr>
        <w:t xml:space="preserve"> sur la </w:t>
      </w:r>
      <w:r w:rsidR="00D7307B">
        <w:rPr>
          <w:rFonts w:eastAsia="Yu Mincho"/>
          <w:lang w:eastAsia="ja-JP"/>
        </w:rPr>
        <w:t>d</w:t>
      </w:r>
      <w:r w:rsidR="00D7307B">
        <w:rPr>
          <w:rFonts w:eastAsia="Yu Mincho" w:hint="eastAsia"/>
          <w:lang w:eastAsia="ja-JP"/>
        </w:rPr>
        <w:t>iversit</w:t>
      </w:r>
      <w:r w:rsidR="00D7307B">
        <w:rPr>
          <w:rFonts w:eastAsia="Yu Mincho"/>
          <w:lang w:eastAsia="ja-JP"/>
        </w:rPr>
        <w:t>é biologique</w:t>
      </w:r>
      <w:r>
        <w:t xml:space="preserve">, la Conférence des Parties siégeant en tant que réunion des Parties au Protocole </w:t>
      </w:r>
      <w:r w:rsidR="00D7307B">
        <w:rPr>
          <w:rFonts w:eastAsia="Yu Mincho" w:hint="eastAsia"/>
          <w:lang w:eastAsia="ja-JP"/>
        </w:rPr>
        <w:t xml:space="preserve">de Cartagena </w:t>
      </w:r>
      <w:r>
        <w:t>siégera en tant que réunion des Parties au Protocole additionnel. Par conséquent, la présente décision a été adoptée par les Parties au Protocole additionnel.</w:t>
      </w:r>
    </w:p>
  </w:footnote>
  <w:footnote w:id="2">
    <w:p w14:paraId="6C674AA9" w14:textId="798A208B" w:rsidR="007A6FFC" w:rsidRPr="00B55C49" w:rsidRDefault="007A6FFC" w:rsidP="007A6FFC">
      <w:pPr>
        <w:pStyle w:val="FootnoteText"/>
      </w:pPr>
      <w:r>
        <w:rPr>
          <w:rStyle w:val="FootnoteReference"/>
        </w:rPr>
        <w:footnoteRef/>
      </w:r>
      <w:r>
        <w:t xml:space="preserve"> Annexe à la décision</w:t>
      </w:r>
      <w:r w:rsidR="000270C8">
        <w:t> </w:t>
      </w:r>
      <w:hyperlink r:id="rId1" w:history="1">
        <w:r w:rsidRPr="00F53EEE">
          <w:rPr>
            <w:rStyle w:val="Hyperlink"/>
            <w:rFonts w:asciiTheme="majorBidi" w:hAnsiTheme="majorBidi"/>
            <w:szCs w:val="22"/>
          </w:rPr>
          <w:t>CP-10/3</w:t>
        </w:r>
      </w:hyperlink>
      <w:r>
        <w:rPr>
          <w:rFonts w:asciiTheme="majorBidi" w:hAnsiTheme="majorBidi"/>
          <w:szCs w:val="22"/>
        </w:rPr>
        <w:t>.</w:t>
      </w:r>
    </w:p>
  </w:footnote>
  <w:footnote w:id="3">
    <w:p w14:paraId="0636DA02" w14:textId="543FBB71" w:rsidR="00BD3CEC" w:rsidRPr="00B55C49" w:rsidRDefault="00BD3CEC" w:rsidP="00BD3CEC">
      <w:pPr>
        <w:pStyle w:val="FootnoteText"/>
      </w:pPr>
      <w:r>
        <w:rPr>
          <w:rStyle w:val="FootnoteReference"/>
        </w:rPr>
        <w:footnoteRef/>
      </w:r>
      <w:r>
        <w:t xml:space="preserve"> Annexe à la décision</w:t>
      </w:r>
      <w:r w:rsidR="000270C8">
        <w:t> </w:t>
      </w:r>
      <w:hyperlink r:id="rId2" w:history="1">
        <w:r w:rsidRPr="00F53EEE">
          <w:rPr>
            <w:rStyle w:val="Hyperlink"/>
            <w:rFonts w:asciiTheme="majorBidi" w:hAnsiTheme="majorBidi"/>
            <w:szCs w:val="22"/>
          </w:rPr>
          <w:t>CP-10/4</w:t>
        </w:r>
      </w:hyperlink>
      <w:r>
        <w:rPr>
          <w:rFonts w:asciiTheme="majorBidi" w:hAnsiTheme="majorBidi"/>
          <w:szCs w:val="22"/>
        </w:rPr>
        <w:t>.</w:t>
      </w:r>
    </w:p>
  </w:footnote>
  <w:footnote w:id="4">
    <w:p w14:paraId="51A824BD" w14:textId="6D6D2E33" w:rsidR="007A6FFC" w:rsidRPr="002B5606" w:rsidRDefault="007A6FFC" w:rsidP="007A6FFC">
      <w:pPr>
        <w:pStyle w:val="FootnoteText"/>
      </w:pPr>
      <w:r>
        <w:rPr>
          <w:rStyle w:val="FootnoteReference"/>
        </w:rPr>
        <w:footnoteRef/>
      </w:r>
      <w:r>
        <w:t xml:space="preserve"> Nations Unies, </w:t>
      </w:r>
      <w:r>
        <w:rPr>
          <w:i/>
          <w:iCs/>
        </w:rPr>
        <w:t>Recueil des Traités</w:t>
      </w:r>
      <w:r>
        <w:t>, vol.</w:t>
      </w:r>
      <w:r w:rsidR="000270C8">
        <w:t> </w:t>
      </w:r>
      <w:r>
        <w:t>2226, n</w:t>
      </w:r>
      <w:r>
        <w:rPr>
          <w:vertAlign w:val="superscript"/>
        </w:rPr>
        <w:t>o</w:t>
      </w:r>
      <w:r w:rsidR="000270C8">
        <w:t> </w:t>
      </w:r>
      <w:r>
        <w:t>30619.</w:t>
      </w:r>
    </w:p>
  </w:footnote>
  <w:footnote w:id="5">
    <w:p w14:paraId="3A963D81" w14:textId="19FFC6AB" w:rsidR="007A6FFC" w:rsidRPr="00B55C49" w:rsidRDefault="007A6FFC" w:rsidP="007A6FFC">
      <w:pPr>
        <w:pStyle w:val="FootnoteText"/>
      </w:pPr>
      <w:r>
        <w:rPr>
          <w:rStyle w:val="FootnoteReference"/>
        </w:rPr>
        <w:footnoteRef/>
      </w:r>
      <w:r>
        <w:t xml:space="preserve"> Voir Programme des Nations Unies pour l’environnement, document</w:t>
      </w:r>
      <w:r w:rsidR="000270C8">
        <w:t> </w:t>
      </w:r>
      <w:r>
        <w:t>UNEP/CBD/BS/COP-MOP/5/17, annexe, décision</w:t>
      </w:r>
      <w:r w:rsidR="000270C8">
        <w:t> </w:t>
      </w:r>
      <w:r>
        <w:t>BS-V/11.</w:t>
      </w:r>
    </w:p>
  </w:footnote>
  <w:footnote w:id="6">
    <w:p w14:paraId="69CBB4A0" w14:textId="1AE46B6D" w:rsidR="00A54EFD" w:rsidRPr="00D7307B" w:rsidRDefault="00A54EFD" w:rsidP="00A54EFD">
      <w:pPr>
        <w:pStyle w:val="FootnoteText"/>
      </w:pPr>
      <w:r>
        <w:rPr>
          <w:rStyle w:val="FootnoteReference"/>
        </w:rPr>
        <w:footnoteRef/>
      </w:r>
      <w:r>
        <w:t xml:space="preserve"> </w:t>
      </w:r>
      <w:r w:rsidR="00795822">
        <w:t>Nations Unies</w:t>
      </w:r>
      <w:r w:rsidRPr="00D750BA">
        <w:t xml:space="preserve">, </w:t>
      </w:r>
      <w:r w:rsidR="00795822">
        <w:rPr>
          <w:i/>
          <w:iCs/>
        </w:rPr>
        <w:t>Recueil des Traités</w:t>
      </w:r>
      <w:r w:rsidRPr="00D750BA">
        <w:t xml:space="preserve">, vol. 1760, </w:t>
      </w:r>
      <w:r w:rsidR="00795822">
        <w:t>n° </w:t>
      </w:r>
      <w:r w:rsidRPr="00D750BA">
        <w:t>30619.</w:t>
      </w:r>
    </w:p>
  </w:footnote>
  <w:footnote w:id="7">
    <w:p w14:paraId="30C24559" w14:textId="5FD7A228" w:rsidR="007A6FFC" w:rsidRPr="00222A2D" w:rsidRDefault="007A6FFC" w:rsidP="007A6FFC">
      <w:pPr>
        <w:pStyle w:val="FootnoteText"/>
      </w:pPr>
      <w:r>
        <w:rPr>
          <w:rStyle w:val="FootnoteReference"/>
          <w:szCs w:val="18"/>
        </w:rPr>
        <w:footnoteRef/>
      </w:r>
      <w:r>
        <w:t xml:space="preserve"> Voir décision</w:t>
      </w:r>
      <w:r w:rsidR="000270C8">
        <w:t> </w:t>
      </w:r>
      <w:hyperlink r:id="rId3" w:history="1">
        <w:r w:rsidRPr="00856891">
          <w:rPr>
            <w:rStyle w:val="Hyperlink"/>
          </w:rPr>
          <w:t>CP-10/13</w:t>
        </w:r>
      </w:hyperlink>
      <w:r>
        <w:t>, paragraphe</w:t>
      </w:r>
      <w:r w:rsidR="000270C8">
        <w:t> </w:t>
      </w:r>
      <w:r>
        <w:t xml:space="preserve">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7A567E13"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D7307B">
      <w:rPr>
        <w:noProof/>
        <w:sz w:val="20"/>
        <w:szCs w:val="20"/>
      </w:rPr>
      <w:t>CBD/CP/MOP/DEC/11/10</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5EC58276" w:rsidR="002B559C" w:rsidRPr="009A5C30" w:rsidRDefault="009A5C30" w:rsidP="009A5C30">
    <w:pPr>
      <w:pStyle w:val="Header"/>
      <w:jc w:val="right"/>
    </w:pPr>
    <w:r>
      <w:rPr>
        <w:sz w:val="20"/>
        <w:szCs w:val="20"/>
      </w:rPr>
      <w:fldChar w:fldCharType="begin"/>
    </w:r>
    <w:r>
      <w:rPr>
        <w:sz w:val="20"/>
        <w:szCs w:val="20"/>
      </w:rPr>
      <w:instrText xml:space="preserve"> StyleRef AB_Symbol </w:instrText>
    </w:r>
    <w:r>
      <w:rPr>
        <w:sz w:val="20"/>
        <w:szCs w:val="20"/>
      </w:rPr>
      <w:fldChar w:fldCharType="separate"/>
    </w:r>
    <w:r w:rsidR="00961149">
      <w:rPr>
        <w:noProof/>
        <w:sz w:val="20"/>
        <w:szCs w:val="20"/>
      </w:rPr>
      <w:t>CBD/CP/MOP/11/WG.II/CRP.4</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470707761">
    <w:abstractNumId w:val="8"/>
  </w:num>
  <w:num w:numId="11" w16cid:durableId="1297567334">
    <w:abstractNumId w:val="3"/>
  </w:num>
  <w:num w:numId="12" w16cid:durableId="837617340">
    <w:abstractNumId w:val="2"/>
  </w:num>
  <w:num w:numId="13" w16cid:durableId="1407143929">
    <w:abstractNumId w:val="1"/>
  </w:num>
  <w:num w:numId="14" w16cid:durableId="1110860792">
    <w:abstractNumId w:val="0"/>
  </w:num>
  <w:num w:numId="15" w16cid:durableId="81063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270C8"/>
    <w:rsid w:val="00040598"/>
    <w:rsid w:val="00045FF4"/>
    <w:rsid w:val="00062B22"/>
    <w:rsid w:val="000708D0"/>
    <w:rsid w:val="000A477F"/>
    <w:rsid w:val="000B0229"/>
    <w:rsid w:val="000D349C"/>
    <w:rsid w:val="000E0284"/>
    <w:rsid w:val="001009FB"/>
    <w:rsid w:val="001163A3"/>
    <w:rsid w:val="001176B9"/>
    <w:rsid w:val="00132581"/>
    <w:rsid w:val="001326C8"/>
    <w:rsid w:val="00164036"/>
    <w:rsid w:val="001707A7"/>
    <w:rsid w:val="0017476C"/>
    <w:rsid w:val="00184909"/>
    <w:rsid w:val="001A6647"/>
    <w:rsid w:val="001B3DBE"/>
    <w:rsid w:val="001C1171"/>
    <w:rsid w:val="001D7501"/>
    <w:rsid w:val="0020686C"/>
    <w:rsid w:val="00215DB5"/>
    <w:rsid w:val="002309D7"/>
    <w:rsid w:val="00276DDC"/>
    <w:rsid w:val="0029491A"/>
    <w:rsid w:val="002B00CA"/>
    <w:rsid w:val="002B559C"/>
    <w:rsid w:val="002B5606"/>
    <w:rsid w:val="002C5ADC"/>
    <w:rsid w:val="002D6A27"/>
    <w:rsid w:val="002F14FD"/>
    <w:rsid w:val="00303F0B"/>
    <w:rsid w:val="0030478D"/>
    <w:rsid w:val="00310608"/>
    <w:rsid w:val="00316F30"/>
    <w:rsid w:val="0031748E"/>
    <w:rsid w:val="00323A5C"/>
    <w:rsid w:val="00323F22"/>
    <w:rsid w:val="003476A9"/>
    <w:rsid w:val="003B0C6B"/>
    <w:rsid w:val="003B71A6"/>
    <w:rsid w:val="003C6F10"/>
    <w:rsid w:val="003F6DCC"/>
    <w:rsid w:val="004107FF"/>
    <w:rsid w:val="004202A4"/>
    <w:rsid w:val="004319A0"/>
    <w:rsid w:val="00441498"/>
    <w:rsid w:val="004701EE"/>
    <w:rsid w:val="00476728"/>
    <w:rsid w:val="00480A8D"/>
    <w:rsid w:val="004A2A2D"/>
    <w:rsid w:val="004C7F5E"/>
    <w:rsid w:val="004F1D6A"/>
    <w:rsid w:val="00522528"/>
    <w:rsid w:val="00533F29"/>
    <w:rsid w:val="00537248"/>
    <w:rsid w:val="00541E1D"/>
    <w:rsid w:val="00547191"/>
    <w:rsid w:val="005619B9"/>
    <w:rsid w:val="0059335A"/>
    <w:rsid w:val="005A1BDD"/>
    <w:rsid w:val="005A206E"/>
    <w:rsid w:val="005C0058"/>
    <w:rsid w:val="005E00BF"/>
    <w:rsid w:val="005E2605"/>
    <w:rsid w:val="00607E53"/>
    <w:rsid w:val="006147D3"/>
    <w:rsid w:val="00657ED6"/>
    <w:rsid w:val="00665A1A"/>
    <w:rsid w:val="0066755D"/>
    <w:rsid w:val="00667D43"/>
    <w:rsid w:val="00675DBB"/>
    <w:rsid w:val="006A0B93"/>
    <w:rsid w:val="006B293D"/>
    <w:rsid w:val="006E2573"/>
    <w:rsid w:val="006F49D5"/>
    <w:rsid w:val="006F776A"/>
    <w:rsid w:val="007248A9"/>
    <w:rsid w:val="00753C42"/>
    <w:rsid w:val="00760542"/>
    <w:rsid w:val="0076622F"/>
    <w:rsid w:val="00795822"/>
    <w:rsid w:val="007A6FFC"/>
    <w:rsid w:val="007C77BC"/>
    <w:rsid w:val="007D7697"/>
    <w:rsid w:val="0082005E"/>
    <w:rsid w:val="00840F4D"/>
    <w:rsid w:val="00856891"/>
    <w:rsid w:val="00874541"/>
    <w:rsid w:val="008B7A3F"/>
    <w:rsid w:val="008E0581"/>
    <w:rsid w:val="008F08A9"/>
    <w:rsid w:val="00935461"/>
    <w:rsid w:val="009459E3"/>
    <w:rsid w:val="00961149"/>
    <w:rsid w:val="00962DC0"/>
    <w:rsid w:val="00991374"/>
    <w:rsid w:val="00995DDC"/>
    <w:rsid w:val="009A5C30"/>
    <w:rsid w:val="009C1114"/>
    <w:rsid w:val="009E41C8"/>
    <w:rsid w:val="00A01281"/>
    <w:rsid w:val="00A14237"/>
    <w:rsid w:val="00A1740F"/>
    <w:rsid w:val="00A30018"/>
    <w:rsid w:val="00A43334"/>
    <w:rsid w:val="00A47EF4"/>
    <w:rsid w:val="00A51BD4"/>
    <w:rsid w:val="00A54EFD"/>
    <w:rsid w:val="00A54FA0"/>
    <w:rsid w:val="00A96B21"/>
    <w:rsid w:val="00AA5604"/>
    <w:rsid w:val="00AB4152"/>
    <w:rsid w:val="00AD52F8"/>
    <w:rsid w:val="00AE1A95"/>
    <w:rsid w:val="00B161EB"/>
    <w:rsid w:val="00B22262"/>
    <w:rsid w:val="00B36EA9"/>
    <w:rsid w:val="00B96301"/>
    <w:rsid w:val="00B96629"/>
    <w:rsid w:val="00BD3CEC"/>
    <w:rsid w:val="00BE67DF"/>
    <w:rsid w:val="00C2354A"/>
    <w:rsid w:val="00C60B91"/>
    <w:rsid w:val="00C76747"/>
    <w:rsid w:val="00C85781"/>
    <w:rsid w:val="00C96B45"/>
    <w:rsid w:val="00CB78CD"/>
    <w:rsid w:val="00CC4FE8"/>
    <w:rsid w:val="00CE0F96"/>
    <w:rsid w:val="00CF70AB"/>
    <w:rsid w:val="00D044B3"/>
    <w:rsid w:val="00D154E8"/>
    <w:rsid w:val="00D3059B"/>
    <w:rsid w:val="00D31C58"/>
    <w:rsid w:val="00D60046"/>
    <w:rsid w:val="00D71FFB"/>
    <w:rsid w:val="00D7307B"/>
    <w:rsid w:val="00DE1447"/>
    <w:rsid w:val="00E1132C"/>
    <w:rsid w:val="00E13C97"/>
    <w:rsid w:val="00E14C79"/>
    <w:rsid w:val="00E1597C"/>
    <w:rsid w:val="00E24F88"/>
    <w:rsid w:val="00E32358"/>
    <w:rsid w:val="00E53633"/>
    <w:rsid w:val="00E6366B"/>
    <w:rsid w:val="00E80F76"/>
    <w:rsid w:val="00E94759"/>
    <w:rsid w:val="00EA7A00"/>
    <w:rsid w:val="00EA7B37"/>
    <w:rsid w:val="00ED3849"/>
    <w:rsid w:val="00EE29A4"/>
    <w:rsid w:val="00F10C1C"/>
    <w:rsid w:val="00F12503"/>
    <w:rsid w:val="00F16CF1"/>
    <w:rsid w:val="00F2082A"/>
    <w:rsid w:val="00F258FB"/>
    <w:rsid w:val="00F36FFC"/>
    <w:rsid w:val="00F53EEE"/>
    <w:rsid w:val="00F55DE0"/>
    <w:rsid w:val="00F75F90"/>
    <w:rsid w:val="00F76572"/>
    <w:rsid w:val="00FA18C9"/>
    <w:rsid w:val="00FC357D"/>
    <w:rsid w:val="00FE6EA3"/>
    <w:rsid w:val="00FF2E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4333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4333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4333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4333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43334"/>
    <w:rPr>
      <w:lang w:val="fr-CA"/>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A43334"/>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4333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43334"/>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43334"/>
    <w:rPr>
      <w:vertAlign w:val="superscript"/>
      <w:lang w:val="fr-CA"/>
    </w:rPr>
  </w:style>
  <w:style w:type="paragraph" w:customStyle="1" w:styleId="Footnote">
    <w:name w:val="Footnote"/>
    <w:basedOn w:val="FootnoteText"/>
    <w:qFormat/>
    <w:rsid w:val="00A4333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43334"/>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lang w:val="fr-CA"/>
    </w:rPr>
  </w:style>
  <w:style w:type="paragraph" w:styleId="Header">
    <w:name w:val="header"/>
    <w:basedOn w:val="Normal"/>
    <w:link w:val="HeaderChar"/>
    <w:rsid w:val="00A43334"/>
    <w:pPr>
      <w:pBdr>
        <w:bottom w:val="single" w:sz="4" w:space="1" w:color="auto"/>
      </w:pBdr>
      <w:tabs>
        <w:tab w:val="center" w:pos="4680"/>
        <w:tab w:val="right" w:pos="9360"/>
      </w:tabs>
      <w:jc w:val="left"/>
    </w:pPr>
  </w:style>
  <w:style w:type="character" w:customStyle="1" w:styleId="HeaderChar">
    <w:name w:val="Header Char"/>
    <w:basedOn w:val="DefaultParagraphFont"/>
    <w:link w:val="Header"/>
    <w:rsid w:val="00A43334"/>
    <w:rPr>
      <w:rFonts w:ascii="Times New Roman" w:eastAsia="SimSun" w:hAnsi="Times New Roman" w:cs="Times New Roman"/>
      <w:kern w:val="0"/>
      <w:lang w:val="fr-CA"/>
      <w14:ligatures w14:val="none"/>
    </w:rPr>
  </w:style>
  <w:style w:type="paragraph" w:styleId="Footer">
    <w:name w:val="footer"/>
    <w:basedOn w:val="Normal"/>
    <w:link w:val="FooterChar"/>
    <w:uiPriority w:val="99"/>
    <w:rsid w:val="00A43334"/>
    <w:pPr>
      <w:tabs>
        <w:tab w:val="center" w:pos="4680"/>
        <w:tab w:val="right" w:pos="9360"/>
      </w:tabs>
    </w:pPr>
  </w:style>
  <w:style w:type="character" w:customStyle="1" w:styleId="FooterChar">
    <w:name w:val="Footer Char"/>
    <w:basedOn w:val="DefaultParagraphFont"/>
    <w:link w:val="Footer"/>
    <w:uiPriority w:val="99"/>
    <w:rsid w:val="00A43334"/>
    <w:rPr>
      <w:rFonts w:ascii="Times New Roman" w:eastAsia="SimSun" w:hAnsi="Times New Roman" w:cs="Times New Roman"/>
      <w:kern w:val="0"/>
      <w:lang w:val="fr-CA"/>
      <w14:ligatures w14:val="none"/>
    </w:rPr>
  </w:style>
  <w:style w:type="character" w:customStyle="1" w:styleId="Heading3Char">
    <w:name w:val="Heading 3 Char"/>
    <w:basedOn w:val="DefaultParagraphFont"/>
    <w:link w:val="Heading3"/>
    <w:uiPriority w:val="9"/>
    <w:rsid w:val="00A43334"/>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43334"/>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A43334"/>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A43334"/>
    <w:rPr>
      <w:sz w:val="16"/>
      <w:szCs w:val="16"/>
      <w:lang w:val="fr-CA"/>
    </w:rPr>
  </w:style>
  <w:style w:type="paragraph" w:styleId="CommentText">
    <w:name w:val="annotation text"/>
    <w:basedOn w:val="Normal"/>
    <w:link w:val="CommentTextChar"/>
    <w:uiPriority w:val="99"/>
    <w:rsid w:val="00A43334"/>
    <w:rPr>
      <w:sz w:val="20"/>
      <w:szCs w:val="20"/>
    </w:rPr>
  </w:style>
  <w:style w:type="character" w:customStyle="1" w:styleId="CommentTextChar">
    <w:name w:val="Comment Text Char"/>
    <w:basedOn w:val="DefaultParagraphFont"/>
    <w:link w:val="CommentText"/>
    <w:uiPriority w:val="99"/>
    <w:rsid w:val="00A43334"/>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A43334"/>
    <w:rPr>
      <w:b/>
      <w:bCs/>
    </w:rPr>
  </w:style>
  <w:style w:type="character" w:customStyle="1" w:styleId="CommentSubjectChar">
    <w:name w:val="Comment Subject Char"/>
    <w:basedOn w:val="CommentTextChar"/>
    <w:link w:val="CommentSubject"/>
    <w:uiPriority w:val="99"/>
    <w:semiHidden/>
    <w:rsid w:val="00A43334"/>
    <w:rPr>
      <w:rFonts w:ascii="Times New Roman" w:eastAsia="SimSun" w:hAnsi="Times New Roman" w:cs="Times New Roman"/>
      <w:b/>
      <w:bCs/>
      <w:kern w:val="0"/>
      <w:sz w:val="20"/>
      <w:szCs w:val="20"/>
      <w:lang w:val="fr-CA"/>
      <w14:ligatures w14:val="none"/>
    </w:rPr>
  </w:style>
  <w:style w:type="character" w:customStyle="1" w:styleId="Heading6Char">
    <w:name w:val="Heading 6 Char"/>
    <w:basedOn w:val="DefaultParagraphFont"/>
    <w:link w:val="Heading6"/>
    <w:semiHidden/>
    <w:rsid w:val="00A43334"/>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A43334"/>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A43334"/>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A43334"/>
    <w:rPr>
      <w:rFonts w:ascii="Times New Roman" w:eastAsia="SimSun" w:hAnsi="Times New Roman" w:cs="Times New Roman"/>
      <w:snapToGrid w:val="0"/>
      <w:kern w:val="0"/>
      <w:u w:val="single"/>
      <w:lang w:val="fr-CA"/>
      <w14:ligatures w14:val="none"/>
    </w:rPr>
  </w:style>
  <w:style w:type="paragraph" w:styleId="Re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A43334"/>
    <w:pPr>
      <w:contextualSpacing/>
    </w:pPr>
  </w:style>
  <w:style w:type="numbering" w:customStyle="1" w:styleId="ListCBD">
    <w:name w:val="ListCBD"/>
    <w:basedOn w:val="NoList"/>
    <w:uiPriority w:val="99"/>
    <w:rsid w:val="00A43334"/>
    <w:pPr>
      <w:numPr>
        <w:numId w:val="7"/>
      </w:numPr>
    </w:pPr>
  </w:style>
  <w:style w:type="paragraph" w:styleId="ListParagraph">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43334"/>
    <w:rPr>
      <w:color w:val="0563C1" w:themeColor="hyperlink"/>
      <w:u w:val="single"/>
      <w:lang w:val="fr-CA"/>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Heading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fr-CA"/>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fr-CA"/>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fr-CA"/>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fr-CA"/>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fr-CA"/>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fr-CA"/>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fr-CA"/>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fr-CA"/>
      <w14:ligatures w14:val="none"/>
    </w:rPr>
  </w:style>
  <w:style w:type="character" w:styleId="BookTitle">
    <w:name w:val="Book Title"/>
    <w:basedOn w:val="DefaultParagraphFont"/>
    <w:uiPriority w:val="33"/>
    <w:qFormat/>
    <w:rsid w:val="00A43334"/>
    <w:rPr>
      <w:b/>
      <w:bCs/>
      <w:i/>
      <w:iCs/>
      <w:spacing w:val="5"/>
      <w:lang w:val="fr-CA"/>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fr-CA"/>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fr-CA"/>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fr-CA"/>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fr-CA"/>
      <w14:ligatures w14:val="none"/>
    </w:rPr>
  </w:style>
  <w:style w:type="character" w:styleId="Emphasis">
    <w:name w:val="Emphasis"/>
    <w:basedOn w:val="DefaultParagraphFont"/>
    <w:uiPriority w:val="20"/>
    <w:qFormat/>
    <w:rsid w:val="00A43334"/>
    <w:rPr>
      <w:i/>
      <w:iCs/>
      <w:lang w:val="fr-CA"/>
    </w:rPr>
  </w:style>
  <w:style w:type="character" w:styleId="EndnoteReference">
    <w:name w:val="endnote reference"/>
    <w:basedOn w:val="DefaultParagraphFont"/>
    <w:uiPriority w:val="99"/>
    <w:semiHidden/>
    <w:unhideWhenUsed/>
    <w:rsid w:val="00A43334"/>
    <w:rPr>
      <w:vertAlign w:val="superscript"/>
      <w:lang w:val="fr-CA"/>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fr-CA"/>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fr-CA"/>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fr-CA"/>
    </w:rPr>
  </w:style>
  <w:style w:type="character" w:styleId="HTMLAcronym">
    <w:name w:val="HTML Acronym"/>
    <w:basedOn w:val="DefaultParagraphFont"/>
    <w:uiPriority w:val="99"/>
    <w:semiHidden/>
    <w:unhideWhenUsed/>
    <w:rsid w:val="00A43334"/>
    <w:rPr>
      <w:lang w:val="fr-CA"/>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fr-CA"/>
      <w14:ligatures w14:val="none"/>
    </w:rPr>
  </w:style>
  <w:style w:type="character" w:styleId="HTMLCite">
    <w:name w:val="HTML Cite"/>
    <w:basedOn w:val="DefaultParagraphFont"/>
    <w:uiPriority w:val="99"/>
    <w:semiHidden/>
    <w:unhideWhenUsed/>
    <w:rsid w:val="00A43334"/>
    <w:rPr>
      <w:i/>
      <w:iCs/>
      <w:lang w:val="fr-CA"/>
    </w:rPr>
  </w:style>
  <w:style w:type="character" w:styleId="HTMLCode">
    <w:name w:val="HTML Code"/>
    <w:basedOn w:val="DefaultParagraphFont"/>
    <w:uiPriority w:val="99"/>
    <w:semiHidden/>
    <w:unhideWhenUsed/>
    <w:rsid w:val="00A43334"/>
    <w:rPr>
      <w:rFonts w:ascii="Consolas" w:hAnsi="Consolas"/>
      <w:sz w:val="20"/>
      <w:szCs w:val="20"/>
      <w:lang w:val="fr-CA"/>
    </w:rPr>
  </w:style>
  <w:style w:type="character" w:styleId="HTMLDefinition">
    <w:name w:val="HTML Definition"/>
    <w:basedOn w:val="DefaultParagraphFont"/>
    <w:uiPriority w:val="99"/>
    <w:semiHidden/>
    <w:unhideWhenUsed/>
    <w:rsid w:val="00A43334"/>
    <w:rPr>
      <w:i/>
      <w:iCs/>
      <w:lang w:val="fr-CA"/>
    </w:rPr>
  </w:style>
  <w:style w:type="character" w:styleId="HTMLKeyboard">
    <w:name w:val="HTML Keyboard"/>
    <w:basedOn w:val="DefaultParagraphFont"/>
    <w:uiPriority w:val="99"/>
    <w:semiHidden/>
    <w:unhideWhenUsed/>
    <w:rsid w:val="00A43334"/>
    <w:rPr>
      <w:rFonts w:ascii="Consolas" w:hAnsi="Consolas"/>
      <w:sz w:val="20"/>
      <w:szCs w:val="20"/>
      <w:lang w:val="fr-CA"/>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fr-CA"/>
      <w14:ligatures w14:val="none"/>
    </w:rPr>
  </w:style>
  <w:style w:type="character" w:styleId="HTMLSample">
    <w:name w:val="HTML Sample"/>
    <w:basedOn w:val="DefaultParagraphFont"/>
    <w:uiPriority w:val="99"/>
    <w:semiHidden/>
    <w:unhideWhenUsed/>
    <w:rsid w:val="00A43334"/>
    <w:rPr>
      <w:rFonts w:ascii="Consolas" w:hAnsi="Consolas"/>
      <w:sz w:val="24"/>
      <w:szCs w:val="24"/>
      <w:lang w:val="fr-CA"/>
    </w:rPr>
  </w:style>
  <w:style w:type="character" w:styleId="HTMLTypewriter">
    <w:name w:val="HTML Typewriter"/>
    <w:basedOn w:val="DefaultParagraphFont"/>
    <w:uiPriority w:val="99"/>
    <w:semiHidden/>
    <w:unhideWhenUsed/>
    <w:rsid w:val="00A43334"/>
    <w:rPr>
      <w:rFonts w:ascii="Consolas" w:hAnsi="Consolas"/>
      <w:sz w:val="20"/>
      <w:szCs w:val="20"/>
      <w:lang w:val="fr-CA"/>
    </w:rPr>
  </w:style>
  <w:style w:type="character" w:styleId="HTMLVariable">
    <w:name w:val="HTML Variable"/>
    <w:basedOn w:val="DefaultParagraphFont"/>
    <w:uiPriority w:val="99"/>
    <w:semiHidden/>
    <w:unhideWhenUsed/>
    <w:rsid w:val="00A43334"/>
    <w:rPr>
      <w:i/>
      <w:iCs/>
      <w:lang w:val="fr-CA"/>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fr-CA"/>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fr-CA"/>
      <w14:ligatures w14:val="none"/>
    </w:rPr>
  </w:style>
  <w:style w:type="character" w:styleId="IntenseReference">
    <w:name w:val="Intense Reference"/>
    <w:basedOn w:val="DefaultParagraphFont"/>
    <w:uiPriority w:val="32"/>
    <w:qFormat/>
    <w:rsid w:val="00A43334"/>
    <w:rPr>
      <w:b/>
      <w:bCs/>
      <w:smallCaps/>
      <w:color w:val="4472C4" w:themeColor="accent1"/>
      <w:spacing w:val="5"/>
      <w:lang w:val="fr-CA"/>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fr-CA"/>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numPr>
        <w:numId w:val="2"/>
      </w:numPr>
      <w:contextualSpacing/>
    </w:pPr>
  </w:style>
  <w:style w:type="paragraph" w:styleId="ListBullet2">
    <w:name w:val="List Bullet 2"/>
    <w:basedOn w:val="Normal"/>
    <w:uiPriority w:val="99"/>
    <w:semiHidden/>
    <w:unhideWhenUsed/>
    <w:rsid w:val="00A43334"/>
    <w:pPr>
      <w:numPr>
        <w:numId w:val="3"/>
      </w:numPr>
      <w:contextualSpacing/>
    </w:pPr>
  </w:style>
  <w:style w:type="paragraph" w:styleId="ListBullet3">
    <w:name w:val="List Bullet 3"/>
    <w:basedOn w:val="Normal"/>
    <w:uiPriority w:val="99"/>
    <w:semiHidden/>
    <w:unhideWhenUsed/>
    <w:rsid w:val="00A43334"/>
    <w:pPr>
      <w:numPr>
        <w:numId w:val="4"/>
      </w:numPr>
      <w:contextualSpacing/>
    </w:pPr>
  </w:style>
  <w:style w:type="paragraph" w:styleId="ListBullet4">
    <w:name w:val="List Bullet 4"/>
    <w:basedOn w:val="Normal"/>
    <w:uiPriority w:val="99"/>
    <w:semiHidden/>
    <w:unhideWhenUsed/>
    <w:rsid w:val="00A43334"/>
    <w:pPr>
      <w:numPr>
        <w:numId w:val="5"/>
      </w:numPr>
      <w:contextualSpacing/>
    </w:pPr>
  </w:style>
  <w:style w:type="paragraph" w:styleId="ListBullet5">
    <w:name w:val="List Bullet 5"/>
    <w:basedOn w:val="Normal"/>
    <w:uiPriority w:val="99"/>
    <w:semiHidden/>
    <w:unhideWhenUsed/>
    <w:rsid w:val="00A43334"/>
    <w:pPr>
      <w:numPr>
        <w:numId w:val="6"/>
      </w:numPr>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numPr>
        <w:numId w:val="10"/>
      </w:numPr>
      <w:contextualSpacing/>
    </w:pPr>
  </w:style>
  <w:style w:type="paragraph" w:styleId="ListNumber2">
    <w:name w:val="List Number 2"/>
    <w:basedOn w:val="Normal"/>
    <w:uiPriority w:val="99"/>
    <w:semiHidden/>
    <w:unhideWhenUsed/>
    <w:rsid w:val="00A43334"/>
    <w:pPr>
      <w:numPr>
        <w:numId w:val="11"/>
      </w:numPr>
      <w:contextualSpacing/>
    </w:pPr>
  </w:style>
  <w:style w:type="paragraph" w:styleId="ListNumber3">
    <w:name w:val="List Number 3"/>
    <w:basedOn w:val="Normal"/>
    <w:uiPriority w:val="99"/>
    <w:semiHidden/>
    <w:unhideWhenUsed/>
    <w:rsid w:val="00A43334"/>
    <w:pPr>
      <w:numPr>
        <w:numId w:val="12"/>
      </w:numPr>
      <w:contextualSpacing/>
    </w:pPr>
  </w:style>
  <w:style w:type="paragraph" w:styleId="ListNumber4">
    <w:name w:val="List Number 4"/>
    <w:basedOn w:val="Normal"/>
    <w:uiPriority w:val="99"/>
    <w:semiHidden/>
    <w:unhideWhenUsed/>
    <w:rsid w:val="00A43334"/>
    <w:pPr>
      <w:numPr>
        <w:numId w:val="13"/>
      </w:numPr>
      <w:contextualSpacing/>
    </w:pPr>
  </w:style>
  <w:style w:type="paragraph" w:styleId="ListNumber5">
    <w:name w:val="List Number 5"/>
    <w:basedOn w:val="Normal"/>
    <w:uiPriority w:val="99"/>
    <w:semiHidden/>
    <w:unhideWhenUsed/>
    <w:rsid w:val="00A43334"/>
    <w:pPr>
      <w:numPr>
        <w:numId w:val="14"/>
      </w:numPr>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fr-CA"/>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fr-CA"/>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fr-CA"/>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fr-CA"/>
      <w14:ligatures w14:val="none"/>
    </w:rPr>
  </w:style>
  <w:style w:type="character" w:styleId="PageNumber">
    <w:name w:val="page number"/>
    <w:basedOn w:val="DefaultParagraphFont"/>
    <w:uiPriority w:val="99"/>
    <w:semiHidden/>
    <w:unhideWhenUsed/>
    <w:rsid w:val="00A43334"/>
    <w:rPr>
      <w:lang w:val="fr-CA"/>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fr-CA"/>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fr-CA"/>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fr-CA"/>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fr-CA"/>
      <w14:ligatures w14:val="none"/>
    </w:rPr>
  </w:style>
  <w:style w:type="character" w:styleId="SmartHyperlink">
    <w:name w:val="Smart Hyperlink"/>
    <w:basedOn w:val="DefaultParagraphFont"/>
    <w:uiPriority w:val="99"/>
    <w:semiHidden/>
    <w:unhideWhenUsed/>
    <w:rsid w:val="00A43334"/>
    <w:rPr>
      <w:u w:val="dotted"/>
      <w:lang w:val="fr-CA"/>
    </w:rPr>
  </w:style>
  <w:style w:type="character" w:styleId="SmartLink">
    <w:name w:val="Smart Link"/>
    <w:basedOn w:val="DefaultParagraphFont"/>
    <w:uiPriority w:val="99"/>
    <w:semiHidden/>
    <w:unhideWhenUsed/>
    <w:rsid w:val="00A43334"/>
    <w:rPr>
      <w:color w:val="0000FF"/>
      <w:u w:val="single"/>
      <w:shd w:val="clear" w:color="auto" w:fill="F3F2F1"/>
      <w:lang w:val="fr-CA"/>
    </w:rPr>
  </w:style>
  <w:style w:type="character" w:styleId="Strong">
    <w:name w:val="Strong"/>
    <w:basedOn w:val="DefaultParagraphFont"/>
    <w:uiPriority w:val="22"/>
    <w:qFormat/>
    <w:rsid w:val="00A43334"/>
    <w:rPr>
      <w:b/>
      <w:bCs/>
      <w:lang w:val="fr-CA"/>
    </w:rPr>
  </w:style>
  <w:style w:type="character" w:styleId="SubtleEmphasis">
    <w:name w:val="Subtle Emphasis"/>
    <w:basedOn w:val="DefaultParagraphFont"/>
    <w:uiPriority w:val="19"/>
    <w:qFormat/>
    <w:rsid w:val="00A43334"/>
    <w:rPr>
      <w:i/>
      <w:iCs/>
      <w:color w:val="404040" w:themeColor="text1" w:themeTint="BF"/>
      <w:lang w:val="fr-CA"/>
    </w:rPr>
  </w:style>
  <w:style w:type="character" w:styleId="SubtleReference">
    <w:name w:val="Subtle Reference"/>
    <w:basedOn w:val="DefaultParagraphFont"/>
    <w:uiPriority w:val="31"/>
    <w:qFormat/>
    <w:rsid w:val="00A43334"/>
    <w:rPr>
      <w:smallCaps/>
      <w:color w:val="5A5A5A" w:themeColor="text1" w:themeTint="A5"/>
      <w:lang w:val="fr-CA"/>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fr-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7A6FFC"/>
    <w:pPr>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0811">
      <w:bodyDiv w:val="1"/>
      <w:marLeft w:val="0"/>
      <w:marRight w:val="0"/>
      <w:marTop w:val="0"/>
      <w:marBottom w:val="0"/>
      <w:divBdr>
        <w:top w:val="none" w:sz="0" w:space="0" w:color="auto"/>
        <w:left w:val="none" w:sz="0" w:space="0" w:color="auto"/>
        <w:bottom w:val="none" w:sz="0" w:space="0" w:color="auto"/>
        <w:right w:val="none" w:sz="0" w:space="0" w:color="auto"/>
      </w:divBdr>
    </w:div>
    <w:div w:id="10618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p-mop-10/cp-mop-10-dec-13-f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3-fr.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53BED"/>
    <w:rsid w:val="00062B22"/>
    <w:rsid w:val="00131772"/>
    <w:rsid w:val="00303F0B"/>
    <w:rsid w:val="003A12B5"/>
    <w:rsid w:val="003B0C6B"/>
    <w:rsid w:val="004202A4"/>
    <w:rsid w:val="005918C9"/>
    <w:rsid w:val="006658EC"/>
    <w:rsid w:val="0066755D"/>
    <w:rsid w:val="009E41C8"/>
    <w:rsid w:val="00A1740F"/>
    <w:rsid w:val="00A30018"/>
    <w:rsid w:val="00C15E8B"/>
    <w:rsid w:val="00C301AA"/>
    <w:rsid w:val="00CC4FE8"/>
    <w:rsid w:val="00CC776C"/>
    <w:rsid w:val="00D044B3"/>
    <w:rsid w:val="00D154E8"/>
    <w:rsid w:val="00DD0102"/>
    <w:rsid w:val="00E45CE8"/>
    <w:rsid w:val="00F44EFC"/>
    <w:rsid w:val="00FE6E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B7ACD4F2-8D78-44C1-9956-D66C5470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B6590D0A-32C3-43EC-A257-1CAA4D351A9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4</TotalTime>
  <Pages>2</Pages>
  <Words>649</Words>
  <Characters>3702</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Protocole additionnel de Nagoya-Kuala Lumpur sur la responsabilité et la réparation</vt:lpstr>
      <vt:lpstr>Title of the document</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25 octobre 2024</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Mariko Nishi</cp:lastModifiedBy>
  <cp:revision>17</cp:revision>
  <dcterms:created xsi:type="dcterms:W3CDTF">2025-02-17T18:04:00Z</dcterms:created>
  <dcterms:modified xsi:type="dcterms:W3CDTF">2025-02-17T20:58:00Z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