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3966DC" w14:paraId="5CBC74AE" w14:textId="77777777" w:rsidTr="00A43334">
        <w:trPr>
          <w:trHeight w:val="850"/>
        </w:trPr>
        <w:tc>
          <w:tcPr>
            <w:tcW w:w="975" w:type="dxa"/>
            <w:shd w:val="clear" w:color="auto" w:fill="auto"/>
            <w:vAlign w:val="bottom"/>
          </w:tcPr>
          <w:p w14:paraId="6D24D026" w14:textId="77777777" w:rsidR="00A43334" w:rsidRPr="003966DC" w:rsidRDefault="00A43334" w:rsidP="00A43334">
            <w:pPr>
              <w:pStyle w:val="AASmallLogo"/>
              <w:rPr>
                <w:lang w:val="fr-FR"/>
              </w:rPr>
            </w:pPr>
            <w:r w:rsidRPr="003966DC">
              <w:rPr>
                <w:noProof/>
                <w:lang w:val="fr-FR"/>
                <w14:ligatures w14:val="standardContextual"/>
              </w:rPr>
              <w:drawing>
                <wp:inline distT="0" distB="0" distL="0" distR="0" wp14:anchorId="5CD2063A" wp14:editId="0045CDD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966DC">
              <w:rPr>
                <w:lang w:val="fr-FR"/>
              </w:rPr>
              <w:t xml:space="preserve"> </w:t>
            </w:r>
          </w:p>
          <w:p w14:paraId="385239EA" w14:textId="77777777" w:rsidR="00A43334" w:rsidRPr="003966DC" w:rsidRDefault="00A43334" w:rsidP="00A43334">
            <w:pPr>
              <w:pStyle w:val="AASmallLogo"/>
              <w:rPr>
                <w:lang w:val="fr-FR"/>
              </w:rPr>
            </w:pPr>
          </w:p>
        </w:tc>
        <w:tc>
          <w:tcPr>
            <w:tcW w:w="975" w:type="dxa"/>
            <w:shd w:val="clear" w:color="auto" w:fill="auto"/>
            <w:noWrap/>
            <w:vAlign w:val="bottom"/>
          </w:tcPr>
          <w:p w14:paraId="4584A671" w14:textId="218FE08B" w:rsidR="00A43334" w:rsidRPr="003966DC" w:rsidRDefault="00A43334" w:rsidP="00A43334">
            <w:pPr>
              <w:pStyle w:val="AASmallLogo"/>
              <w:rPr>
                <w:lang w:val="fr-FR"/>
              </w:rPr>
            </w:pPr>
            <w:r w:rsidRPr="003966DC">
              <w:rPr>
                <w:lang w:val="fr-FR"/>
              </w:rPr>
              <w:t xml:space="preserve"> </w:t>
            </w:r>
            <w:r w:rsidR="005F5949" w:rsidRPr="003966DC">
              <w:rPr>
                <w:noProof/>
                <w:lang w:val="fr-FR" w:eastAsia="fr-FR"/>
              </w:rPr>
              <w:drawing>
                <wp:inline distT="0" distB="0" distL="0" distR="0" wp14:anchorId="27A5F709" wp14:editId="2502D323">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p w14:paraId="0CF20E20" w14:textId="77777777" w:rsidR="00A43334" w:rsidRPr="003966DC" w:rsidRDefault="00A43334" w:rsidP="00A43334">
            <w:pPr>
              <w:pStyle w:val="AASmallLogo"/>
              <w:rPr>
                <w:lang w:val="fr-FR"/>
              </w:rPr>
            </w:pPr>
          </w:p>
        </w:tc>
        <w:tc>
          <w:tcPr>
            <w:tcW w:w="8532" w:type="dxa"/>
            <w:shd w:val="clear" w:color="auto" w:fill="auto"/>
            <w:vAlign w:val="bottom"/>
          </w:tcPr>
          <w:p w14:paraId="3D14A9A2" w14:textId="22816F1E" w:rsidR="00A43334" w:rsidRPr="003966DC" w:rsidRDefault="00A43334" w:rsidP="00A43334">
            <w:pPr>
              <w:pStyle w:val="ABSymbol"/>
              <w:rPr>
                <w:lang w:val="fr-FR"/>
              </w:rPr>
            </w:pPr>
            <w:r w:rsidRPr="003966DC">
              <w:rPr>
                <w:sz w:val="40"/>
                <w:lang w:val="fr-FR"/>
              </w:rPr>
              <w:t>CBD</w:t>
            </w:r>
            <w:r w:rsidRPr="003966DC">
              <w:rPr>
                <w:lang w:val="fr-FR"/>
              </w:rPr>
              <w:t>/</w:t>
            </w:r>
            <w:bookmarkStart w:id="0" w:name="CBDSymbolPart2"/>
            <w:r w:rsidR="00D036C4" w:rsidRPr="00372DC4">
              <w:t>CP/</w:t>
            </w:r>
            <w:bookmarkStart w:id="1" w:name="CBDSymbolPart3"/>
            <w:bookmarkEnd w:id="0"/>
            <w:r w:rsidR="00D036C4" w:rsidRPr="00372DC4">
              <w:t>MOP/</w:t>
            </w:r>
            <w:bookmarkEnd w:id="1"/>
            <w:r w:rsidR="00D036C4">
              <w:t>DEC/</w:t>
            </w:r>
            <w:r w:rsidR="00D036C4" w:rsidRPr="00372DC4">
              <w:t>11</w:t>
            </w:r>
            <w:r w:rsidR="00D036C4" w:rsidRPr="00372DC4">
              <w:rPr>
                <w:b/>
                <w:bCs/>
              </w:rPr>
              <w:t>/</w:t>
            </w:r>
            <w:r w:rsidR="00D036C4">
              <w:t>11</w:t>
            </w:r>
          </w:p>
        </w:tc>
      </w:tr>
    </w:tbl>
    <w:p w14:paraId="44D52654" w14:textId="77777777" w:rsidR="00A43334" w:rsidRPr="003966DC" w:rsidRDefault="00A43334" w:rsidP="00A43334">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8D0279" w14:paraId="0ED7D687" w14:textId="77777777" w:rsidTr="00A43334">
        <w:trPr>
          <w:trHeight w:val="2098"/>
        </w:trPr>
        <w:tc>
          <w:tcPr>
            <w:tcW w:w="7370" w:type="dxa"/>
            <w:shd w:val="clear" w:color="auto" w:fill="auto"/>
          </w:tcPr>
          <w:p w14:paraId="402C4CAB" w14:textId="64DBC2F4" w:rsidR="00A43334" w:rsidRPr="003966DC" w:rsidRDefault="00485187" w:rsidP="00A43334">
            <w:pPr>
              <w:pStyle w:val="ACLargeLogo"/>
              <w:rPr>
                <w:lang w:val="fr-FR"/>
              </w:rPr>
            </w:pPr>
            <w:r w:rsidRPr="003966DC">
              <w:rPr>
                <w:noProof/>
                <w:lang w:val="fr-FR" w:eastAsia="fr-FR"/>
              </w:rPr>
              <w:drawing>
                <wp:inline distT="0" distB="0" distL="0" distR="0" wp14:anchorId="5DD3055F" wp14:editId="0381FB96">
                  <wp:extent cx="2735580" cy="1030402"/>
                  <wp:effectExtent l="0" t="0" r="7620" b="0"/>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0095" cy="1032103"/>
                          </a:xfrm>
                          <a:prstGeom prst="rect">
                            <a:avLst/>
                          </a:prstGeom>
                          <a:noFill/>
                          <a:ln>
                            <a:noFill/>
                          </a:ln>
                        </pic:spPr>
                      </pic:pic>
                    </a:graphicData>
                  </a:graphic>
                </wp:inline>
              </w:drawing>
            </w:r>
            <w:r w:rsidR="00A43334" w:rsidRPr="003966DC">
              <w:rPr>
                <w:lang w:val="fr-FR"/>
              </w:rPr>
              <w:t xml:space="preserve"> </w:t>
            </w:r>
          </w:p>
          <w:p w14:paraId="7E860207" w14:textId="77777777" w:rsidR="00A43334" w:rsidRPr="003966DC" w:rsidRDefault="00A43334" w:rsidP="00A43334">
            <w:pPr>
              <w:pStyle w:val="ACLargeLogo"/>
              <w:rPr>
                <w:lang w:val="fr-FR"/>
              </w:rPr>
            </w:pPr>
          </w:p>
        </w:tc>
        <w:tc>
          <w:tcPr>
            <w:tcW w:w="3112" w:type="dxa"/>
            <w:shd w:val="clear" w:color="auto" w:fill="auto"/>
          </w:tcPr>
          <w:p w14:paraId="264E466C" w14:textId="66FE7488" w:rsidR="00840188" w:rsidRPr="003966DC" w:rsidRDefault="00840188" w:rsidP="00840188">
            <w:pPr>
              <w:pStyle w:val="AEDistrNormal"/>
              <w:rPr>
                <w:lang w:val="fr-FR"/>
              </w:rPr>
            </w:pPr>
            <w:r w:rsidRPr="003966DC">
              <w:rPr>
                <w:lang w:val="fr-FR"/>
              </w:rPr>
              <w:t xml:space="preserve">Distr. : </w:t>
            </w:r>
            <w:r w:rsidR="00337C47">
              <w:rPr>
                <w:lang w:val="fr-FR"/>
              </w:rPr>
              <w:t>générale</w:t>
            </w:r>
            <w:r w:rsidRPr="003966DC">
              <w:rPr>
                <w:lang w:val="fr-FR"/>
              </w:rPr>
              <w:t xml:space="preserve"> </w:t>
            </w:r>
          </w:p>
          <w:p w14:paraId="23F070DB" w14:textId="388CA7EE" w:rsidR="00840188" w:rsidRPr="003966DC" w:rsidRDefault="00337C47" w:rsidP="00840188">
            <w:pPr>
              <w:pStyle w:val="AEDistrNormal"/>
              <w:rPr>
                <w:lang w:val="fr-FR"/>
              </w:rPr>
            </w:pPr>
            <w:r>
              <w:rPr>
                <w:lang w:val="fr-FR"/>
              </w:rPr>
              <w:t>6</w:t>
            </w:r>
            <w:r w:rsidR="00840188" w:rsidRPr="003966DC">
              <w:rPr>
                <w:lang w:val="fr-FR"/>
              </w:rPr>
              <w:t xml:space="preserve"> </w:t>
            </w:r>
            <w:r>
              <w:rPr>
                <w:lang w:val="fr-FR"/>
              </w:rPr>
              <w:t>déc</w:t>
            </w:r>
            <w:r w:rsidR="00840188" w:rsidRPr="003966DC">
              <w:rPr>
                <w:lang w:val="fr-FR"/>
              </w:rPr>
              <w:t>embre 2024</w:t>
            </w:r>
          </w:p>
          <w:p w14:paraId="43B45C3D" w14:textId="77777777" w:rsidR="00840188" w:rsidRPr="003966DC" w:rsidRDefault="00840188" w:rsidP="00840188">
            <w:pPr>
              <w:pStyle w:val="AEDistrNormal"/>
              <w:rPr>
                <w:lang w:val="fr-FR"/>
              </w:rPr>
            </w:pPr>
            <w:r w:rsidRPr="003966DC">
              <w:rPr>
                <w:lang w:val="fr-FR"/>
              </w:rPr>
              <w:t xml:space="preserve">Français </w:t>
            </w:r>
          </w:p>
          <w:p w14:paraId="446A838B" w14:textId="43E1ACF0" w:rsidR="00A43334" w:rsidRPr="003966DC" w:rsidRDefault="00840188" w:rsidP="00840188">
            <w:pPr>
              <w:pStyle w:val="AEDistrNormal"/>
              <w:rPr>
                <w:lang w:val="fr-FR"/>
              </w:rPr>
            </w:pPr>
            <w:r w:rsidRPr="003966DC">
              <w:rPr>
                <w:lang w:val="fr-FR"/>
              </w:rPr>
              <w:t>Original : anglais</w:t>
            </w:r>
          </w:p>
          <w:p w14:paraId="45454E40" w14:textId="77777777" w:rsidR="00A43334" w:rsidRPr="003966DC" w:rsidRDefault="00A43334" w:rsidP="00A43334">
            <w:pPr>
              <w:pStyle w:val="AEDistrNormal6pt"/>
              <w:rPr>
                <w:lang w:val="fr-FR"/>
              </w:rPr>
            </w:pPr>
          </w:p>
        </w:tc>
      </w:tr>
    </w:tbl>
    <w:p w14:paraId="094DB464" w14:textId="77777777" w:rsidR="00A43334" w:rsidRPr="003966DC" w:rsidRDefault="00A43334" w:rsidP="00A43334">
      <w:pPr>
        <w:pStyle w:val="AISpacer"/>
        <w:rPr>
          <w:lang w:val="fr-FR"/>
        </w:rP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8D0279" w14:paraId="6E7D2C1C" w14:textId="77777777" w:rsidTr="00A43334">
        <w:trPr>
          <w:trHeight w:val="57"/>
        </w:trPr>
        <w:tc>
          <w:tcPr>
            <w:tcW w:w="5244" w:type="dxa"/>
            <w:shd w:val="clear" w:color="auto" w:fill="auto"/>
          </w:tcPr>
          <w:p w14:paraId="050E0E6A" w14:textId="41FC8EDA" w:rsidR="00A43334" w:rsidRPr="003966DC" w:rsidRDefault="00A43334" w:rsidP="00A43334">
            <w:pPr>
              <w:pStyle w:val="AFCorNot12Bold"/>
              <w:rPr>
                <w:lang w:val="fr-FR"/>
              </w:rPr>
            </w:pPr>
            <w:r w:rsidRPr="003966DC">
              <w:rPr>
                <w:lang w:val="fr-FR"/>
              </w:rPr>
              <w:t>Conf</w:t>
            </w:r>
            <w:r w:rsidR="00E33C97" w:rsidRPr="003966DC">
              <w:rPr>
                <w:lang w:val="fr-FR"/>
              </w:rPr>
              <w:t>é</w:t>
            </w:r>
            <w:r w:rsidRPr="003966DC">
              <w:rPr>
                <w:lang w:val="fr-FR"/>
              </w:rPr>
              <w:t xml:space="preserve">rence </w:t>
            </w:r>
            <w:r w:rsidR="00894E8A" w:rsidRPr="003966DC">
              <w:rPr>
                <w:lang w:val="fr-FR"/>
              </w:rPr>
              <w:t xml:space="preserve">des </w:t>
            </w:r>
            <w:r w:rsidRPr="003966DC">
              <w:rPr>
                <w:lang w:val="fr-FR"/>
              </w:rPr>
              <w:t xml:space="preserve">Parties </w:t>
            </w:r>
            <w:r w:rsidR="006D304D" w:rsidRPr="003966DC">
              <w:rPr>
                <w:lang w:val="fr-FR"/>
              </w:rPr>
              <w:t xml:space="preserve">à la </w:t>
            </w:r>
            <w:r w:rsidRPr="003966DC">
              <w:rPr>
                <w:lang w:val="fr-FR"/>
              </w:rPr>
              <w:t xml:space="preserve">Convention </w:t>
            </w:r>
            <w:r w:rsidR="006D304D" w:rsidRPr="003966DC">
              <w:rPr>
                <w:lang w:val="fr-FR"/>
              </w:rPr>
              <w:t>sur</w:t>
            </w:r>
            <w:r w:rsidR="00BD23D7">
              <w:rPr>
                <w:lang w:val="fr-FR"/>
              </w:rPr>
              <w:t xml:space="preserve"> </w:t>
            </w:r>
            <w:r w:rsidR="0078783E" w:rsidRPr="003966DC">
              <w:rPr>
                <w:snapToGrid w:val="0"/>
                <w:lang w:val="fr-FR"/>
              </w:rPr>
              <w:t xml:space="preserve">la diversité biologique siégeant en </w:t>
            </w:r>
            <w:r w:rsidR="001E2CCC" w:rsidRPr="003966DC">
              <w:rPr>
                <w:snapToGrid w:val="0"/>
                <w:lang w:val="fr-FR"/>
              </w:rPr>
              <w:t>tant que réunion des Parties</w:t>
            </w:r>
            <w:r w:rsidR="001E2CCC" w:rsidRPr="003966DC">
              <w:rPr>
                <w:lang w:val="fr-FR"/>
              </w:rPr>
              <w:t xml:space="preserve"> </w:t>
            </w:r>
            <w:r w:rsidR="00F85048" w:rsidRPr="003966DC">
              <w:rPr>
                <w:snapToGrid w:val="0"/>
                <w:lang w:val="fr-FR"/>
              </w:rPr>
              <w:t>au Protocole de Cartagena sur la prévention des risques biotechnologiques</w:t>
            </w:r>
            <w:r w:rsidR="00F85048" w:rsidRPr="003966DC">
              <w:rPr>
                <w:lang w:val="fr-FR"/>
              </w:rPr>
              <w:t xml:space="preserve"> </w:t>
            </w:r>
          </w:p>
          <w:p w14:paraId="074BA0D3" w14:textId="741ACCC9" w:rsidR="00A43334" w:rsidRPr="003966DC" w:rsidRDefault="00E1286E" w:rsidP="00A43334">
            <w:pPr>
              <w:pStyle w:val="AFCorNotBold"/>
              <w:rPr>
                <w:lang w:val="fr-FR"/>
              </w:rPr>
            </w:pPr>
            <w:bookmarkStart w:id="2" w:name="CBDMeetingName2"/>
            <w:r w:rsidRPr="003966DC">
              <w:rPr>
                <w:lang w:val="fr-FR"/>
              </w:rPr>
              <w:t>Onzième réunion</w:t>
            </w:r>
            <w:bookmarkEnd w:id="2"/>
            <w:r w:rsidR="00045979" w:rsidRPr="003966DC">
              <w:rPr>
                <w:lang w:val="fr-FR"/>
              </w:rPr>
              <w:t xml:space="preserve">, </w:t>
            </w:r>
            <w:r w:rsidRPr="003966DC">
              <w:rPr>
                <w:lang w:val="fr-FR"/>
              </w:rPr>
              <w:t xml:space="preserve">première reprise de la </w:t>
            </w:r>
            <w:r w:rsidR="00045979" w:rsidRPr="003966DC">
              <w:rPr>
                <w:lang w:val="fr-FR"/>
              </w:rPr>
              <w:t>session</w:t>
            </w:r>
            <w:r w:rsidR="00A43334" w:rsidRPr="003966DC">
              <w:rPr>
                <w:lang w:val="fr-FR"/>
              </w:rPr>
              <w:t xml:space="preserve"> </w:t>
            </w:r>
          </w:p>
          <w:p w14:paraId="7B65677C" w14:textId="52B69D26" w:rsidR="00A43334" w:rsidRPr="003966DC" w:rsidRDefault="00E1286E" w:rsidP="00A43334">
            <w:pPr>
              <w:pStyle w:val="AFCorNotNormal"/>
              <w:rPr>
                <w:lang w:val="fr-FR"/>
              </w:rPr>
            </w:pPr>
            <w:bookmarkStart w:id="3" w:name="_Hlk183617100"/>
            <w:r w:rsidRPr="003966DC">
              <w:rPr>
                <w:lang w:val="fr-FR"/>
              </w:rPr>
              <w:t>En ligne</w:t>
            </w:r>
            <w:r w:rsidR="00045979" w:rsidRPr="003966DC">
              <w:rPr>
                <w:lang w:val="fr-FR"/>
              </w:rPr>
              <w:t>, 3</w:t>
            </w:r>
            <w:r w:rsidR="00894E8A" w:rsidRPr="003966DC">
              <w:rPr>
                <w:lang w:val="fr-FR"/>
              </w:rPr>
              <w:t>-</w:t>
            </w:r>
            <w:r w:rsidR="00045979" w:rsidRPr="003966DC">
              <w:rPr>
                <w:lang w:val="fr-FR"/>
              </w:rPr>
              <w:t xml:space="preserve">6 </w:t>
            </w:r>
            <w:r w:rsidR="00AD6B19" w:rsidRPr="003966DC">
              <w:rPr>
                <w:lang w:val="fr-FR"/>
              </w:rPr>
              <w:t>dé</w:t>
            </w:r>
            <w:r w:rsidR="00045979" w:rsidRPr="003966DC">
              <w:rPr>
                <w:lang w:val="fr-FR"/>
              </w:rPr>
              <w:t>cemb</w:t>
            </w:r>
            <w:r w:rsidR="00AD6B19" w:rsidRPr="003966DC">
              <w:rPr>
                <w:lang w:val="fr-FR"/>
              </w:rPr>
              <w:t>r</w:t>
            </w:r>
            <w:r w:rsidR="00045979" w:rsidRPr="003966DC">
              <w:rPr>
                <w:lang w:val="fr-FR"/>
              </w:rPr>
              <w:t>e 2024</w:t>
            </w:r>
            <w:bookmarkEnd w:id="3"/>
          </w:p>
          <w:p w14:paraId="7C400005" w14:textId="1AE39112" w:rsidR="00A43334" w:rsidRPr="003966DC" w:rsidRDefault="00AD6B19" w:rsidP="00A43334">
            <w:pPr>
              <w:pStyle w:val="AFCorNotNormal"/>
              <w:rPr>
                <w:lang w:val="fr-FR"/>
              </w:rPr>
            </w:pPr>
            <w:bookmarkStart w:id="4" w:name="CBDMeetingAgendaItem"/>
            <w:r w:rsidRPr="003966DC">
              <w:rPr>
                <w:lang w:val="fr-FR"/>
              </w:rPr>
              <w:t xml:space="preserve">Point </w:t>
            </w:r>
            <w:r w:rsidR="00082180" w:rsidRPr="003966DC">
              <w:rPr>
                <w:lang w:val="fr-FR"/>
              </w:rPr>
              <w:t>6</w:t>
            </w:r>
            <w:bookmarkEnd w:id="4"/>
            <w:r w:rsidRPr="003966DC">
              <w:rPr>
                <w:lang w:val="fr-FR"/>
              </w:rPr>
              <w:t xml:space="preserve"> de l’ordre du jour</w:t>
            </w:r>
          </w:p>
          <w:p w14:paraId="3E4DC94F" w14:textId="14DB257F" w:rsidR="00C60B91" w:rsidRPr="003966DC" w:rsidRDefault="00D50571" w:rsidP="0043794D">
            <w:pPr>
              <w:pStyle w:val="AFCorNotBold"/>
              <w:jc w:val="left"/>
              <w:rPr>
                <w:lang w:val="fr-FR"/>
              </w:rPr>
            </w:pPr>
            <w:r w:rsidRPr="003966DC">
              <w:rPr>
                <w:lang w:val="fr-FR"/>
              </w:rPr>
              <w:t xml:space="preserve">Administration </w:t>
            </w:r>
            <w:r w:rsidR="00AD6B19" w:rsidRPr="003966DC">
              <w:rPr>
                <w:lang w:val="fr-FR"/>
              </w:rPr>
              <w:t xml:space="preserve">du </w:t>
            </w:r>
            <w:r w:rsidRPr="003966DC">
              <w:rPr>
                <w:lang w:val="fr-FR"/>
              </w:rPr>
              <w:t>Protocol</w:t>
            </w:r>
            <w:r w:rsidR="00AD6B19" w:rsidRPr="003966DC">
              <w:rPr>
                <w:lang w:val="fr-FR"/>
              </w:rPr>
              <w:t>e</w:t>
            </w:r>
            <w:r w:rsidRPr="003966DC">
              <w:rPr>
                <w:lang w:val="fr-FR"/>
              </w:rPr>
              <w:t xml:space="preserve"> </w:t>
            </w:r>
            <w:r w:rsidR="008A0481" w:rsidRPr="003966DC">
              <w:rPr>
                <w:lang w:val="fr-FR"/>
              </w:rPr>
              <w:br/>
            </w:r>
            <w:r w:rsidR="00AD6B19" w:rsidRPr="003966DC">
              <w:rPr>
                <w:lang w:val="fr-FR"/>
              </w:rPr>
              <w:t xml:space="preserve">et </w:t>
            </w:r>
            <w:r w:rsidRPr="003966DC">
              <w:rPr>
                <w:lang w:val="fr-FR"/>
              </w:rPr>
              <w:t xml:space="preserve">budget </w:t>
            </w:r>
            <w:r w:rsidR="00BB5137" w:rsidRPr="003966DC">
              <w:rPr>
                <w:lang w:val="fr-FR"/>
              </w:rPr>
              <w:t xml:space="preserve">des </w:t>
            </w:r>
            <w:r w:rsidR="00AD6B19" w:rsidRPr="003966DC">
              <w:rPr>
                <w:lang w:val="fr-FR"/>
              </w:rPr>
              <w:t xml:space="preserve">fonds d’affectation spéciale </w:t>
            </w:r>
          </w:p>
        </w:tc>
        <w:tc>
          <w:tcPr>
            <w:tcW w:w="5238" w:type="dxa"/>
            <w:shd w:val="clear" w:color="auto" w:fill="auto"/>
          </w:tcPr>
          <w:p w14:paraId="4930C187" w14:textId="77777777" w:rsidR="00A43334" w:rsidRPr="003966DC" w:rsidRDefault="00A43334" w:rsidP="00A43334">
            <w:pPr>
              <w:jc w:val="left"/>
              <w:rPr>
                <w:lang w:val="fr-FR"/>
              </w:rPr>
            </w:pPr>
          </w:p>
        </w:tc>
      </w:tr>
    </w:tbl>
    <w:p w14:paraId="531226BB" w14:textId="5589BE50" w:rsidR="00A96B21" w:rsidRPr="003966DC" w:rsidRDefault="008D0279" w:rsidP="00A43334">
      <w:pPr>
        <w:pStyle w:val="CBDTitle"/>
        <w:rPr>
          <w:lang w:val="fr-FR"/>
        </w:rPr>
      </w:pPr>
      <w:sdt>
        <w:sdtPr>
          <w:rPr>
            <w:lang w:val="fr-FR"/>
          </w:r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Pr>
              <w:lang w:val="fr-FR"/>
            </w:rPr>
            <w:t xml:space="preserve">Décision adoptée par la Conférence des Parties à la Convention sur la diversité biologique siégeant en tant que réunion des Parties au Protocole de Cartagena sur la prévention des risques biotechnologiques </w:t>
          </w:r>
          <w:r w:rsidRPr="00A109D7">
            <w:rPr>
              <w:lang w:val="fr-FR"/>
            </w:rPr>
            <w:t>le 6 décembre 2024</w:t>
          </w:r>
        </w:sdtContent>
      </w:sdt>
    </w:p>
    <w:p w14:paraId="26A054DA" w14:textId="2447F1E4" w:rsidR="00CC6AD2" w:rsidRPr="003966DC" w:rsidRDefault="00EF75DE" w:rsidP="00A52B30">
      <w:pPr>
        <w:pStyle w:val="CBDSubTitle"/>
        <w:rPr>
          <w:lang w:val="fr-FR"/>
        </w:rPr>
      </w:pPr>
      <w:r w:rsidRPr="008D0279">
        <w:rPr>
          <w:lang w:val="fr-CA"/>
        </w:rPr>
        <w:t>CP-11/11.</w:t>
      </w:r>
      <w:r w:rsidRPr="008D0279">
        <w:rPr>
          <w:lang w:val="fr-CA"/>
        </w:rPr>
        <w:tab/>
        <w:t xml:space="preserve">Administration </w:t>
      </w:r>
      <w:r w:rsidRPr="003966DC">
        <w:rPr>
          <w:lang w:val="fr-FR"/>
        </w:rPr>
        <w:t xml:space="preserve">du Protocole </w:t>
      </w:r>
      <w:r>
        <w:rPr>
          <w:lang w:val="fr-FR"/>
        </w:rPr>
        <w:t xml:space="preserve">de Cartagena </w:t>
      </w:r>
      <w:r w:rsidRPr="003966DC">
        <w:rPr>
          <w:lang w:val="fr-FR"/>
        </w:rPr>
        <w:t>et budget des fonds d’affectation spéciale</w:t>
      </w:r>
    </w:p>
    <w:p w14:paraId="506DFC26" w14:textId="3DB7DD6F" w:rsidR="00B115C3" w:rsidRPr="003966DC" w:rsidRDefault="00BB5137" w:rsidP="009F3F4F">
      <w:pPr>
        <w:pStyle w:val="CBDDesicionText"/>
        <w:rPr>
          <w:i/>
          <w:iCs/>
          <w:lang w:val="fr-FR" w:eastAsia="ko-KR"/>
        </w:rPr>
      </w:pPr>
      <w:r w:rsidRPr="003966DC">
        <w:rPr>
          <w:i/>
          <w:iCs/>
          <w:lang w:val="fr-FR"/>
        </w:rPr>
        <w:t>La Conférence des Parties siégeant en tant que réunion des Parties au Protocole de Cartagena</w:t>
      </w:r>
      <w:r w:rsidR="00264D2C" w:rsidRPr="003966DC">
        <w:rPr>
          <w:i/>
          <w:iCs/>
          <w:lang w:val="fr-FR"/>
        </w:rPr>
        <w:t>,</w:t>
      </w:r>
    </w:p>
    <w:p w14:paraId="10D9447C" w14:textId="3D8056BA" w:rsidR="00AC5CD9" w:rsidRPr="003966DC" w:rsidRDefault="002A7D09" w:rsidP="009F3F4F">
      <w:pPr>
        <w:pStyle w:val="CBDDesicionText"/>
        <w:rPr>
          <w:lang w:val="fr-FR" w:eastAsia="ko-KR"/>
        </w:rPr>
      </w:pPr>
      <w:r w:rsidRPr="003966DC">
        <w:rPr>
          <w:rFonts w:asciiTheme="majorBidi" w:hAnsiTheme="majorBidi" w:cstheme="majorBidi"/>
          <w:lang w:val="fr-FR" w:eastAsia="ko-KR"/>
        </w:rPr>
        <w:t>1.</w:t>
      </w:r>
      <w:r w:rsidRPr="003966DC">
        <w:rPr>
          <w:rFonts w:asciiTheme="majorBidi" w:hAnsiTheme="majorBidi" w:cstheme="majorBidi"/>
          <w:lang w:val="fr-FR" w:eastAsia="ko-KR"/>
        </w:rPr>
        <w:tab/>
      </w:r>
      <w:r w:rsidR="00622073" w:rsidRPr="003966DC">
        <w:rPr>
          <w:rFonts w:asciiTheme="majorBidi" w:hAnsiTheme="majorBidi" w:cstheme="majorBidi"/>
          <w:i/>
          <w:iCs/>
          <w:lang w:val="fr-FR" w:eastAsia="ko-KR"/>
        </w:rPr>
        <w:t>Décide</w:t>
      </w:r>
      <w:r w:rsidR="00622073" w:rsidRPr="003966DC">
        <w:rPr>
          <w:rFonts w:asciiTheme="majorBidi" w:hAnsiTheme="majorBidi" w:cstheme="majorBidi"/>
          <w:lang w:val="fr-FR" w:eastAsia="ko-KR"/>
        </w:rPr>
        <w:t xml:space="preserve"> d’adopter un programme de travail et un budget intégrés pour la Convention sur la diversité biologique</w:t>
      </w:r>
      <w:r w:rsidR="007451FA" w:rsidRPr="003966DC">
        <w:rPr>
          <w:rStyle w:val="FootnoteReference"/>
          <w:rFonts w:eastAsia="Malgun Gothic"/>
          <w:iCs/>
          <w:color w:val="000000" w:themeColor="text1"/>
          <w:kern w:val="20"/>
          <w:lang w:val="fr-FR" w:eastAsia="ko-KR"/>
        </w:rPr>
        <w:footnoteReference w:id="1"/>
      </w:r>
      <w:r w:rsidR="00622073" w:rsidRPr="003966DC">
        <w:rPr>
          <w:rFonts w:asciiTheme="majorBidi" w:hAnsiTheme="majorBidi" w:cstheme="majorBidi"/>
          <w:lang w:val="fr-FR" w:eastAsia="ko-KR"/>
        </w:rPr>
        <w:t>, le Protocole de Cartagena sur la prévention des risques biotechnologiques</w:t>
      </w:r>
      <w:r w:rsidR="002B7483" w:rsidRPr="003966DC">
        <w:rPr>
          <w:rStyle w:val="FootnoteReference"/>
          <w:rFonts w:eastAsia="Malgun Gothic"/>
          <w:iCs/>
          <w:color w:val="000000" w:themeColor="text1"/>
          <w:kern w:val="20"/>
          <w:lang w:val="fr-FR" w:eastAsia="ko-KR"/>
        </w:rPr>
        <w:footnoteReference w:id="2"/>
      </w:r>
      <w:r w:rsidR="00622073" w:rsidRPr="003966DC">
        <w:rPr>
          <w:rFonts w:asciiTheme="majorBidi" w:hAnsiTheme="majorBidi" w:cstheme="majorBidi"/>
          <w:lang w:val="fr-FR" w:eastAsia="ko-KR"/>
        </w:rPr>
        <w:t xml:space="preserve"> et le </w:t>
      </w:r>
      <w:r w:rsidR="00A26785" w:rsidRPr="003966DC">
        <w:rPr>
          <w:rFonts w:asciiTheme="majorBidi" w:hAnsiTheme="majorBidi" w:cstheme="majorBidi"/>
          <w:lang w:val="fr-FR" w:eastAsia="ko-KR"/>
        </w:rPr>
        <w:t>Protocole de Nagoya sur l’accès aux ressources génétiques et le partage juste et équitable des avantages découlant de leur utilisation</w:t>
      </w:r>
      <w:r w:rsidR="00985169" w:rsidRPr="003966DC">
        <w:rPr>
          <w:rStyle w:val="FootnoteReference"/>
          <w:rFonts w:eastAsia="Malgun Gothic"/>
          <w:iCs/>
          <w:color w:val="000000" w:themeColor="text1"/>
          <w:kern w:val="20"/>
          <w:lang w:val="fr-FR" w:eastAsia="ko-KR"/>
        </w:rPr>
        <w:footnoteReference w:id="3"/>
      </w:r>
      <w:r w:rsidR="00A26785" w:rsidRPr="003966DC">
        <w:rPr>
          <w:rFonts w:asciiTheme="majorBidi" w:hAnsiTheme="majorBidi" w:cstheme="majorBidi"/>
          <w:lang w:val="fr-FR" w:eastAsia="ko-KR"/>
        </w:rPr>
        <w:t> ;</w:t>
      </w:r>
    </w:p>
    <w:p w14:paraId="7A250E5A" w14:textId="1EA4451A" w:rsidR="00AC5CD9" w:rsidRPr="003966DC" w:rsidRDefault="002A7D09" w:rsidP="009F3F4F">
      <w:pPr>
        <w:pStyle w:val="CBDDesicionText"/>
        <w:rPr>
          <w:lang w:val="fr-FR"/>
        </w:rPr>
      </w:pPr>
      <w:r w:rsidRPr="003966DC">
        <w:rPr>
          <w:rFonts w:asciiTheme="majorBidi" w:hAnsiTheme="majorBidi" w:cstheme="majorBidi"/>
          <w:lang w:val="fr-FR"/>
        </w:rPr>
        <w:t>2.</w:t>
      </w:r>
      <w:r w:rsidRPr="003966DC">
        <w:rPr>
          <w:rFonts w:asciiTheme="majorBidi" w:hAnsiTheme="majorBidi" w:cstheme="majorBidi"/>
          <w:lang w:val="fr-FR"/>
        </w:rPr>
        <w:tab/>
      </w:r>
      <w:r w:rsidR="009A5F5C" w:rsidRPr="003966DC">
        <w:rPr>
          <w:i/>
          <w:lang w:val="fr-FR" w:eastAsia="ko-KR"/>
        </w:rPr>
        <w:t xml:space="preserve">Décide également </w:t>
      </w:r>
      <w:r w:rsidR="009A5F5C" w:rsidRPr="003966DC">
        <w:rPr>
          <w:iCs/>
          <w:lang w:val="fr-FR" w:eastAsia="ko-KR"/>
        </w:rPr>
        <w:t>de</w:t>
      </w:r>
      <w:r w:rsidR="009A5F5C" w:rsidRPr="003966DC">
        <w:rPr>
          <w:i/>
          <w:lang w:val="fr-FR" w:eastAsia="ko-KR"/>
        </w:rPr>
        <w:t xml:space="preserve"> </w:t>
      </w:r>
      <w:r w:rsidR="009A5F5C" w:rsidRPr="003966DC">
        <w:rPr>
          <w:lang w:val="fr-FR"/>
        </w:rPr>
        <w:t>répartir tous les coûts des services de secrétariat entre la Convention, le Protocole de Cartagena et le Protocole de Nagoya dans un rapport de 72 à 15 à 13 pour l</w:t>
      </w:r>
      <w:r w:rsidR="00C663B0" w:rsidRPr="003966DC">
        <w:rPr>
          <w:lang w:val="fr-FR"/>
        </w:rPr>
        <w:t>’</w:t>
      </w:r>
      <w:r w:rsidR="009A5F5C" w:rsidRPr="003966DC">
        <w:rPr>
          <w:lang w:val="fr-FR"/>
        </w:rPr>
        <w:t xml:space="preserve">exercice biennal </w:t>
      </w:r>
      <w:r w:rsidR="00AC5CD9" w:rsidRPr="003966DC">
        <w:rPr>
          <w:lang w:val="fr-FR"/>
        </w:rPr>
        <w:t>2025</w:t>
      </w:r>
      <w:r w:rsidR="00DE5CEE" w:rsidRPr="003966DC">
        <w:rPr>
          <w:lang w:val="fr-FR"/>
        </w:rPr>
        <w:t>-</w:t>
      </w:r>
      <w:r w:rsidR="00AC5CD9" w:rsidRPr="003966DC">
        <w:rPr>
          <w:lang w:val="fr-FR"/>
        </w:rPr>
        <w:t>2026</w:t>
      </w:r>
      <w:r w:rsidR="00DE5CEE" w:rsidRPr="003966DC">
        <w:rPr>
          <w:lang w:val="fr-FR"/>
        </w:rPr>
        <w:t> </w:t>
      </w:r>
      <w:r w:rsidR="00AC5CD9" w:rsidRPr="003966DC">
        <w:rPr>
          <w:lang w:val="fr-FR"/>
        </w:rPr>
        <w:t>;</w:t>
      </w:r>
    </w:p>
    <w:p w14:paraId="7AA49392" w14:textId="459F3813" w:rsidR="00AC5CD9" w:rsidRPr="003966DC" w:rsidRDefault="002A7D09" w:rsidP="00045979">
      <w:pPr>
        <w:pStyle w:val="CBDDesicionText"/>
        <w:rPr>
          <w:lang w:val="fr-FR"/>
        </w:rPr>
      </w:pPr>
      <w:r w:rsidRPr="003966DC">
        <w:rPr>
          <w:rFonts w:asciiTheme="majorBidi" w:hAnsiTheme="majorBidi" w:cstheme="majorBidi"/>
          <w:lang w:val="fr-FR"/>
        </w:rPr>
        <w:t>3.</w:t>
      </w:r>
      <w:r w:rsidRPr="003966DC">
        <w:rPr>
          <w:rFonts w:asciiTheme="majorBidi" w:hAnsiTheme="majorBidi" w:cstheme="majorBidi"/>
          <w:lang w:val="fr-FR"/>
        </w:rPr>
        <w:tab/>
      </w:r>
      <w:r w:rsidR="009E369D" w:rsidRPr="003966DC">
        <w:rPr>
          <w:rFonts w:asciiTheme="majorBidi" w:hAnsiTheme="majorBidi" w:cstheme="majorBidi"/>
          <w:i/>
          <w:iCs/>
          <w:lang w:val="fr-FR"/>
        </w:rPr>
        <w:t>Approuve</w:t>
      </w:r>
      <w:r w:rsidR="009E369D" w:rsidRPr="003966DC">
        <w:rPr>
          <w:rFonts w:asciiTheme="majorBidi" w:hAnsiTheme="majorBidi" w:cstheme="majorBidi"/>
          <w:lang w:val="fr-FR"/>
        </w:rPr>
        <w:t xml:space="preserve"> un budget-programme de base pour le Protocole de Cartagena d’un montant de </w:t>
      </w:r>
      <w:r w:rsidR="00FE52D6" w:rsidRPr="003966DC">
        <w:rPr>
          <w:lang w:val="fr-FR"/>
        </w:rPr>
        <w:t>3</w:t>
      </w:r>
      <w:r w:rsidR="00C663B0" w:rsidRPr="003966DC">
        <w:rPr>
          <w:lang w:val="fr-FR"/>
        </w:rPr>
        <w:t> </w:t>
      </w:r>
      <w:r w:rsidR="00FE52D6" w:rsidRPr="003966DC">
        <w:rPr>
          <w:lang w:val="fr-FR"/>
        </w:rPr>
        <w:t>252</w:t>
      </w:r>
      <w:r w:rsidR="00C663B0" w:rsidRPr="003966DC">
        <w:rPr>
          <w:lang w:val="fr-FR"/>
        </w:rPr>
        <w:t> </w:t>
      </w:r>
      <w:r w:rsidR="00FE52D6" w:rsidRPr="003966DC">
        <w:rPr>
          <w:lang w:val="fr-FR"/>
        </w:rPr>
        <w:t>308</w:t>
      </w:r>
      <w:r w:rsidR="00B01DD5" w:rsidRPr="003966DC">
        <w:rPr>
          <w:lang w:val="fr-FR"/>
        </w:rPr>
        <w:t> </w:t>
      </w:r>
      <w:r w:rsidR="00387714" w:rsidRPr="003966DC">
        <w:rPr>
          <w:lang w:val="fr-FR"/>
        </w:rPr>
        <w:t>dollars É.-U.</w:t>
      </w:r>
      <w:r w:rsidR="00AC5CD9" w:rsidRPr="003966DC">
        <w:rPr>
          <w:lang w:val="fr-FR"/>
        </w:rPr>
        <w:t xml:space="preserve"> </w:t>
      </w:r>
      <w:r w:rsidR="00387714" w:rsidRPr="003966DC">
        <w:rPr>
          <w:lang w:val="fr-FR"/>
        </w:rPr>
        <w:t xml:space="preserve">pour </w:t>
      </w:r>
      <w:r w:rsidR="00AC5CD9" w:rsidRPr="003966DC">
        <w:rPr>
          <w:lang w:val="fr-FR"/>
        </w:rPr>
        <w:t xml:space="preserve">2025 </w:t>
      </w:r>
      <w:r w:rsidR="00387714" w:rsidRPr="003966DC">
        <w:rPr>
          <w:lang w:val="fr-FR"/>
        </w:rPr>
        <w:t xml:space="preserve">et d’un montant de </w:t>
      </w:r>
      <w:r w:rsidR="00312CC1" w:rsidRPr="003966DC">
        <w:rPr>
          <w:lang w:val="fr-FR"/>
        </w:rPr>
        <w:t>3</w:t>
      </w:r>
      <w:r w:rsidR="00387714" w:rsidRPr="003966DC">
        <w:rPr>
          <w:lang w:val="fr-FR"/>
        </w:rPr>
        <w:t> </w:t>
      </w:r>
      <w:r w:rsidR="00312CC1" w:rsidRPr="003966DC">
        <w:rPr>
          <w:lang w:val="fr-FR"/>
        </w:rPr>
        <w:t>413</w:t>
      </w:r>
      <w:r w:rsidR="00387714" w:rsidRPr="003966DC">
        <w:rPr>
          <w:lang w:val="fr-FR"/>
        </w:rPr>
        <w:t> </w:t>
      </w:r>
      <w:r w:rsidR="00312CC1" w:rsidRPr="003966DC">
        <w:rPr>
          <w:lang w:val="fr-FR"/>
        </w:rPr>
        <w:t>00</w:t>
      </w:r>
      <w:r w:rsidR="00282BCA" w:rsidRPr="003966DC">
        <w:rPr>
          <w:lang w:val="fr-FR"/>
        </w:rPr>
        <w:t>7</w:t>
      </w:r>
      <w:r w:rsidR="00312CC1" w:rsidRPr="003966DC">
        <w:rPr>
          <w:lang w:val="fr-FR"/>
        </w:rPr>
        <w:t> </w:t>
      </w:r>
      <w:r w:rsidR="00AC5CD9" w:rsidRPr="003966DC">
        <w:rPr>
          <w:lang w:val="fr-FR"/>
        </w:rPr>
        <w:t>dollars</w:t>
      </w:r>
      <w:r w:rsidR="00AA4ABB" w:rsidRPr="003966DC">
        <w:rPr>
          <w:lang w:val="fr-FR"/>
        </w:rPr>
        <w:t xml:space="preserve"> pour </w:t>
      </w:r>
      <w:r w:rsidR="00AC5CD9" w:rsidRPr="003966DC">
        <w:rPr>
          <w:lang w:val="fr-FR"/>
        </w:rPr>
        <w:t xml:space="preserve">2026, </w:t>
      </w:r>
      <w:r w:rsidR="00AA4ABB" w:rsidRPr="003966DC">
        <w:rPr>
          <w:lang w:val="fr-FR"/>
        </w:rPr>
        <w:t>ce qui représente</w:t>
      </w:r>
      <w:r w:rsidR="00AC5CD9" w:rsidRPr="003966DC">
        <w:rPr>
          <w:lang w:val="fr-FR"/>
        </w:rPr>
        <w:t xml:space="preserve"> 15 </w:t>
      </w:r>
      <w:r w:rsidR="00154382" w:rsidRPr="003966DC">
        <w:rPr>
          <w:lang w:val="fr-FR"/>
        </w:rPr>
        <w:t>%</w:t>
      </w:r>
      <w:r w:rsidR="00AC5CD9" w:rsidRPr="003966DC">
        <w:rPr>
          <w:lang w:val="fr-FR"/>
        </w:rPr>
        <w:t xml:space="preserve"> </w:t>
      </w:r>
      <w:r w:rsidR="00AA4ABB" w:rsidRPr="003966DC">
        <w:rPr>
          <w:lang w:val="fr-FR"/>
        </w:rPr>
        <w:t xml:space="preserve">du budget </w:t>
      </w:r>
      <w:r w:rsidR="00AC5CD9" w:rsidRPr="003966DC">
        <w:rPr>
          <w:lang w:val="fr-FR"/>
        </w:rPr>
        <w:t>int</w:t>
      </w:r>
      <w:r w:rsidR="00AA4ABB" w:rsidRPr="003966DC">
        <w:rPr>
          <w:lang w:val="fr-FR"/>
        </w:rPr>
        <w:t>é</w:t>
      </w:r>
      <w:r w:rsidR="00AC5CD9" w:rsidRPr="003966DC">
        <w:rPr>
          <w:lang w:val="fr-FR"/>
        </w:rPr>
        <w:t>gr</w:t>
      </w:r>
      <w:r w:rsidR="00AA4ABB" w:rsidRPr="003966DC">
        <w:rPr>
          <w:lang w:val="fr-FR"/>
        </w:rPr>
        <w:t xml:space="preserve">é </w:t>
      </w:r>
      <w:r w:rsidR="006B63B1" w:rsidRPr="003966DC">
        <w:rPr>
          <w:lang w:val="fr-FR"/>
        </w:rPr>
        <w:t xml:space="preserve">qui s’élève à </w:t>
      </w:r>
      <w:r w:rsidR="00472A85" w:rsidRPr="003966DC">
        <w:rPr>
          <w:lang w:val="fr-FR"/>
        </w:rPr>
        <w:t>21</w:t>
      </w:r>
      <w:r w:rsidR="00DE5CEE" w:rsidRPr="003966DC">
        <w:rPr>
          <w:lang w:val="fr-FR"/>
        </w:rPr>
        <w:t> </w:t>
      </w:r>
      <w:r w:rsidR="00472A85" w:rsidRPr="003966DC">
        <w:rPr>
          <w:lang w:val="fr-FR"/>
        </w:rPr>
        <w:t>682</w:t>
      </w:r>
      <w:r w:rsidR="00DE5CEE" w:rsidRPr="003966DC">
        <w:rPr>
          <w:lang w:val="fr-FR"/>
        </w:rPr>
        <w:t> </w:t>
      </w:r>
      <w:r w:rsidR="00472A85" w:rsidRPr="003966DC">
        <w:rPr>
          <w:lang w:val="fr-FR"/>
        </w:rPr>
        <w:t>052</w:t>
      </w:r>
      <w:r w:rsidR="00DE5CEE" w:rsidRPr="003966DC">
        <w:rPr>
          <w:lang w:val="fr-FR"/>
        </w:rPr>
        <w:t> </w:t>
      </w:r>
      <w:r w:rsidR="00AC5CD9" w:rsidRPr="003966DC">
        <w:rPr>
          <w:lang w:val="fr-FR"/>
        </w:rPr>
        <w:t>dollars</w:t>
      </w:r>
      <w:r w:rsidR="00AA4ABB" w:rsidRPr="003966DC">
        <w:rPr>
          <w:lang w:val="fr-FR"/>
        </w:rPr>
        <w:t xml:space="preserve"> </w:t>
      </w:r>
      <w:r w:rsidR="00DE5CEE" w:rsidRPr="003966DC">
        <w:rPr>
          <w:lang w:val="fr-FR"/>
        </w:rPr>
        <w:t xml:space="preserve">pour </w:t>
      </w:r>
      <w:r w:rsidR="00AC5CD9" w:rsidRPr="003966DC">
        <w:rPr>
          <w:lang w:val="fr-FR"/>
        </w:rPr>
        <w:t xml:space="preserve">2025 </w:t>
      </w:r>
      <w:r w:rsidR="00DE5CEE" w:rsidRPr="003966DC">
        <w:rPr>
          <w:lang w:val="fr-FR"/>
        </w:rPr>
        <w:t xml:space="preserve">et </w:t>
      </w:r>
      <w:r w:rsidR="006B63B1" w:rsidRPr="003966DC">
        <w:rPr>
          <w:lang w:val="fr-FR"/>
        </w:rPr>
        <w:t xml:space="preserve">à </w:t>
      </w:r>
      <w:r w:rsidR="00817DEC" w:rsidRPr="003966DC">
        <w:rPr>
          <w:rFonts w:asciiTheme="majorBidi" w:hAnsiTheme="majorBidi" w:cstheme="majorBidi"/>
          <w:lang w:val="fr-FR"/>
        </w:rPr>
        <w:t>22</w:t>
      </w:r>
      <w:r w:rsidR="00DE5CEE" w:rsidRPr="003966DC">
        <w:rPr>
          <w:rFonts w:asciiTheme="majorBidi" w:hAnsiTheme="majorBidi" w:cstheme="majorBidi"/>
          <w:lang w:val="fr-FR"/>
        </w:rPr>
        <w:t> </w:t>
      </w:r>
      <w:r w:rsidR="00817DEC" w:rsidRPr="003966DC">
        <w:rPr>
          <w:rFonts w:asciiTheme="majorBidi" w:hAnsiTheme="majorBidi" w:cstheme="majorBidi"/>
          <w:lang w:val="fr-FR"/>
        </w:rPr>
        <w:t>753</w:t>
      </w:r>
      <w:r w:rsidR="00DE5CEE" w:rsidRPr="003966DC">
        <w:rPr>
          <w:rFonts w:asciiTheme="majorBidi" w:hAnsiTheme="majorBidi" w:cstheme="majorBidi"/>
          <w:lang w:val="fr-FR"/>
        </w:rPr>
        <w:t> </w:t>
      </w:r>
      <w:r w:rsidR="00817DEC" w:rsidRPr="003966DC">
        <w:rPr>
          <w:rFonts w:asciiTheme="majorBidi" w:hAnsiTheme="majorBidi" w:cstheme="majorBidi"/>
          <w:lang w:val="fr-FR"/>
        </w:rPr>
        <w:t>379 </w:t>
      </w:r>
      <w:r w:rsidR="00AC5CD9" w:rsidRPr="003966DC">
        <w:rPr>
          <w:lang w:val="fr-FR"/>
        </w:rPr>
        <w:t>dollars</w:t>
      </w:r>
      <w:r w:rsidR="00EF3DD7" w:rsidRPr="003966DC">
        <w:rPr>
          <w:lang w:val="fr-FR"/>
        </w:rPr>
        <w:t xml:space="preserve"> </w:t>
      </w:r>
      <w:r w:rsidR="00DE5CEE" w:rsidRPr="003966DC">
        <w:rPr>
          <w:lang w:val="fr-FR"/>
        </w:rPr>
        <w:t xml:space="preserve">pour </w:t>
      </w:r>
      <w:r w:rsidR="00AC5CD9" w:rsidRPr="003966DC">
        <w:rPr>
          <w:lang w:val="fr-FR"/>
        </w:rPr>
        <w:t xml:space="preserve">2026 </w:t>
      </w:r>
      <w:r w:rsidR="00E42649" w:rsidRPr="003966DC">
        <w:rPr>
          <w:lang w:val="fr-FR"/>
        </w:rPr>
        <w:t>pour la Convention et ses Protocoles, afin de répondre aux besoins recensés dans les tableaux 1 et 2 ci-après</w:t>
      </w:r>
      <w:r w:rsidR="00DE5CEE" w:rsidRPr="003966DC">
        <w:rPr>
          <w:lang w:val="fr-FR"/>
        </w:rPr>
        <w:t> </w:t>
      </w:r>
      <w:r w:rsidR="00AC5CD9" w:rsidRPr="003966DC">
        <w:rPr>
          <w:lang w:val="fr-FR"/>
        </w:rPr>
        <w:t>;</w:t>
      </w:r>
    </w:p>
    <w:p w14:paraId="5F274A39" w14:textId="7B89D36C" w:rsidR="002D1C07" w:rsidRPr="003966DC" w:rsidRDefault="002A7D09" w:rsidP="009F3F4F">
      <w:pPr>
        <w:pStyle w:val="CBDDesicionText"/>
        <w:rPr>
          <w:lang w:val="fr-FR"/>
        </w:rPr>
      </w:pPr>
      <w:bookmarkStart w:id="5" w:name="_Hlk533085716"/>
      <w:r w:rsidRPr="003966DC">
        <w:rPr>
          <w:rFonts w:asciiTheme="majorBidi" w:hAnsiTheme="majorBidi" w:cstheme="majorBidi"/>
          <w:lang w:val="fr-FR"/>
        </w:rPr>
        <w:t>4.</w:t>
      </w:r>
      <w:r w:rsidRPr="003966DC">
        <w:rPr>
          <w:rFonts w:asciiTheme="majorBidi" w:hAnsiTheme="majorBidi" w:cstheme="majorBidi"/>
          <w:lang w:val="fr-FR"/>
        </w:rPr>
        <w:tab/>
      </w:r>
      <w:r w:rsidR="00212701" w:rsidRPr="003966DC">
        <w:rPr>
          <w:rFonts w:asciiTheme="majorBidi" w:hAnsiTheme="majorBidi" w:cstheme="majorBidi"/>
          <w:i/>
          <w:lang w:val="fr-FR"/>
        </w:rPr>
        <w:t>Approuve également</w:t>
      </w:r>
      <w:r w:rsidR="00212701" w:rsidRPr="003966DC">
        <w:rPr>
          <w:rFonts w:asciiTheme="majorBidi" w:hAnsiTheme="majorBidi" w:cstheme="majorBidi"/>
          <w:iCs/>
          <w:lang w:val="fr-FR"/>
        </w:rPr>
        <w:t xml:space="preserve">, </w:t>
      </w:r>
      <w:r w:rsidR="004B6071" w:rsidRPr="003966DC">
        <w:rPr>
          <w:rFonts w:asciiTheme="majorBidi" w:hAnsiTheme="majorBidi" w:cstheme="majorBidi"/>
          <w:iCs/>
          <w:lang w:val="fr-FR"/>
        </w:rPr>
        <w:t xml:space="preserve">advenant qu’il n’y ait pas de local disponible au </w:t>
      </w:r>
      <w:r w:rsidR="00212701" w:rsidRPr="003966DC">
        <w:rPr>
          <w:rFonts w:asciiTheme="majorBidi" w:hAnsiTheme="majorBidi" w:cstheme="majorBidi"/>
          <w:lang w:val="fr-FR"/>
        </w:rPr>
        <w:t xml:space="preserve">siège de l’Organisation de l’aviation civile internationale </w:t>
      </w:r>
      <w:r w:rsidR="004B6071" w:rsidRPr="003966DC">
        <w:rPr>
          <w:rFonts w:asciiTheme="majorBidi" w:hAnsiTheme="majorBidi" w:cstheme="majorBidi"/>
          <w:lang w:val="fr-FR"/>
        </w:rPr>
        <w:t xml:space="preserve">pour la tenue des </w:t>
      </w:r>
      <w:r w:rsidR="00212701" w:rsidRPr="003966DC">
        <w:rPr>
          <w:rFonts w:asciiTheme="majorBidi" w:hAnsiTheme="majorBidi" w:cstheme="majorBidi"/>
          <w:lang w:val="fr-FR"/>
        </w:rPr>
        <w:t xml:space="preserve">réunions des organes subsidiaires </w:t>
      </w:r>
      <w:r w:rsidR="00212701" w:rsidRPr="003966DC">
        <w:rPr>
          <w:rFonts w:asciiTheme="majorBidi" w:hAnsiTheme="majorBidi" w:cstheme="majorBidi"/>
          <w:lang w:val="fr-FR"/>
        </w:rPr>
        <w:lastRenderedPageBreak/>
        <w:t>pendant l’exercice biennal</w:t>
      </w:r>
      <w:r w:rsidR="004B6071" w:rsidRPr="003966DC">
        <w:rPr>
          <w:rFonts w:asciiTheme="majorBidi" w:hAnsiTheme="majorBidi" w:cstheme="majorBidi"/>
          <w:lang w:val="fr-FR"/>
        </w:rPr>
        <w:t xml:space="preserve"> </w:t>
      </w:r>
      <w:r w:rsidR="00345E7A" w:rsidRPr="003966DC">
        <w:rPr>
          <w:rFonts w:asciiTheme="majorBidi" w:hAnsiTheme="majorBidi" w:cstheme="majorBidi"/>
          <w:lang w:val="fr-FR"/>
        </w:rPr>
        <w:t>2025</w:t>
      </w:r>
      <w:r w:rsidR="004B6071" w:rsidRPr="003966DC">
        <w:rPr>
          <w:rFonts w:asciiTheme="majorBidi" w:hAnsiTheme="majorBidi" w:cstheme="majorBidi"/>
          <w:lang w:val="fr-FR"/>
        </w:rPr>
        <w:t>-</w:t>
      </w:r>
      <w:r w:rsidR="00345E7A" w:rsidRPr="003966DC">
        <w:rPr>
          <w:rFonts w:asciiTheme="majorBidi" w:hAnsiTheme="majorBidi" w:cstheme="majorBidi"/>
          <w:lang w:val="fr-FR"/>
        </w:rPr>
        <w:t xml:space="preserve">2026, </w:t>
      </w:r>
      <w:r w:rsidR="00B81FBB" w:rsidRPr="003966DC">
        <w:rPr>
          <w:rFonts w:asciiTheme="majorBidi" w:hAnsiTheme="majorBidi" w:cstheme="majorBidi"/>
          <w:lang w:val="fr-FR"/>
        </w:rPr>
        <w:t xml:space="preserve">un budget-programme additionnel ne dépassant pas </w:t>
      </w:r>
      <w:r w:rsidR="005120E1" w:rsidRPr="003966DC">
        <w:rPr>
          <w:rFonts w:asciiTheme="majorBidi" w:hAnsiTheme="majorBidi" w:cstheme="majorBidi"/>
          <w:lang w:val="fr-FR"/>
        </w:rPr>
        <w:t>28</w:t>
      </w:r>
      <w:r w:rsidR="00B81FBB" w:rsidRPr="003966DC">
        <w:rPr>
          <w:rFonts w:asciiTheme="majorBidi" w:hAnsiTheme="majorBidi" w:cstheme="majorBidi"/>
          <w:lang w:val="fr-FR"/>
        </w:rPr>
        <w:t> </w:t>
      </w:r>
      <w:r w:rsidR="00CE6C7F" w:rsidRPr="003966DC">
        <w:rPr>
          <w:rFonts w:asciiTheme="majorBidi" w:hAnsiTheme="majorBidi" w:cstheme="majorBidi"/>
          <w:lang w:val="fr-FR"/>
        </w:rPr>
        <w:t>975</w:t>
      </w:r>
      <w:r w:rsidR="00B81FBB" w:rsidRPr="003966DC">
        <w:rPr>
          <w:rFonts w:asciiTheme="majorBidi" w:hAnsiTheme="majorBidi" w:cstheme="majorBidi"/>
          <w:lang w:val="fr-FR"/>
        </w:rPr>
        <w:t> </w:t>
      </w:r>
      <w:r w:rsidR="00651D85" w:rsidRPr="003966DC">
        <w:rPr>
          <w:lang w:val="fr-FR"/>
        </w:rPr>
        <w:t xml:space="preserve">dollars </w:t>
      </w:r>
      <w:r w:rsidR="00B81FBB" w:rsidRPr="003966DC">
        <w:rPr>
          <w:lang w:val="fr-FR"/>
        </w:rPr>
        <w:t xml:space="preserve">pour </w:t>
      </w:r>
      <w:r w:rsidR="00345E7A" w:rsidRPr="003966DC">
        <w:rPr>
          <w:rFonts w:asciiTheme="majorBidi" w:hAnsiTheme="majorBidi" w:cstheme="majorBidi"/>
          <w:lang w:val="fr-FR"/>
        </w:rPr>
        <w:t xml:space="preserve">2025 </w:t>
      </w:r>
      <w:r w:rsidR="00715627" w:rsidRPr="003966DC">
        <w:rPr>
          <w:rFonts w:asciiTheme="majorBidi" w:hAnsiTheme="majorBidi" w:cstheme="majorBidi"/>
          <w:lang w:val="fr-FR"/>
        </w:rPr>
        <w:t xml:space="preserve">et </w:t>
      </w:r>
      <w:r w:rsidR="00CE6C7F" w:rsidRPr="003966DC">
        <w:rPr>
          <w:rFonts w:asciiTheme="majorBidi" w:hAnsiTheme="majorBidi" w:cstheme="majorBidi"/>
          <w:lang w:val="fr-FR"/>
        </w:rPr>
        <w:t>28</w:t>
      </w:r>
      <w:r w:rsidR="00715627" w:rsidRPr="003966DC">
        <w:rPr>
          <w:rFonts w:asciiTheme="majorBidi" w:hAnsiTheme="majorBidi" w:cstheme="majorBidi"/>
          <w:lang w:val="fr-FR"/>
        </w:rPr>
        <w:t> </w:t>
      </w:r>
      <w:r w:rsidR="00CE6C7F" w:rsidRPr="003966DC">
        <w:rPr>
          <w:rFonts w:asciiTheme="majorBidi" w:hAnsiTheme="majorBidi" w:cstheme="majorBidi"/>
          <w:lang w:val="fr-FR"/>
        </w:rPr>
        <w:t>975</w:t>
      </w:r>
      <w:r w:rsidR="00715627" w:rsidRPr="003966DC">
        <w:rPr>
          <w:rFonts w:asciiTheme="majorBidi" w:hAnsiTheme="majorBidi" w:cstheme="majorBidi"/>
          <w:lang w:val="fr-FR"/>
        </w:rPr>
        <w:t> </w:t>
      </w:r>
      <w:r w:rsidR="00345E7A" w:rsidRPr="003966DC">
        <w:rPr>
          <w:rFonts w:asciiTheme="majorBidi" w:hAnsiTheme="majorBidi" w:cstheme="majorBidi"/>
          <w:lang w:val="fr-FR"/>
        </w:rPr>
        <w:t xml:space="preserve">dollars </w:t>
      </w:r>
      <w:r w:rsidR="00715627" w:rsidRPr="003966DC">
        <w:rPr>
          <w:rFonts w:asciiTheme="majorBidi" w:hAnsiTheme="majorBidi" w:cstheme="majorBidi"/>
          <w:lang w:val="fr-FR"/>
        </w:rPr>
        <w:t xml:space="preserve">pour </w:t>
      </w:r>
      <w:r w:rsidR="00345E7A" w:rsidRPr="003966DC">
        <w:rPr>
          <w:rFonts w:asciiTheme="majorBidi" w:hAnsiTheme="majorBidi" w:cstheme="majorBidi"/>
          <w:lang w:val="fr-FR"/>
        </w:rPr>
        <w:t xml:space="preserve">2026, </w:t>
      </w:r>
      <w:r w:rsidR="00B13EF6" w:rsidRPr="003966DC">
        <w:rPr>
          <w:rFonts w:asciiTheme="majorBidi" w:hAnsiTheme="majorBidi" w:cstheme="majorBidi"/>
          <w:lang w:val="fr-FR"/>
        </w:rPr>
        <w:t xml:space="preserve">qui </w:t>
      </w:r>
      <w:r w:rsidR="00345E7A" w:rsidRPr="003966DC">
        <w:rPr>
          <w:rFonts w:asciiTheme="majorBidi" w:hAnsiTheme="majorBidi" w:cstheme="majorBidi"/>
          <w:lang w:val="fr-FR"/>
        </w:rPr>
        <w:t>repr</w:t>
      </w:r>
      <w:r w:rsidR="00B13EF6" w:rsidRPr="003966DC">
        <w:rPr>
          <w:rFonts w:asciiTheme="majorBidi" w:hAnsiTheme="majorBidi" w:cstheme="majorBidi"/>
          <w:lang w:val="fr-FR"/>
        </w:rPr>
        <w:t>é</w:t>
      </w:r>
      <w:r w:rsidR="00345E7A" w:rsidRPr="003966DC">
        <w:rPr>
          <w:rFonts w:asciiTheme="majorBidi" w:hAnsiTheme="majorBidi" w:cstheme="majorBidi"/>
          <w:lang w:val="fr-FR"/>
        </w:rPr>
        <w:t>sent</w:t>
      </w:r>
      <w:r w:rsidR="00B13EF6" w:rsidRPr="003966DC">
        <w:rPr>
          <w:rFonts w:asciiTheme="majorBidi" w:hAnsiTheme="majorBidi" w:cstheme="majorBidi"/>
          <w:lang w:val="fr-FR"/>
        </w:rPr>
        <w:t xml:space="preserve">e </w:t>
      </w:r>
      <w:r w:rsidR="00AA468B" w:rsidRPr="003966DC">
        <w:rPr>
          <w:rFonts w:asciiTheme="majorBidi" w:hAnsiTheme="majorBidi" w:cstheme="majorBidi"/>
          <w:lang w:val="fr-FR"/>
        </w:rPr>
        <w:t>15</w:t>
      </w:r>
      <w:r w:rsidR="00B13EF6" w:rsidRPr="003966DC">
        <w:rPr>
          <w:rFonts w:asciiTheme="majorBidi" w:hAnsiTheme="majorBidi" w:cstheme="majorBidi"/>
          <w:lang w:val="fr-FR"/>
        </w:rPr>
        <w:t> </w:t>
      </w:r>
      <w:r w:rsidR="00154382" w:rsidRPr="003966DC">
        <w:rPr>
          <w:rFonts w:asciiTheme="majorBidi" w:hAnsiTheme="majorBidi" w:cstheme="majorBidi"/>
          <w:lang w:val="fr-FR"/>
        </w:rPr>
        <w:t>%</w:t>
      </w:r>
      <w:r w:rsidR="00345E7A" w:rsidRPr="003966DC">
        <w:rPr>
          <w:rFonts w:asciiTheme="majorBidi" w:hAnsiTheme="majorBidi" w:cstheme="majorBidi"/>
          <w:lang w:val="fr-FR"/>
        </w:rPr>
        <w:t xml:space="preserve"> </w:t>
      </w:r>
      <w:r w:rsidR="00B13EF6" w:rsidRPr="003966DC">
        <w:rPr>
          <w:rFonts w:asciiTheme="majorBidi" w:hAnsiTheme="majorBidi" w:cstheme="majorBidi"/>
          <w:lang w:val="fr-FR"/>
        </w:rPr>
        <w:t xml:space="preserve">du budget intégré additionnel de </w:t>
      </w:r>
      <w:r w:rsidR="00AA468B" w:rsidRPr="003966DC">
        <w:rPr>
          <w:rFonts w:asciiTheme="majorBidi" w:hAnsiTheme="majorBidi" w:cstheme="majorBidi"/>
          <w:lang w:val="fr-FR"/>
        </w:rPr>
        <w:t>193</w:t>
      </w:r>
      <w:r w:rsidR="00B13EF6" w:rsidRPr="003966DC">
        <w:rPr>
          <w:rFonts w:asciiTheme="majorBidi" w:hAnsiTheme="majorBidi" w:cstheme="majorBidi"/>
          <w:lang w:val="fr-FR"/>
        </w:rPr>
        <w:t> </w:t>
      </w:r>
      <w:r w:rsidR="00AA468B" w:rsidRPr="003966DC">
        <w:rPr>
          <w:rFonts w:asciiTheme="majorBidi" w:hAnsiTheme="majorBidi" w:cstheme="majorBidi"/>
          <w:lang w:val="fr-FR"/>
        </w:rPr>
        <w:t>168</w:t>
      </w:r>
      <w:r w:rsidR="00614A77" w:rsidRPr="003966DC">
        <w:rPr>
          <w:rFonts w:asciiTheme="majorBidi" w:hAnsiTheme="majorBidi" w:cstheme="majorBidi"/>
          <w:lang w:val="fr-FR"/>
        </w:rPr>
        <w:t> </w:t>
      </w:r>
      <w:r w:rsidR="00345E7A" w:rsidRPr="003966DC">
        <w:rPr>
          <w:rFonts w:asciiTheme="majorBidi" w:hAnsiTheme="majorBidi" w:cstheme="majorBidi"/>
          <w:lang w:val="fr-FR"/>
        </w:rPr>
        <w:t xml:space="preserve">dollars </w:t>
      </w:r>
      <w:r w:rsidR="00B13EF6" w:rsidRPr="003966DC">
        <w:rPr>
          <w:rFonts w:asciiTheme="majorBidi" w:hAnsiTheme="majorBidi" w:cstheme="majorBidi"/>
          <w:lang w:val="fr-FR"/>
        </w:rPr>
        <w:t xml:space="preserve">pour </w:t>
      </w:r>
      <w:r w:rsidR="00345E7A" w:rsidRPr="003966DC">
        <w:rPr>
          <w:rFonts w:asciiTheme="majorBidi" w:hAnsiTheme="majorBidi" w:cstheme="majorBidi"/>
          <w:lang w:val="fr-FR"/>
        </w:rPr>
        <w:t xml:space="preserve">2025 </w:t>
      </w:r>
      <w:r w:rsidR="00B13EF6" w:rsidRPr="003966DC">
        <w:rPr>
          <w:rFonts w:asciiTheme="majorBidi" w:hAnsiTheme="majorBidi" w:cstheme="majorBidi"/>
          <w:lang w:val="fr-FR"/>
        </w:rPr>
        <w:t xml:space="preserve">et de </w:t>
      </w:r>
      <w:r w:rsidR="00AA468B" w:rsidRPr="003966DC">
        <w:rPr>
          <w:rFonts w:asciiTheme="majorBidi" w:hAnsiTheme="majorBidi" w:cstheme="majorBidi"/>
          <w:lang w:val="fr-FR"/>
        </w:rPr>
        <w:t>193</w:t>
      </w:r>
      <w:r w:rsidR="00B13EF6" w:rsidRPr="003966DC">
        <w:rPr>
          <w:rFonts w:asciiTheme="majorBidi" w:hAnsiTheme="majorBidi" w:cstheme="majorBidi"/>
          <w:lang w:val="fr-FR"/>
        </w:rPr>
        <w:t> </w:t>
      </w:r>
      <w:r w:rsidR="00AA468B" w:rsidRPr="003966DC">
        <w:rPr>
          <w:rFonts w:asciiTheme="majorBidi" w:hAnsiTheme="majorBidi" w:cstheme="majorBidi"/>
          <w:lang w:val="fr-FR"/>
        </w:rPr>
        <w:t xml:space="preserve">168 </w:t>
      </w:r>
      <w:r w:rsidR="00345E7A" w:rsidRPr="003966DC">
        <w:rPr>
          <w:rFonts w:asciiTheme="majorBidi" w:hAnsiTheme="majorBidi" w:cstheme="majorBidi"/>
          <w:lang w:val="fr-FR"/>
        </w:rPr>
        <w:t xml:space="preserve">dollars </w:t>
      </w:r>
      <w:r w:rsidR="00B13EF6" w:rsidRPr="003966DC">
        <w:rPr>
          <w:rFonts w:asciiTheme="majorBidi" w:hAnsiTheme="majorBidi" w:cstheme="majorBidi"/>
          <w:lang w:val="fr-FR"/>
        </w:rPr>
        <w:t xml:space="preserve">pour </w:t>
      </w:r>
      <w:r w:rsidR="00345E7A" w:rsidRPr="003966DC">
        <w:rPr>
          <w:rFonts w:asciiTheme="majorBidi" w:hAnsiTheme="majorBidi" w:cstheme="majorBidi"/>
          <w:lang w:val="fr-FR"/>
        </w:rPr>
        <w:t xml:space="preserve">2026 </w:t>
      </w:r>
      <w:r w:rsidR="006B63B1" w:rsidRPr="003966DC">
        <w:rPr>
          <w:lang w:val="fr-FR"/>
        </w:rPr>
        <w:t>pour la Convention et ses Protocoles</w:t>
      </w:r>
      <w:r w:rsidR="00312A64" w:rsidRPr="003966DC">
        <w:rPr>
          <w:rFonts w:asciiTheme="majorBidi" w:hAnsiTheme="majorBidi" w:cstheme="majorBidi"/>
          <w:lang w:val="fr-FR"/>
        </w:rPr>
        <w:t>,</w:t>
      </w:r>
      <w:r w:rsidR="00345E7A" w:rsidRPr="003966DC">
        <w:rPr>
          <w:rFonts w:asciiTheme="majorBidi" w:hAnsiTheme="majorBidi" w:cstheme="majorBidi"/>
          <w:lang w:val="fr-FR"/>
        </w:rPr>
        <w:t xml:space="preserve"> </w:t>
      </w:r>
      <w:r w:rsidR="00D64989" w:rsidRPr="003966DC">
        <w:rPr>
          <w:rFonts w:asciiTheme="majorBidi" w:hAnsiTheme="majorBidi" w:cstheme="majorBidi"/>
          <w:lang w:val="fr-FR"/>
        </w:rPr>
        <w:t xml:space="preserve">et qui </w:t>
      </w:r>
      <w:r w:rsidR="005577ED" w:rsidRPr="003966DC">
        <w:rPr>
          <w:rFonts w:asciiTheme="majorBidi" w:hAnsiTheme="majorBidi" w:cstheme="majorBidi"/>
          <w:lang w:val="fr-FR"/>
        </w:rPr>
        <w:t xml:space="preserve">est financé au moyen du </w:t>
      </w:r>
      <w:r w:rsidR="00A05EF7" w:rsidRPr="003966DC">
        <w:rPr>
          <w:rFonts w:asciiTheme="majorBidi" w:hAnsiTheme="majorBidi" w:cstheme="majorBidi"/>
          <w:lang w:val="fr-FR"/>
        </w:rPr>
        <w:t xml:space="preserve">solde inutilisé du </w:t>
      </w:r>
      <w:r w:rsidR="001333D6" w:rsidRPr="003966DC">
        <w:rPr>
          <w:rFonts w:asciiTheme="majorBidi" w:hAnsiTheme="majorBidi" w:cstheme="majorBidi"/>
          <w:lang w:val="fr-FR"/>
        </w:rPr>
        <w:t xml:space="preserve">Fonds général d’affectation spéciale </w:t>
      </w:r>
      <w:r w:rsidR="005577ED" w:rsidRPr="003966DC">
        <w:rPr>
          <w:rFonts w:asciiTheme="majorBidi" w:hAnsiTheme="majorBidi" w:cstheme="majorBidi"/>
          <w:lang w:val="fr-FR"/>
        </w:rPr>
        <w:t xml:space="preserve">destiné au budget-programme de base pour le </w:t>
      </w:r>
      <w:r w:rsidR="00345E7A" w:rsidRPr="003966DC">
        <w:rPr>
          <w:rFonts w:asciiTheme="majorBidi" w:hAnsiTheme="majorBidi" w:cstheme="majorBidi"/>
          <w:lang w:val="fr-FR"/>
        </w:rPr>
        <w:t>Protocol</w:t>
      </w:r>
      <w:r w:rsidR="00D119C0" w:rsidRPr="003966DC">
        <w:rPr>
          <w:rFonts w:asciiTheme="majorBidi" w:hAnsiTheme="majorBidi" w:cstheme="majorBidi"/>
          <w:lang w:val="fr-FR"/>
        </w:rPr>
        <w:t>e de</w:t>
      </w:r>
      <w:r w:rsidR="00593AD0" w:rsidRPr="003966DC">
        <w:rPr>
          <w:rFonts w:asciiTheme="majorBidi" w:hAnsiTheme="majorBidi" w:cstheme="majorBidi"/>
          <w:lang w:val="fr-FR"/>
        </w:rPr>
        <w:t xml:space="preserve"> Cartagena</w:t>
      </w:r>
      <w:r w:rsidR="006116BE" w:rsidRPr="003966DC">
        <w:rPr>
          <w:rFonts w:asciiTheme="majorBidi" w:hAnsiTheme="majorBidi" w:cstheme="majorBidi"/>
          <w:lang w:val="fr-FR"/>
        </w:rPr>
        <w:t> </w:t>
      </w:r>
      <w:r w:rsidR="00064754" w:rsidRPr="003966DC">
        <w:rPr>
          <w:rFonts w:asciiTheme="majorBidi" w:hAnsiTheme="majorBidi" w:cstheme="majorBidi"/>
          <w:lang w:val="fr-FR"/>
        </w:rPr>
        <w:t>;</w:t>
      </w:r>
    </w:p>
    <w:p w14:paraId="16BE3211" w14:textId="5FAAB9E6" w:rsidR="00AC5CD9" w:rsidRPr="003966DC" w:rsidRDefault="002A7D09" w:rsidP="009F3F4F">
      <w:pPr>
        <w:pStyle w:val="CBDDesicionText"/>
        <w:rPr>
          <w:lang w:val="fr-FR"/>
        </w:rPr>
      </w:pPr>
      <w:r w:rsidRPr="003966DC">
        <w:rPr>
          <w:rFonts w:asciiTheme="majorBidi" w:hAnsiTheme="majorBidi" w:cstheme="majorBidi"/>
          <w:lang w:val="fr-FR"/>
        </w:rPr>
        <w:t>5.</w:t>
      </w:r>
      <w:r w:rsidRPr="003966DC">
        <w:rPr>
          <w:rFonts w:asciiTheme="majorBidi" w:hAnsiTheme="majorBidi" w:cstheme="majorBidi"/>
          <w:lang w:val="fr-FR"/>
        </w:rPr>
        <w:tab/>
      </w:r>
      <w:r w:rsidR="004A35A8" w:rsidRPr="003966DC">
        <w:rPr>
          <w:rFonts w:asciiTheme="majorBidi" w:hAnsiTheme="majorBidi" w:cstheme="majorBidi"/>
          <w:i/>
          <w:iCs/>
          <w:lang w:val="fr-FR"/>
        </w:rPr>
        <w:t>Adopte</w:t>
      </w:r>
      <w:r w:rsidR="004A35A8" w:rsidRPr="003966DC">
        <w:rPr>
          <w:rFonts w:asciiTheme="majorBidi" w:hAnsiTheme="majorBidi" w:cstheme="majorBidi"/>
          <w:lang w:val="fr-FR"/>
        </w:rPr>
        <w:t xml:space="preserve"> le barème des quotes-parts pour la répartition des dépenses </w:t>
      </w:r>
      <w:r w:rsidR="006638B9" w:rsidRPr="003966DC">
        <w:rPr>
          <w:rFonts w:asciiTheme="majorBidi" w:hAnsiTheme="majorBidi" w:cstheme="majorBidi"/>
          <w:lang w:val="fr-FR"/>
        </w:rPr>
        <w:t xml:space="preserve">pour </w:t>
      </w:r>
      <w:r w:rsidR="00AC5CD9" w:rsidRPr="003966DC">
        <w:rPr>
          <w:lang w:val="fr-FR"/>
        </w:rPr>
        <w:t xml:space="preserve">2025 </w:t>
      </w:r>
      <w:r w:rsidR="006638B9" w:rsidRPr="003966DC">
        <w:rPr>
          <w:lang w:val="fr-FR"/>
        </w:rPr>
        <w:t xml:space="preserve">et </w:t>
      </w:r>
      <w:r w:rsidR="00AC5CD9" w:rsidRPr="003966DC">
        <w:rPr>
          <w:lang w:val="fr-FR"/>
        </w:rPr>
        <w:t xml:space="preserve">2026, </w:t>
      </w:r>
      <w:r w:rsidR="004A512B" w:rsidRPr="003966DC">
        <w:rPr>
          <w:lang w:val="fr-FR"/>
        </w:rPr>
        <w:t xml:space="preserve">établi en </w:t>
      </w:r>
      <w:r w:rsidR="005E1EB3" w:rsidRPr="003966DC">
        <w:rPr>
          <w:lang w:val="fr-FR"/>
        </w:rPr>
        <w:t>conform</w:t>
      </w:r>
      <w:r w:rsidR="004A512B" w:rsidRPr="003966DC">
        <w:rPr>
          <w:lang w:val="fr-FR"/>
        </w:rPr>
        <w:t xml:space="preserve">ité avec le </w:t>
      </w:r>
      <w:r w:rsidR="005E1EB3" w:rsidRPr="003966DC">
        <w:rPr>
          <w:rFonts w:asciiTheme="majorBidi" w:hAnsiTheme="majorBidi" w:cstheme="majorBidi"/>
          <w:lang w:val="fr-FR"/>
        </w:rPr>
        <w:t>barème actuel des quotes-parts</w:t>
      </w:r>
      <w:r w:rsidR="005E1EB3" w:rsidRPr="003966DC">
        <w:rPr>
          <w:lang w:val="fr-FR"/>
        </w:rPr>
        <w:t xml:space="preserve"> des Nations Unies</w:t>
      </w:r>
      <w:r w:rsidR="00AC5CD9" w:rsidRPr="003966DC">
        <w:rPr>
          <w:rStyle w:val="FootnoteReference"/>
          <w:rFonts w:eastAsia="Malgun Gothic"/>
          <w:iCs/>
          <w:color w:val="000000" w:themeColor="text1"/>
          <w:kern w:val="20"/>
          <w:lang w:val="fr-FR" w:eastAsia="x-none"/>
        </w:rPr>
        <w:footnoteReference w:id="4"/>
      </w:r>
      <w:r w:rsidR="005E1EB3" w:rsidRPr="003966DC">
        <w:rPr>
          <w:lang w:val="fr-FR"/>
        </w:rPr>
        <w:t>,</w:t>
      </w:r>
      <w:r w:rsidR="00AC5CD9" w:rsidRPr="003966DC">
        <w:rPr>
          <w:lang w:val="fr-FR"/>
        </w:rPr>
        <w:t xml:space="preserve"> </w:t>
      </w:r>
      <w:r w:rsidR="00923EFF" w:rsidRPr="003966DC">
        <w:rPr>
          <w:lang w:val="fr-FR"/>
        </w:rPr>
        <w:t>tel qu’il figure dans l’annexe à la présente décision </w:t>
      </w:r>
      <w:r w:rsidR="00AC5CD9" w:rsidRPr="003966DC">
        <w:rPr>
          <w:lang w:val="fr-FR"/>
        </w:rPr>
        <w:t>;</w:t>
      </w:r>
    </w:p>
    <w:bookmarkEnd w:id="5"/>
    <w:p w14:paraId="476B7BCA" w14:textId="04F224B5" w:rsidR="00AC5CD9" w:rsidRPr="003966DC" w:rsidRDefault="005402D0" w:rsidP="009F3F4F">
      <w:pPr>
        <w:pStyle w:val="CBDDesicionText"/>
        <w:rPr>
          <w:rFonts w:eastAsia="Malgun Gothic"/>
          <w:iCs/>
          <w:color w:val="000000" w:themeColor="text1"/>
          <w:kern w:val="20"/>
          <w:lang w:val="fr-FR" w:eastAsia="x-none"/>
        </w:rPr>
      </w:pPr>
      <w:r w:rsidRPr="003966DC">
        <w:rPr>
          <w:rFonts w:asciiTheme="majorBidi" w:eastAsia="Malgun Gothic" w:hAnsiTheme="majorBidi" w:cstheme="majorBidi"/>
          <w:iCs/>
          <w:color w:val="000000" w:themeColor="text1"/>
          <w:kern w:val="20"/>
          <w:lang w:val="fr-FR" w:eastAsia="x-none"/>
        </w:rPr>
        <w:t>6</w:t>
      </w:r>
      <w:r w:rsidR="002A7D09" w:rsidRPr="003966DC">
        <w:rPr>
          <w:rFonts w:asciiTheme="majorBidi" w:eastAsia="Malgun Gothic" w:hAnsiTheme="majorBidi" w:cstheme="majorBidi"/>
          <w:iCs/>
          <w:color w:val="000000" w:themeColor="text1"/>
          <w:kern w:val="20"/>
          <w:lang w:val="fr-FR" w:eastAsia="x-none"/>
        </w:rPr>
        <w:t>.</w:t>
      </w:r>
      <w:r w:rsidR="002A7D09" w:rsidRPr="003966DC">
        <w:rPr>
          <w:rFonts w:asciiTheme="majorBidi" w:eastAsia="Malgun Gothic" w:hAnsiTheme="majorBidi" w:cstheme="majorBidi"/>
          <w:iCs/>
          <w:color w:val="000000" w:themeColor="text1"/>
          <w:kern w:val="20"/>
          <w:lang w:val="fr-FR" w:eastAsia="x-none"/>
        </w:rPr>
        <w:tab/>
      </w:r>
      <w:r w:rsidR="002F2382" w:rsidRPr="003966DC">
        <w:rPr>
          <w:rFonts w:asciiTheme="majorBidi" w:eastAsia="Malgun Gothic" w:hAnsiTheme="majorBidi" w:cstheme="majorBidi"/>
          <w:i/>
          <w:color w:val="000000" w:themeColor="text1"/>
          <w:kern w:val="20"/>
          <w:lang w:val="fr-FR" w:eastAsia="x-none"/>
        </w:rPr>
        <w:t>Décide</w:t>
      </w:r>
      <w:r w:rsidR="002F2382" w:rsidRPr="003966DC">
        <w:rPr>
          <w:rFonts w:asciiTheme="majorBidi" w:eastAsia="Malgun Gothic" w:hAnsiTheme="majorBidi" w:cstheme="majorBidi"/>
          <w:iCs/>
          <w:color w:val="000000" w:themeColor="text1"/>
          <w:kern w:val="20"/>
          <w:lang w:val="fr-FR" w:eastAsia="x-none"/>
        </w:rPr>
        <w:t xml:space="preserve"> d’appliquer, </w:t>
      </w:r>
      <w:r w:rsidR="002F2382" w:rsidRPr="003966DC">
        <w:rPr>
          <w:rFonts w:asciiTheme="majorBidi" w:eastAsia="Malgun Gothic" w:hAnsiTheme="majorBidi" w:cstheme="majorBidi"/>
          <w:i/>
          <w:color w:val="000000" w:themeColor="text1"/>
          <w:kern w:val="20"/>
          <w:lang w:val="fr-FR" w:eastAsia="x-none"/>
        </w:rPr>
        <w:t>mutatis mutandis</w:t>
      </w:r>
      <w:r w:rsidR="002F2382" w:rsidRPr="003966DC">
        <w:rPr>
          <w:rFonts w:asciiTheme="majorBidi" w:eastAsia="Malgun Gothic" w:hAnsiTheme="majorBidi" w:cstheme="majorBidi"/>
          <w:iCs/>
          <w:color w:val="000000" w:themeColor="text1"/>
          <w:kern w:val="20"/>
          <w:lang w:val="fr-FR" w:eastAsia="x-none"/>
        </w:rPr>
        <w:t>, les paragraphes</w:t>
      </w:r>
      <w:r w:rsidR="002F2382" w:rsidRPr="003966DC">
        <w:rPr>
          <w:rFonts w:asciiTheme="majorBidi" w:eastAsia="Malgun Gothic" w:hAnsiTheme="majorBidi" w:cstheme="majorBidi"/>
          <w:i/>
          <w:iCs/>
          <w:color w:val="000000" w:themeColor="text1"/>
          <w:kern w:val="20"/>
          <w:lang w:val="fr-FR" w:eastAsia="x-none"/>
        </w:rPr>
        <w:t xml:space="preserve"> </w:t>
      </w:r>
      <w:r w:rsidR="00C03580" w:rsidRPr="003966DC">
        <w:rPr>
          <w:lang w:val="fr-FR"/>
        </w:rPr>
        <w:t xml:space="preserve">5 </w:t>
      </w:r>
      <w:r w:rsidR="002F2382" w:rsidRPr="003966DC">
        <w:rPr>
          <w:lang w:val="fr-FR"/>
        </w:rPr>
        <w:t xml:space="preserve">à </w:t>
      </w:r>
      <w:r w:rsidR="00C03580" w:rsidRPr="003966DC">
        <w:rPr>
          <w:lang w:val="fr-FR"/>
        </w:rPr>
        <w:t xml:space="preserve">7 </w:t>
      </w:r>
      <w:r w:rsidR="002F2382" w:rsidRPr="003966DC">
        <w:rPr>
          <w:lang w:val="fr-FR"/>
        </w:rPr>
        <w:t xml:space="preserve">et </w:t>
      </w:r>
      <w:r w:rsidR="00C03580" w:rsidRPr="003966DC">
        <w:rPr>
          <w:lang w:val="fr-FR"/>
        </w:rPr>
        <w:t xml:space="preserve">9 </w:t>
      </w:r>
      <w:r w:rsidR="002F2382" w:rsidRPr="003966DC">
        <w:rPr>
          <w:lang w:val="fr-FR"/>
        </w:rPr>
        <w:t xml:space="preserve">à </w:t>
      </w:r>
      <w:r w:rsidR="00C03580" w:rsidRPr="003966DC">
        <w:rPr>
          <w:lang w:val="fr-FR"/>
        </w:rPr>
        <w:t>43</w:t>
      </w:r>
      <w:r w:rsidR="00AC5CD9" w:rsidRPr="003966DC">
        <w:rPr>
          <w:lang w:val="fr-FR"/>
        </w:rPr>
        <w:t xml:space="preserve"> </w:t>
      </w:r>
      <w:r w:rsidR="002F2382" w:rsidRPr="003966DC">
        <w:rPr>
          <w:lang w:val="fr-FR"/>
        </w:rPr>
        <w:t xml:space="preserve">de la </w:t>
      </w:r>
      <w:r w:rsidR="00AC5CD9" w:rsidRPr="00F70F1B">
        <w:rPr>
          <w:lang w:val="fr-FR"/>
        </w:rPr>
        <w:t>d</w:t>
      </w:r>
      <w:r w:rsidR="00401C93" w:rsidRPr="00F70F1B">
        <w:rPr>
          <w:lang w:val="fr-FR"/>
        </w:rPr>
        <w:t>é</w:t>
      </w:r>
      <w:r w:rsidR="00AC5CD9" w:rsidRPr="00F70F1B">
        <w:rPr>
          <w:lang w:val="fr-FR"/>
        </w:rPr>
        <w:t>cision </w:t>
      </w:r>
      <w:r w:rsidR="00F70F1B" w:rsidRPr="00F70F1B">
        <w:rPr>
          <w:lang w:val="fr-FR"/>
        </w:rPr>
        <w:t xml:space="preserve">16/28 du 6 décembre 2024 </w:t>
      </w:r>
      <w:r w:rsidR="00401C93" w:rsidRPr="00F70F1B">
        <w:rPr>
          <w:lang w:val="fr-FR"/>
        </w:rPr>
        <w:t>de</w:t>
      </w:r>
      <w:r w:rsidR="00401C93" w:rsidRPr="003966DC">
        <w:rPr>
          <w:lang w:val="fr-FR"/>
        </w:rPr>
        <w:t xml:space="preserve"> la </w:t>
      </w:r>
      <w:r w:rsidR="00AC5CD9" w:rsidRPr="003966DC">
        <w:rPr>
          <w:lang w:val="fr-FR"/>
        </w:rPr>
        <w:t>Conf</w:t>
      </w:r>
      <w:r w:rsidR="00401C93" w:rsidRPr="003966DC">
        <w:rPr>
          <w:lang w:val="fr-FR"/>
        </w:rPr>
        <w:t>é</w:t>
      </w:r>
      <w:r w:rsidR="00AC5CD9" w:rsidRPr="003966DC">
        <w:rPr>
          <w:lang w:val="fr-FR"/>
        </w:rPr>
        <w:t xml:space="preserve">rence </w:t>
      </w:r>
      <w:r w:rsidR="00401C93" w:rsidRPr="003966DC">
        <w:rPr>
          <w:lang w:val="fr-FR"/>
        </w:rPr>
        <w:t xml:space="preserve">des </w:t>
      </w:r>
      <w:r w:rsidR="00AC5CD9" w:rsidRPr="003966DC">
        <w:rPr>
          <w:lang w:val="fr-FR"/>
        </w:rPr>
        <w:t>Parties</w:t>
      </w:r>
      <w:r w:rsidR="00FF7DC6" w:rsidRPr="003966DC">
        <w:rPr>
          <w:lang w:val="fr-FR"/>
        </w:rPr>
        <w:t xml:space="preserve"> </w:t>
      </w:r>
      <w:r w:rsidR="00401C93" w:rsidRPr="003966DC">
        <w:rPr>
          <w:lang w:val="fr-FR"/>
        </w:rPr>
        <w:t xml:space="preserve">à la </w:t>
      </w:r>
      <w:r w:rsidR="00FF7DC6" w:rsidRPr="003966DC">
        <w:rPr>
          <w:lang w:val="fr-FR"/>
        </w:rPr>
        <w:t>Convention</w:t>
      </w:r>
      <w:r w:rsidR="001E6CAE" w:rsidRPr="003966DC">
        <w:rPr>
          <w:lang w:val="fr-FR"/>
        </w:rPr>
        <w:t xml:space="preserve">, </w:t>
      </w:r>
      <w:r w:rsidR="00401C93" w:rsidRPr="003966DC">
        <w:rPr>
          <w:lang w:val="fr-FR"/>
        </w:rPr>
        <w:t xml:space="preserve">intitulée </w:t>
      </w:r>
      <w:r w:rsidR="0084662E" w:rsidRPr="003966DC">
        <w:rPr>
          <w:lang w:val="fr-FR"/>
        </w:rPr>
        <w:t>« </w:t>
      </w:r>
      <w:r w:rsidR="001E6CAE" w:rsidRPr="003966DC">
        <w:rPr>
          <w:lang w:val="fr-FR"/>
        </w:rPr>
        <w:t>A</w:t>
      </w:r>
      <w:r w:rsidR="009B2FFC" w:rsidRPr="003966DC">
        <w:rPr>
          <w:lang w:val="fr-FR"/>
        </w:rPr>
        <w:t xml:space="preserve">dministration </w:t>
      </w:r>
      <w:r w:rsidR="0084662E" w:rsidRPr="003966DC">
        <w:rPr>
          <w:lang w:val="fr-FR"/>
        </w:rPr>
        <w:t xml:space="preserve">de la </w:t>
      </w:r>
      <w:r w:rsidR="009B2FFC" w:rsidRPr="003966DC">
        <w:rPr>
          <w:lang w:val="fr-FR"/>
        </w:rPr>
        <w:t xml:space="preserve">Convention </w:t>
      </w:r>
      <w:r w:rsidR="0084662E" w:rsidRPr="003966DC">
        <w:rPr>
          <w:lang w:val="fr-FR"/>
        </w:rPr>
        <w:t xml:space="preserve">et </w:t>
      </w:r>
      <w:r w:rsidR="009B2FFC" w:rsidRPr="003966DC">
        <w:rPr>
          <w:lang w:val="fr-FR"/>
        </w:rPr>
        <w:t xml:space="preserve">budget </w:t>
      </w:r>
      <w:r w:rsidR="00135A5F">
        <w:rPr>
          <w:lang w:val="fr-FR"/>
        </w:rPr>
        <w:t>des</w:t>
      </w:r>
      <w:r w:rsidR="0084662E" w:rsidRPr="003966DC">
        <w:rPr>
          <w:lang w:val="fr-FR"/>
        </w:rPr>
        <w:t xml:space="preserve"> fonds d’affectation spéciale »</w:t>
      </w:r>
      <w:r w:rsidR="00AC5CD9" w:rsidRPr="003966DC">
        <w:rPr>
          <w:lang w:val="fr-FR"/>
        </w:rPr>
        <w:t>.</w:t>
      </w:r>
    </w:p>
    <w:p w14:paraId="4CB0AA67" w14:textId="72E7B37C" w:rsidR="006761F1" w:rsidRPr="003966DC" w:rsidRDefault="006761F1" w:rsidP="00A52B30">
      <w:pPr>
        <w:pStyle w:val="CBDTableTitle"/>
        <w:rPr>
          <w:lang w:val="fr-FR" w:bidi="ar-SY"/>
        </w:rPr>
      </w:pPr>
      <w:r w:rsidRPr="003966DC">
        <w:rPr>
          <w:b w:val="0"/>
          <w:bCs/>
          <w:lang w:val="fr-FR" w:bidi="ar-SY"/>
        </w:rPr>
        <w:t>Table</w:t>
      </w:r>
      <w:r w:rsidR="0092477D" w:rsidRPr="003966DC">
        <w:rPr>
          <w:b w:val="0"/>
          <w:bCs/>
          <w:lang w:val="fr-FR" w:bidi="ar-SY"/>
        </w:rPr>
        <w:t>au</w:t>
      </w:r>
      <w:r w:rsidRPr="003966DC">
        <w:rPr>
          <w:b w:val="0"/>
          <w:bCs/>
          <w:lang w:val="fr-FR" w:bidi="ar-SY"/>
        </w:rPr>
        <w:t xml:space="preserve"> 1</w:t>
      </w:r>
      <w:r w:rsidRPr="003966DC">
        <w:rPr>
          <w:b w:val="0"/>
          <w:bCs/>
          <w:lang w:val="fr-FR" w:bidi="ar-SY"/>
        </w:rPr>
        <w:br/>
      </w:r>
      <w:r w:rsidR="00C8692E" w:rsidRPr="003966DC">
        <w:rPr>
          <w:lang w:val="fr-FR" w:bidi="ar-SY"/>
        </w:rPr>
        <w:t xml:space="preserve">Budget intégré des </w:t>
      </w:r>
      <w:r w:rsidR="00B503F5" w:rsidRPr="003966DC">
        <w:rPr>
          <w:lang w:val="fr-FR" w:bidi="ar-SY"/>
        </w:rPr>
        <w:t>f</w:t>
      </w:r>
      <w:r w:rsidR="00C8692E" w:rsidRPr="003966DC">
        <w:rPr>
          <w:lang w:val="fr-FR" w:bidi="ar-SY"/>
        </w:rPr>
        <w:t xml:space="preserve">onds d’affectation spéciale </w:t>
      </w:r>
      <w:r w:rsidR="00C26123" w:rsidRPr="003966DC">
        <w:rPr>
          <w:lang w:val="fr-FR" w:bidi="ar-SY"/>
        </w:rPr>
        <w:t xml:space="preserve">de base </w:t>
      </w:r>
      <w:r w:rsidR="00C8692E" w:rsidRPr="003966DC">
        <w:rPr>
          <w:lang w:val="fr-FR" w:bidi="ar-SY"/>
        </w:rPr>
        <w:t>de la Convention et de ses Protocoles pour l’exercice biennal</w:t>
      </w:r>
      <w:r w:rsidR="00265079" w:rsidRPr="003966DC">
        <w:rPr>
          <w:lang w:val="fr-FR" w:bidi="ar-SY"/>
        </w:rPr>
        <w:t xml:space="preserve"> 2025</w:t>
      </w:r>
      <w:r w:rsidR="00CD33B3">
        <w:rPr>
          <w:lang w:val="fr-FR" w:bidi="ar-SY"/>
        </w:rPr>
        <w:t>-</w:t>
      </w:r>
      <w:r w:rsidR="00265079" w:rsidRPr="003966DC">
        <w:rPr>
          <w:lang w:val="fr-FR" w:bidi="ar-SY"/>
        </w:rPr>
        <w:t>2026 (</w:t>
      </w:r>
      <w:r w:rsidR="00C26123" w:rsidRPr="003966DC">
        <w:rPr>
          <w:lang w:val="fr-FR" w:bidi="ar-SY"/>
        </w:rPr>
        <w:t>par poste de dépenses</w:t>
      </w:r>
      <w:r w:rsidR="00265079" w:rsidRPr="003966DC">
        <w:rPr>
          <w:lang w:val="fr-FR" w:bidi="ar-SY"/>
        </w:rPr>
        <w:t>)</w:t>
      </w:r>
    </w:p>
    <w:p w14:paraId="100AD7F9" w14:textId="06B5BBF2" w:rsidR="00C60B91" w:rsidRPr="003966DC" w:rsidRDefault="00656BB4" w:rsidP="00A52B30">
      <w:pPr>
        <w:pStyle w:val="CBDNormal"/>
        <w:spacing w:after="60"/>
        <w:ind w:left="567"/>
        <w:rPr>
          <w:sz w:val="18"/>
          <w:szCs w:val="18"/>
          <w:lang w:val="fr-FR"/>
        </w:rPr>
      </w:pPr>
      <w:r w:rsidRPr="003966DC">
        <w:rPr>
          <w:sz w:val="18"/>
          <w:szCs w:val="18"/>
          <w:lang w:val="fr-FR" w:bidi="ar-SY"/>
        </w:rPr>
        <w:t>(</w:t>
      </w:r>
      <w:r w:rsidR="003E3796" w:rsidRPr="003966DC">
        <w:rPr>
          <w:sz w:val="18"/>
          <w:szCs w:val="18"/>
          <w:lang w:val="fr-FR" w:bidi="ar-SY"/>
        </w:rPr>
        <w:t>en milliers de dollars É.-U.</w:t>
      </w:r>
      <w:r w:rsidRPr="003966DC">
        <w:rPr>
          <w:sz w:val="18"/>
          <w:szCs w:val="18"/>
          <w:lang w:val="fr-FR" w:bidi="ar-SY"/>
        </w:rPr>
        <w:t>)</w:t>
      </w:r>
    </w:p>
    <w:tbl>
      <w:tblPr>
        <w:tblW w:w="4548" w:type="pct"/>
        <w:tblInd w:w="562" w:type="dxa"/>
        <w:tblCellMar>
          <w:left w:w="0" w:type="dxa"/>
          <w:right w:w="0" w:type="dxa"/>
        </w:tblCellMar>
        <w:tblLook w:val="01E0" w:firstRow="1" w:lastRow="1" w:firstColumn="1" w:lastColumn="1" w:noHBand="0" w:noVBand="0"/>
      </w:tblPr>
      <w:tblGrid>
        <w:gridCol w:w="4259"/>
        <w:gridCol w:w="1420"/>
        <w:gridCol w:w="1277"/>
        <w:gridCol w:w="1558"/>
      </w:tblGrid>
      <w:tr w:rsidR="009F3F4F" w:rsidRPr="003966DC" w14:paraId="119CEC36" w14:textId="77777777" w:rsidTr="00A52B30">
        <w:trPr>
          <w:tblHeader/>
        </w:trPr>
        <w:tc>
          <w:tcPr>
            <w:tcW w:w="2501" w:type="pct"/>
            <w:tcBorders>
              <w:top w:val="single" w:sz="4" w:space="0" w:color="auto"/>
              <w:bottom w:val="single" w:sz="4" w:space="0" w:color="auto"/>
            </w:tcBorders>
          </w:tcPr>
          <w:p w14:paraId="30EC518C" w14:textId="17BB288F" w:rsidR="00F364C6" w:rsidRPr="003966DC" w:rsidRDefault="00256517" w:rsidP="00A52B30">
            <w:pPr>
              <w:spacing w:before="40" w:after="40"/>
              <w:rPr>
                <w:i/>
                <w:iCs/>
                <w:sz w:val="18"/>
                <w:szCs w:val="18"/>
                <w:lang w:val="fr-FR" w:bidi="ar-SY"/>
              </w:rPr>
            </w:pPr>
            <w:r>
              <w:rPr>
                <w:i/>
                <w:iCs/>
                <w:sz w:val="18"/>
                <w:szCs w:val="18"/>
                <w:lang w:val="fr-FR" w:bidi="ar-SY"/>
              </w:rPr>
              <w:t xml:space="preserve">Poste </w:t>
            </w:r>
            <w:r w:rsidR="003E3796" w:rsidRPr="003966DC">
              <w:rPr>
                <w:i/>
                <w:iCs/>
                <w:sz w:val="18"/>
                <w:szCs w:val="18"/>
                <w:lang w:val="fr-FR" w:bidi="ar-SY"/>
              </w:rPr>
              <w:t>de dépenses</w:t>
            </w:r>
          </w:p>
        </w:tc>
        <w:tc>
          <w:tcPr>
            <w:tcW w:w="834" w:type="pct"/>
            <w:tcBorders>
              <w:top w:val="single" w:sz="4" w:space="0" w:color="auto"/>
              <w:bottom w:val="single" w:sz="4" w:space="0" w:color="auto"/>
            </w:tcBorders>
          </w:tcPr>
          <w:p w14:paraId="7501242C" w14:textId="77777777" w:rsidR="00F364C6" w:rsidRPr="003966DC" w:rsidRDefault="00F364C6" w:rsidP="00A52B30">
            <w:pPr>
              <w:spacing w:before="40" w:after="40"/>
              <w:ind w:right="140"/>
              <w:jc w:val="right"/>
              <w:rPr>
                <w:i/>
                <w:iCs/>
                <w:sz w:val="18"/>
                <w:szCs w:val="18"/>
                <w:lang w:val="fr-FR" w:bidi="ar-SY"/>
              </w:rPr>
            </w:pPr>
            <w:r w:rsidRPr="003966DC">
              <w:rPr>
                <w:i/>
                <w:iCs/>
                <w:sz w:val="18"/>
                <w:szCs w:val="18"/>
                <w:lang w:val="fr-FR" w:bidi="ar-SY"/>
              </w:rPr>
              <w:t>2025</w:t>
            </w:r>
          </w:p>
        </w:tc>
        <w:tc>
          <w:tcPr>
            <w:tcW w:w="750" w:type="pct"/>
            <w:tcBorders>
              <w:top w:val="single" w:sz="4" w:space="0" w:color="auto"/>
              <w:bottom w:val="single" w:sz="4" w:space="0" w:color="auto"/>
            </w:tcBorders>
          </w:tcPr>
          <w:p w14:paraId="47D5B4A7" w14:textId="77777777" w:rsidR="00F364C6" w:rsidRPr="003966DC" w:rsidRDefault="00F364C6" w:rsidP="00A52B30">
            <w:pPr>
              <w:tabs>
                <w:tab w:val="clear" w:pos="1134"/>
              </w:tabs>
              <w:spacing w:before="40" w:after="40"/>
              <w:ind w:right="142"/>
              <w:jc w:val="right"/>
              <w:rPr>
                <w:i/>
                <w:iCs/>
                <w:sz w:val="18"/>
                <w:szCs w:val="18"/>
                <w:lang w:val="fr-FR" w:bidi="ar-SY"/>
              </w:rPr>
            </w:pPr>
            <w:r w:rsidRPr="003966DC">
              <w:rPr>
                <w:i/>
                <w:iCs/>
                <w:sz w:val="18"/>
                <w:szCs w:val="18"/>
                <w:lang w:val="fr-FR" w:bidi="ar-SY"/>
              </w:rPr>
              <w:t>2026</w:t>
            </w:r>
          </w:p>
        </w:tc>
        <w:tc>
          <w:tcPr>
            <w:tcW w:w="915" w:type="pct"/>
            <w:tcBorders>
              <w:top w:val="single" w:sz="4" w:space="0" w:color="auto"/>
              <w:bottom w:val="single" w:sz="4" w:space="0" w:color="auto"/>
            </w:tcBorders>
          </w:tcPr>
          <w:p w14:paraId="6C80507E" w14:textId="37DADEA5" w:rsidR="00F364C6" w:rsidRPr="003966DC" w:rsidRDefault="00F364C6" w:rsidP="00A52B30">
            <w:pPr>
              <w:spacing w:before="40" w:after="40"/>
              <w:jc w:val="right"/>
              <w:rPr>
                <w:i/>
                <w:iCs/>
                <w:sz w:val="18"/>
                <w:szCs w:val="18"/>
                <w:lang w:val="fr-FR" w:bidi="ar-SY"/>
              </w:rPr>
            </w:pPr>
            <w:r w:rsidRPr="003966DC">
              <w:rPr>
                <w:i/>
                <w:iCs/>
                <w:sz w:val="18"/>
                <w:szCs w:val="18"/>
                <w:lang w:val="fr-FR" w:bidi="ar-SY"/>
              </w:rPr>
              <w:t>2025</w:t>
            </w:r>
            <w:r w:rsidR="003E3796" w:rsidRPr="003966DC">
              <w:rPr>
                <w:i/>
                <w:iCs/>
                <w:sz w:val="18"/>
                <w:szCs w:val="18"/>
                <w:lang w:val="fr-FR" w:bidi="ar-SY"/>
              </w:rPr>
              <w:t>-</w:t>
            </w:r>
            <w:r w:rsidRPr="003966DC">
              <w:rPr>
                <w:i/>
                <w:iCs/>
                <w:sz w:val="18"/>
                <w:szCs w:val="18"/>
                <w:lang w:val="fr-FR" w:bidi="ar-SY"/>
              </w:rPr>
              <w:t>2026</w:t>
            </w:r>
          </w:p>
        </w:tc>
      </w:tr>
      <w:tr w:rsidR="00152339" w:rsidRPr="003966DC" w14:paraId="25C72065" w14:textId="77777777" w:rsidTr="00A52B30">
        <w:trPr>
          <w:trHeight w:val="258"/>
        </w:trPr>
        <w:tc>
          <w:tcPr>
            <w:tcW w:w="2501" w:type="pct"/>
            <w:tcBorders>
              <w:top w:val="single" w:sz="4" w:space="0" w:color="auto"/>
            </w:tcBorders>
          </w:tcPr>
          <w:p w14:paraId="4C1E7F9A" w14:textId="37F612EB" w:rsidR="00F364C6" w:rsidRPr="003966DC" w:rsidRDefault="00281F63" w:rsidP="00A52B30">
            <w:pPr>
              <w:spacing w:before="40" w:after="40"/>
              <w:rPr>
                <w:sz w:val="18"/>
                <w:szCs w:val="18"/>
                <w:lang w:val="fr-FR" w:bidi="ar-SY"/>
              </w:rPr>
            </w:pPr>
            <w:r w:rsidRPr="003966DC">
              <w:rPr>
                <w:sz w:val="18"/>
                <w:szCs w:val="18"/>
                <w:lang w:val="fr-FR"/>
              </w:rPr>
              <w:t>Dépenses de personnel</w:t>
            </w:r>
          </w:p>
        </w:tc>
        <w:tc>
          <w:tcPr>
            <w:tcW w:w="834" w:type="pct"/>
            <w:tcBorders>
              <w:top w:val="single" w:sz="4" w:space="0" w:color="auto"/>
            </w:tcBorders>
          </w:tcPr>
          <w:p w14:paraId="49120253" w14:textId="341C169B" w:rsidR="00F364C6" w:rsidRPr="003966DC" w:rsidRDefault="00F364C6" w:rsidP="00A52B30">
            <w:pPr>
              <w:spacing w:before="40" w:after="40"/>
              <w:ind w:right="140"/>
              <w:jc w:val="right"/>
              <w:rPr>
                <w:sz w:val="18"/>
                <w:szCs w:val="18"/>
                <w:lang w:val="fr-FR" w:bidi="ar-SY"/>
              </w:rPr>
            </w:pPr>
            <w:r w:rsidRPr="003966DC">
              <w:rPr>
                <w:sz w:val="18"/>
                <w:szCs w:val="18"/>
                <w:lang w:val="fr-FR" w:bidi="ar-SY"/>
              </w:rPr>
              <w:t>13 301</w:t>
            </w:r>
            <w:r w:rsidR="00487B8A" w:rsidRPr="003966DC">
              <w:rPr>
                <w:sz w:val="18"/>
                <w:szCs w:val="18"/>
                <w:lang w:val="fr-FR" w:bidi="ar-SY"/>
              </w:rPr>
              <w:t>,</w:t>
            </w:r>
            <w:r w:rsidRPr="003966DC">
              <w:rPr>
                <w:sz w:val="18"/>
                <w:szCs w:val="18"/>
                <w:lang w:val="fr-FR" w:bidi="ar-SY"/>
              </w:rPr>
              <w:t>0</w:t>
            </w:r>
          </w:p>
        </w:tc>
        <w:tc>
          <w:tcPr>
            <w:tcW w:w="750" w:type="pct"/>
            <w:tcBorders>
              <w:top w:val="single" w:sz="4" w:space="0" w:color="auto"/>
            </w:tcBorders>
          </w:tcPr>
          <w:p w14:paraId="52EFF9A7" w14:textId="623D4FCD"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13</w:t>
            </w:r>
            <w:r w:rsidR="00E0434D" w:rsidRPr="003966DC">
              <w:rPr>
                <w:sz w:val="18"/>
                <w:szCs w:val="18"/>
                <w:lang w:val="fr-FR" w:bidi="ar-SY"/>
              </w:rPr>
              <w:t> </w:t>
            </w:r>
            <w:r w:rsidRPr="003966DC">
              <w:rPr>
                <w:sz w:val="18"/>
                <w:szCs w:val="18"/>
                <w:lang w:val="fr-FR" w:bidi="ar-SY"/>
              </w:rPr>
              <w:t>862</w:t>
            </w:r>
            <w:r w:rsidR="00487B8A" w:rsidRPr="003966DC">
              <w:rPr>
                <w:sz w:val="18"/>
                <w:szCs w:val="18"/>
                <w:lang w:val="fr-FR" w:bidi="ar-SY"/>
              </w:rPr>
              <w:t>,</w:t>
            </w:r>
            <w:r w:rsidRPr="003966DC">
              <w:rPr>
                <w:sz w:val="18"/>
                <w:szCs w:val="18"/>
                <w:lang w:val="fr-FR" w:bidi="ar-SY"/>
              </w:rPr>
              <w:t>7</w:t>
            </w:r>
          </w:p>
        </w:tc>
        <w:tc>
          <w:tcPr>
            <w:tcW w:w="915" w:type="pct"/>
            <w:tcBorders>
              <w:top w:val="single" w:sz="4" w:space="0" w:color="auto"/>
            </w:tcBorders>
          </w:tcPr>
          <w:p w14:paraId="5B494ACA" w14:textId="4D5BA2B1" w:rsidR="00F364C6" w:rsidRPr="003966DC" w:rsidRDefault="00F364C6" w:rsidP="00A52B30">
            <w:pPr>
              <w:spacing w:before="40" w:after="40"/>
              <w:ind w:right="135"/>
              <w:jc w:val="right"/>
              <w:rPr>
                <w:sz w:val="18"/>
                <w:szCs w:val="18"/>
                <w:lang w:val="fr-FR" w:bidi="ar-SY"/>
              </w:rPr>
            </w:pPr>
            <w:r w:rsidRPr="003966DC">
              <w:rPr>
                <w:sz w:val="18"/>
                <w:szCs w:val="18"/>
                <w:lang w:val="fr-FR" w:bidi="ar-SY"/>
              </w:rPr>
              <w:t>27</w:t>
            </w:r>
            <w:r w:rsidR="00656BB4" w:rsidRPr="003966DC">
              <w:rPr>
                <w:sz w:val="18"/>
                <w:szCs w:val="18"/>
                <w:lang w:val="fr-FR" w:bidi="ar-SY"/>
              </w:rPr>
              <w:t> </w:t>
            </w:r>
            <w:r w:rsidRPr="003966DC">
              <w:rPr>
                <w:sz w:val="18"/>
                <w:szCs w:val="18"/>
                <w:lang w:val="fr-FR" w:bidi="ar-SY"/>
              </w:rPr>
              <w:t>163</w:t>
            </w:r>
            <w:r w:rsidR="00487B8A" w:rsidRPr="003966DC">
              <w:rPr>
                <w:sz w:val="18"/>
                <w:szCs w:val="18"/>
                <w:lang w:val="fr-FR" w:bidi="ar-SY"/>
              </w:rPr>
              <w:t>,</w:t>
            </w:r>
            <w:r w:rsidRPr="003966DC">
              <w:rPr>
                <w:sz w:val="18"/>
                <w:szCs w:val="18"/>
                <w:lang w:val="fr-FR" w:bidi="ar-SY"/>
              </w:rPr>
              <w:t>7</w:t>
            </w:r>
          </w:p>
        </w:tc>
      </w:tr>
      <w:tr w:rsidR="00152339" w:rsidRPr="003966DC" w14:paraId="6F68ABDA" w14:textId="77777777" w:rsidTr="00A52B30">
        <w:trPr>
          <w:trHeight w:val="229"/>
        </w:trPr>
        <w:tc>
          <w:tcPr>
            <w:tcW w:w="2501" w:type="pct"/>
          </w:tcPr>
          <w:p w14:paraId="63328394" w14:textId="4B255C50" w:rsidR="00F364C6" w:rsidRPr="003966DC" w:rsidRDefault="00513334" w:rsidP="00A52B30">
            <w:pPr>
              <w:spacing w:before="40" w:after="40"/>
              <w:rPr>
                <w:sz w:val="18"/>
                <w:szCs w:val="18"/>
                <w:lang w:val="fr-FR" w:bidi="ar-SY"/>
              </w:rPr>
            </w:pPr>
            <w:r w:rsidRPr="003966DC">
              <w:rPr>
                <w:sz w:val="18"/>
                <w:szCs w:val="18"/>
                <w:lang w:val="fr-FR" w:bidi="ar-SY"/>
              </w:rPr>
              <w:t xml:space="preserve">Assistance </w:t>
            </w:r>
            <w:r w:rsidR="00F364C6" w:rsidRPr="003966DC">
              <w:rPr>
                <w:sz w:val="18"/>
                <w:szCs w:val="18"/>
                <w:lang w:val="fr-FR" w:bidi="ar-SY"/>
              </w:rPr>
              <w:t>tempora</w:t>
            </w:r>
            <w:r w:rsidRPr="003966DC">
              <w:rPr>
                <w:sz w:val="18"/>
                <w:szCs w:val="18"/>
                <w:lang w:val="fr-FR" w:bidi="ar-SY"/>
              </w:rPr>
              <w:t xml:space="preserve">ire générale </w:t>
            </w:r>
          </w:p>
        </w:tc>
        <w:tc>
          <w:tcPr>
            <w:tcW w:w="834" w:type="pct"/>
          </w:tcPr>
          <w:p w14:paraId="23EEAA25" w14:textId="13CFF5DF" w:rsidR="00F364C6" w:rsidRPr="003966DC" w:rsidRDefault="00F364C6" w:rsidP="00A52B30">
            <w:pPr>
              <w:spacing w:before="40" w:after="40"/>
              <w:ind w:right="140"/>
              <w:jc w:val="right"/>
              <w:rPr>
                <w:sz w:val="18"/>
                <w:szCs w:val="18"/>
                <w:lang w:val="fr-FR" w:bidi="ar-SY"/>
              </w:rPr>
            </w:pPr>
            <w:r w:rsidRPr="003966DC">
              <w:rPr>
                <w:sz w:val="18"/>
                <w:szCs w:val="18"/>
                <w:lang w:val="fr-FR" w:bidi="ar-SY"/>
              </w:rPr>
              <w:t>100</w:t>
            </w:r>
            <w:r w:rsidR="00487B8A" w:rsidRPr="003966DC">
              <w:rPr>
                <w:sz w:val="18"/>
                <w:szCs w:val="18"/>
                <w:lang w:val="fr-FR" w:bidi="ar-SY"/>
              </w:rPr>
              <w:t>,</w:t>
            </w:r>
            <w:r w:rsidRPr="003966DC">
              <w:rPr>
                <w:sz w:val="18"/>
                <w:szCs w:val="18"/>
                <w:lang w:val="fr-FR" w:bidi="ar-SY"/>
              </w:rPr>
              <w:t>0</w:t>
            </w:r>
          </w:p>
        </w:tc>
        <w:tc>
          <w:tcPr>
            <w:tcW w:w="750" w:type="pct"/>
          </w:tcPr>
          <w:p w14:paraId="16021E11" w14:textId="363D3BE8"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100</w:t>
            </w:r>
            <w:r w:rsidR="00487B8A" w:rsidRPr="003966DC">
              <w:rPr>
                <w:sz w:val="18"/>
                <w:szCs w:val="18"/>
                <w:lang w:val="fr-FR" w:bidi="ar-SY"/>
              </w:rPr>
              <w:t>,</w:t>
            </w:r>
            <w:r w:rsidRPr="003966DC">
              <w:rPr>
                <w:sz w:val="18"/>
                <w:szCs w:val="18"/>
                <w:lang w:val="fr-FR" w:bidi="ar-SY"/>
              </w:rPr>
              <w:t>0</w:t>
            </w:r>
          </w:p>
        </w:tc>
        <w:tc>
          <w:tcPr>
            <w:tcW w:w="915" w:type="pct"/>
          </w:tcPr>
          <w:p w14:paraId="6A4836BC" w14:textId="5DC760AC" w:rsidR="00F364C6" w:rsidRPr="003966DC" w:rsidRDefault="00F364C6" w:rsidP="00A52B30">
            <w:pPr>
              <w:spacing w:before="40" w:after="40"/>
              <w:ind w:right="135"/>
              <w:jc w:val="right"/>
              <w:rPr>
                <w:sz w:val="18"/>
                <w:szCs w:val="18"/>
                <w:lang w:val="fr-FR" w:bidi="ar-SY"/>
              </w:rPr>
            </w:pPr>
            <w:r w:rsidRPr="003966DC">
              <w:rPr>
                <w:sz w:val="18"/>
                <w:szCs w:val="18"/>
                <w:lang w:val="fr-FR" w:bidi="ar-SY"/>
              </w:rPr>
              <w:t>200</w:t>
            </w:r>
            <w:r w:rsidR="00487B8A" w:rsidRPr="003966DC">
              <w:rPr>
                <w:sz w:val="18"/>
                <w:szCs w:val="18"/>
                <w:lang w:val="fr-FR" w:bidi="ar-SY"/>
              </w:rPr>
              <w:t>,</w:t>
            </w:r>
            <w:r w:rsidRPr="003966DC">
              <w:rPr>
                <w:sz w:val="18"/>
                <w:szCs w:val="18"/>
                <w:lang w:val="fr-FR" w:bidi="ar-SY"/>
              </w:rPr>
              <w:t>0</w:t>
            </w:r>
          </w:p>
        </w:tc>
      </w:tr>
      <w:tr w:rsidR="00152339" w:rsidRPr="003966DC" w14:paraId="7100D8F8" w14:textId="77777777" w:rsidTr="00A52B30">
        <w:trPr>
          <w:trHeight w:val="249"/>
        </w:trPr>
        <w:tc>
          <w:tcPr>
            <w:tcW w:w="2501" w:type="pct"/>
          </w:tcPr>
          <w:p w14:paraId="1D95B712" w14:textId="01CA206A" w:rsidR="00F364C6" w:rsidRPr="003966DC" w:rsidRDefault="000D547D" w:rsidP="00A52B30">
            <w:pPr>
              <w:spacing w:before="40" w:after="40"/>
              <w:rPr>
                <w:sz w:val="18"/>
                <w:szCs w:val="18"/>
                <w:lang w:val="fr-FR" w:bidi="ar-SY"/>
              </w:rPr>
            </w:pPr>
            <w:r w:rsidRPr="003966DC">
              <w:rPr>
                <w:sz w:val="18"/>
                <w:szCs w:val="18"/>
                <w:lang w:val="fr-FR"/>
              </w:rPr>
              <w:t>Réunions du Bureau</w:t>
            </w:r>
          </w:p>
        </w:tc>
        <w:tc>
          <w:tcPr>
            <w:tcW w:w="834" w:type="pct"/>
          </w:tcPr>
          <w:p w14:paraId="139CDE2C" w14:textId="2917AD22" w:rsidR="00F364C6" w:rsidRPr="003966DC" w:rsidRDefault="00F364C6" w:rsidP="00A52B30">
            <w:pPr>
              <w:spacing w:before="40" w:after="40"/>
              <w:ind w:right="140"/>
              <w:jc w:val="right"/>
              <w:rPr>
                <w:sz w:val="18"/>
                <w:szCs w:val="18"/>
                <w:lang w:val="fr-FR" w:bidi="ar-SY"/>
              </w:rPr>
            </w:pPr>
            <w:r w:rsidRPr="003966DC">
              <w:rPr>
                <w:sz w:val="18"/>
                <w:szCs w:val="18"/>
                <w:lang w:val="fr-FR" w:bidi="ar-SY"/>
              </w:rPr>
              <w:t>161</w:t>
            </w:r>
            <w:r w:rsidR="00487B8A" w:rsidRPr="003966DC">
              <w:rPr>
                <w:sz w:val="18"/>
                <w:szCs w:val="18"/>
                <w:lang w:val="fr-FR" w:bidi="ar-SY"/>
              </w:rPr>
              <w:t>,</w:t>
            </w:r>
            <w:r w:rsidRPr="003966DC">
              <w:rPr>
                <w:sz w:val="18"/>
                <w:szCs w:val="18"/>
                <w:lang w:val="fr-FR" w:bidi="ar-SY"/>
              </w:rPr>
              <w:t>5</w:t>
            </w:r>
          </w:p>
        </w:tc>
        <w:tc>
          <w:tcPr>
            <w:tcW w:w="750" w:type="pct"/>
          </w:tcPr>
          <w:p w14:paraId="0403ED0B" w14:textId="6AAFB5A9"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176</w:t>
            </w:r>
            <w:r w:rsidR="00487B8A" w:rsidRPr="003966DC">
              <w:rPr>
                <w:sz w:val="18"/>
                <w:szCs w:val="18"/>
                <w:lang w:val="fr-FR" w:bidi="ar-SY"/>
              </w:rPr>
              <w:t>,</w:t>
            </w:r>
            <w:r w:rsidRPr="003966DC">
              <w:rPr>
                <w:sz w:val="18"/>
                <w:szCs w:val="18"/>
                <w:lang w:val="fr-FR" w:bidi="ar-SY"/>
              </w:rPr>
              <w:t>8</w:t>
            </w:r>
          </w:p>
        </w:tc>
        <w:tc>
          <w:tcPr>
            <w:tcW w:w="915" w:type="pct"/>
          </w:tcPr>
          <w:p w14:paraId="25A9752C" w14:textId="2FA786E0" w:rsidR="00F364C6" w:rsidRPr="003966DC" w:rsidRDefault="00F364C6" w:rsidP="00A52B30">
            <w:pPr>
              <w:spacing w:before="40" w:after="40"/>
              <w:ind w:right="135"/>
              <w:jc w:val="right"/>
              <w:rPr>
                <w:sz w:val="18"/>
                <w:szCs w:val="18"/>
                <w:lang w:val="fr-FR" w:bidi="ar-SY"/>
              </w:rPr>
            </w:pPr>
            <w:r w:rsidRPr="003966DC">
              <w:rPr>
                <w:sz w:val="18"/>
                <w:szCs w:val="18"/>
                <w:lang w:val="fr-FR" w:bidi="ar-SY"/>
              </w:rPr>
              <w:t>338</w:t>
            </w:r>
            <w:r w:rsidR="00487B8A" w:rsidRPr="003966DC">
              <w:rPr>
                <w:sz w:val="18"/>
                <w:szCs w:val="18"/>
                <w:lang w:val="fr-FR" w:bidi="ar-SY"/>
              </w:rPr>
              <w:t>,</w:t>
            </w:r>
            <w:r w:rsidRPr="003966DC">
              <w:rPr>
                <w:sz w:val="18"/>
                <w:szCs w:val="18"/>
                <w:lang w:val="fr-FR" w:bidi="ar-SY"/>
              </w:rPr>
              <w:t>3</w:t>
            </w:r>
          </w:p>
        </w:tc>
      </w:tr>
      <w:tr w:rsidR="00152339" w:rsidRPr="003966DC" w14:paraId="3D75DBD3" w14:textId="77777777" w:rsidTr="00A52B30">
        <w:trPr>
          <w:trHeight w:val="251"/>
        </w:trPr>
        <w:tc>
          <w:tcPr>
            <w:tcW w:w="2501" w:type="pct"/>
          </w:tcPr>
          <w:p w14:paraId="4890A6F1" w14:textId="0AF7E7E3" w:rsidR="00F364C6" w:rsidRPr="003966DC" w:rsidRDefault="000F50A6" w:rsidP="00A52B30">
            <w:pPr>
              <w:spacing w:before="40" w:after="40"/>
              <w:rPr>
                <w:sz w:val="18"/>
                <w:szCs w:val="18"/>
                <w:lang w:val="fr-FR" w:bidi="ar-SY"/>
              </w:rPr>
            </w:pPr>
            <w:r w:rsidRPr="003966DC">
              <w:rPr>
                <w:sz w:val="18"/>
                <w:szCs w:val="18"/>
                <w:lang w:val="fr-FR"/>
              </w:rPr>
              <w:t>Réunions d’experts</w:t>
            </w:r>
          </w:p>
        </w:tc>
        <w:tc>
          <w:tcPr>
            <w:tcW w:w="834" w:type="pct"/>
          </w:tcPr>
          <w:p w14:paraId="70614756" w14:textId="714A24A6" w:rsidR="00F364C6" w:rsidRPr="003966DC" w:rsidRDefault="00F364C6" w:rsidP="00A52B30">
            <w:pPr>
              <w:spacing w:before="40" w:after="40"/>
              <w:ind w:right="140"/>
              <w:jc w:val="right"/>
              <w:rPr>
                <w:sz w:val="18"/>
                <w:szCs w:val="18"/>
                <w:lang w:val="fr-FR" w:bidi="ar-SY"/>
              </w:rPr>
            </w:pPr>
            <w:r w:rsidRPr="003966DC">
              <w:rPr>
                <w:sz w:val="18"/>
                <w:szCs w:val="18"/>
                <w:lang w:val="fr-FR" w:bidi="ar-SY"/>
              </w:rPr>
              <w:t>175</w:t>
            </w:r>
            <w:r w:rsidR="00487B8A" w:rsidRPr="003966DC">
              <w:rPr>
                <w:sz w:val="18"/>
                <w:szCs w:val="18"/>
                <w:lang w:val="fr-FR" w:bidi="ar-SY"/>
              </w:rPr>
              <w:t>,</w:t>
            </w:r>
            <w:r w:rsidRPr="003966DC">
              <w:rPr>
                <w:sz w:val="18"/>
                <w:szCs w:val="18"/>
                <w:lang w:val="fr-FR" w:bidi="ar-SY"/>
              </w:rPr>
              <w:t>0</w:t>
            </w:r>
          </w:p>
        </w:tc>
        <w:tc>
          <w:tcPr>
            <w:tcW w:w="750" w:type="pct"/>
          </w:tcPr>
          <w:p w14:paraId="5EFA9BA3" w14:textId="22DBB1C0"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205</w:t>
            </w:r>
            <w:r w:rsidR="00487B8A" w:rsidRPr="003966DC">
              <w:rPr>
                <w:sz w:val="18"/>
                <w:szCs w:val="18"/>
                <w:lang w:val="fr-FR" w:bidi="ar-SY"/>
              </w:rPr>
              <w:t>,</w:t>
            </w:r>
            <w:r w:rsidRPr="003966DC">
              <w:rPr>
                <w:sz w:val="18"/>
                <w:szCs w:val="18"/>
                <w:lang w:val="fr-FR" w:bidi="ar-SY"/>
              </w:rPr>
              <w:t>0</w:t>
            </w:r>
          </w:p>
        </w:tc>
        <w:tc>
          <w:tcPr>
            <w:tcW w:w="915" w:type="pct"/>
          </w:tcPr>
          <w:p w14:paraId="4F319D8C" w14:textId="44F61AD0" w:rsidR="00F364C6" w:rsidRPr="003966DC" w:rsidRDefault="00F364C6" w:rsidP="00A52B30">
            <w:pPr>
              <w:spacing w:before="40" w:after="40"/>
              <w:ind w:right="135"/>
              <w:jc w:val="right"/>
              <w:rPr>
                <w:sz w:val="18"/>
                <w:szCs w:val="18"/>
                <w:lang w:val="fr-FR" w:bidi="ar-SY"/>
              </w:rPr>
            </w:pPr>
            <w:r w:rsidRPr="003966DC">
              <w:rPr>
                <w:sz w:val="18"/>
                <w:szCs w:val="18"/>
                <w:lang w:val="fr-FR" w:bidi="ar-SY"/>
              </w:rPr>
              <w:t>380</w:t>
            </w:r>
            <w:r w:rsidR="00487B8A" w:rsidRPr="003966DC">
              <w:rPr>
                <w:sz w:val="18"/>
                <w:szCs w:val="18"/>
                <w:lang w:val="fr-FR" w:bidi="ar-SY"/>
              </w:rPr>
              <w:t>,</w:t>
            </w:r>
            <w:r w:rsidRPr="003966DC">
              <w:rPr>
                <w:sz w:val="18"/>
                <w:szCs w:val="18"/>
                <w:lang w:val="fr-FR" w:bidi="ar-SY"/>
              </w:rPr>
              <w:t>0</w:t>
            </w:r>
          </w:p>
        </w:tc>
      </w:tr>
      <w:tr w:rsidR="00152339" w:rsidRPr="003966DC" w14:paraId="62F71F0F" w14:textId="77777777" w:rsidTr="00A52B30">
        <w:trPr>
          <w:trHeight w:val="229"/>
        </w:trPr>
        <w:tc>
          <w:tcPr>
            <w:tcW w:w="2501" w:type="pct"/>
          </w:tcPr>
          <w:p w14:paraId="6D7F10EE" w14:textId="22863476" w:rsidR="00F364C6" w:rsidRPr="003966DC" w:rsidRDefault="00C205EC" w:rsidP="00A52B30">
            <w:pPr>
              <w:spacing w:before="40" w:after="40"/>
              <w:rPr>
                <w:sz w:val="18"/>
                <w:szCs w:val="18"/>
                <w:lang w:val="fr-FR" w:bidi="ar-SY"/>
              </w:rPr>
            </w:pPr>
            <w:r w:rsidRPr="003966DC">
              <w:rPr>
                <w:sz w:val="18"/>
                <w:szCs w:val="18"/>
                <w:lang w:val="fr-FR" w:bidi="ar-SY"/>
              </w:rPr>
              <w:t>Réunions des organes intergouvernementaux</w:t>
            </w:r>
            <w:r w:rsidR="00A30394" w:rsidRPr="003966DC">
              <w:rPr>
                <w:i/>
                <w:iCs/>
                <w:sz w:val="18"/>
                <w:szCs w:val="18"/>
                <w:vertAlign w:val="superscript"/>
                <w:lang w:val="fr-FR" w:bidi="ar-SY"/>
              </w:rPr>
              <w:t>a</w:t>
            </w:r>
          </w:p>
        </w:tc>
        <w:tc>
          <w:tcPr>
            <w:tcW w:w="834" w:type="pct"/>
          </w:tcPr>
          <w:p w14:paraId="3EB96E27" w14:textId="40610F49" w:rsidR="00F364C6" w:rsidRPr="003966DC" w:rsidRDefault="00F364C6" w:rsidP="00A52B30">
            <w:pPr>
              <w:spacing w:before="40" w:after="40"/>
              <w:ind w:right="140"/>
              <w:jc w:val="right"/>
              <w:rPr>
                <w:sz w:val="18"/>
                <w:szCs w:val="18"/>
                <w:lang w:val="fr-FR" w:bidi="ar-SY"/>
              </w:rPr>
            </w:pPr>
            <w:r w:rsidRPr="003966DC">
              <w:rPr>
                <w:sz w:val="18"/>
                <w:szCs w:val="18"/>
                <w:lang w:val="fr-FR" w:bidi="ar-SY"/>
              </w:rPr>
              <w:t>2 274</w:t>
            </w:r>
            <w:r w:rsidR="00487B8A" w:rsidRPr="003966DC">
              <w:rPr>
                <w:sz w:val="18"/>
                <w:szCs w:val="18"/>
                <w:lang w:val="fr-FR" w:bidi="ar-SY"/>
              </w:rPr>
              <w:t>,</w:t>
            </w:r>
            <w:r w:rsidRPr="003966DC">
              <w:rPr>
                <w:sz w:val="18"/>
                <w:szCs w:val="18"/>
                <w:lang w:val="fr-FR" w:bidi="ar-SY"/>
              </w:rPr>
              <w:t>6</w:t>
            </w:r>
          </w:p>
        </w:tc>
        <w:tc>
          <w:tcPr>
            <w:tcW w:w="750" w:type="pct"/>
          </w:tcPr>
          <w:p w14:paraId="6AC39306" w14:textId="620B0CAF"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2</w:t>
            </w:r>
            <w:r w:rsidR="00E0434D" w:rsidRPr="003966DC">
              <w:rPr>
                <w:sz w:val="18"/>
                <w:szCs w:val="18"/>
                <w:lang w:val="fr-FR" w:bidi="ar-SY"/>
              </w:rPr>
              <w:t> </w:t>
            </w:r>
            <w:r w:rsidRPr="003966DC">
              <w:rPr>
                <w:sz w:val="18"/>
                <w:szCs w:val="18"/>
                <w:lang w:val="fr-FR" w:bidi="ar-SY"/>
              </w:rPr>
              <w:t>700</w:t>
            </w:r>
            <w:r w:rsidR="00487B8A" w:rsidRPr="003966DC">
              <w:rPr>
                <w:sz w:val="18"/>
                <w:szCs w:val="18"/>
                <w:lang w:val="fr-FR" w:bidi="ar-SY"/>
              </w:rPr>
              <w:t>,</w:t>
            </w:r>
            <w:r w:rsidRPr="003966DC">
              <w:rPr>
                <w:sz w:val="18"/>
                <w:szCs w:val="18"/>
                <w:lang w:val="fr-FR" w:bidi="ar-SY"/>
              </w:rPr>
              <w:t>9</w:t>
            </w:r>
          </w:p>
        </w:tc>
        <w:tc>
          <w:tcPr>
            <w:tcW w:w="915" w:type="pct"/>
          </w:tcPr>
          <w:p w14:paraId="6BEC4A9B" w14:textId="5ECB0319" w:rsidR="00F364C6" w:rsidRPr="003966DC" w:rsidRDefault="00F364C6" w:rsidP="00A52B30">
            <w:pPr>
              <w:spacing w:before="40" w:after="40"/>
              <w:ind w:right="135"/>
              <w:jc w:val="right"/>
              <w:rPr>
                <w:sz w:val="18"/>
                <w:szCs w:val="18"/>
                <w:lang w:val="fr-FR" w:bidi="ar-SY"/>
              </w:rPr>
            </w:pPr>
            <w:r w:rsidRPr="003966DC">
              <w:rPr>
                <w:sz w:val="18"/>
                <w:szCs w:val="18"/>
                <w:lang w:val="fr-FR" w:bidi="ar-SY"/>
              </w:rPr>
              <w:t>4</w:t>
            </w:r>
            <w:r w:rsidR="00656BB4" w:rsidRPr="003966DC">
              <w:rPr>
                <w:sz w:val="18"/>
                <w:szCs w:val="18"/>
                <w:lang w:val="fr-FR" w:bidi="ar-SY"/>
              </w:rPr>
              <w:t> </w:t>
            </w:r>
            <w:r w:rsidRPr="003966DC">
              <w:rPr>
                <w:sz w:val="18"/>
                <w:szCs w:val="18"/>
                <w:lang w:val="fr-FR" w:bidi="ar-SY"/>
              </w:rPr>
              <w:t>975</w:t>
            </w:r>
            <w:r w:rsidR="00487B8A" w:rsidRPr="003966DC">
              <w:rPr>
                <w:sz w:val="18"/>
                <w:szCs w:val="18"/>
                <w:lang w:val="fr-FR" w:bidi="ar-SY"/>
              </w:rPr>
              <w:t>,</w:t>
            </w:r>
            <w:r w:rsidRPr="003966DC">
              <w:rPr>
                <w:sz w:val="18"/>
                <w:szCs w:val="18"/>
                <w:lang w:val="fr-FR" w:bidi="ar-SY"/>
              </w:rPr>
              <w:t>5</w:t>
            </w:r>
          </w:p>
        </w:tc>
      </w:tr>
      <w:tr w:rsidR="00152339" w:rsidRPr="003966DC" w14:paraId="3D542857" w14:textId="77777777" w:rsidTr="00A52B30">
        <w:trPr>
          <w:trHeight w:val="249"/>
        </w:trPr>
        <w:tc>
          <w:tcPr>
            <w:tcW w:w="2501" w:type="pct"/>
          </w:tcPr>
          <w:p w14:paraId="3D6F5AF1" w14:textId="77777777" w:rsidR="00F364C6" w:rsidRPr="003966DC" w:rsidRDefault="00F364C6" w:rsidP="00A52B30">
            <w:pPr>
              <w:spacing w:before="40" w:after="40"/>
              <w:rPr>
                <w:sz w:val="18"/>
                <w:szCs w:val="18"/>
                <w:lang w:val="fr-FR" w:bidi="ar-SY"/>
              </w:rPr>
            </w:pPr>
            <w:r w:rsidRPr="003966DC">
              <w:rPr>
                <w:sz w:val="18"/>
                <w:szCs w:val="18"/>
                <w:lang w:val="fr-FR" w:bidi="ar-SY"/>
              </w:rPr>
              <w:t>Consultants</w:t>
            </w:r>
          </w:p>
        </w:tc>
        <w:tc>
          <w:tcPr>
            <w:tcW w:w="834" w:type="pct"/>
          </w:tcPr>
          <w:p w14:paraId="740096E1" w14:textId="727DA13D" w:rsidR="00F364C6" w:rsidRPr="003966DC" w:rsidRDefault="00F364C6" w:rsidP="00A52B30">
            <w:pPr>
              <w:spacing w:before="40" w:after="40"/>
              <w:ind w:right="140"/>
              <w:jc w:val="right"/>
              <w:rPr>
                <w:sz w:val="18"/>
                <w:szCs w:val="18"/>
                <w:lang w:val="fr-FR" w:bidi="ar-SY"/>
              </w:rPr>
            </w:pPr>
            <w:r w:rsidRPr="003966DC">
              <w:rPr>
                <w:sz w:val="18"/>
                <w:szCs w:val="18"/>
                <w:lang w:val="fr-FR" w:bidi="ar-SY"/>
              </w:rPr>
              <w:t>75</w:t>
            </w:r>
            <w:r w:rsidR="00487B8A" w:rsidRPr="003966DC">
              <w:rPr>
                <w:sz w:val="18"/>
                <w:szCs w:val="18"/>
                <w:lang w:val="fr-FR" w:bidi="ar-SY"/>
              </w:rPr>
              <w:t>,</w:t>
            </w:r>
            <w:r w:rsidRPr="003966DC">
              <w:rPr>
                <w:sz w:val="18"/>
                <w:szCs w:val="18"/>
                <w:lang w:val="fr-FR" w:bidi="ar-SY"/>
              </w:rPr>
              <w:t>0</w:t>
            </w:r>
          </w:p>
        </w:tc>
        <w:tc>
          <w:tcPr>
            <w:tcW w:w="750" w:type="pct"/>
          </w:tcPr>
          <w:p w14:paraId="55A932F1" w14:textId="7F1DDD2E"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75</w:t>
            </w:r>
            <w:r w:rsidR="00487B8A" w:rsidRPr="003966DC">
              <w:rPr>
                <w:sz w:val="18"/>
                <w:szCs w:val="18"/>
                <w:lang w:val="fr-FR" w:bidi="ar-SY"/>
              </w:rPr>
              <w:t>,</w:t>
            </w:r>
            <w:r w:rsidRPr="003966DC">
              <w:rPr>
                <w:sz w:val="18"/>
                <w:szCs w:val="18"/>
                <w:lang w:val="fr-FR" w:bidi="ar-SY"/>
              </w:rPr>
              <w:t>0</w:t>
            </w:r>
          </w:p>
        </w:tc>
        <w:tc>
          <w:tcPr>
            <w:tcW w:w="915" w:type="pct"/>
          </w:tcPr>
          <w:p w14:paraId="57143578" w14:textId="23D75095" w:rsidR="00F364C6" w:rsidRPr="003966DC" w:rsidRDefault="00F364C6" w:rsidP="00A52B30">
            <w:pPr>
              <w:spacing w:before="40" w:after="40"/>
              <w:ind w:right="135"/>
              <w:jc w:val="right"/>
              <w:rPr>
                <w:sz w:val="18"/>
                <w:szCs w:val="18"/>
                <w:lang w:val="fr-FR" w:bidi="ar-SY"/>
              </w:rPr>
            </w:pPr>
            <w:r w:rsidRPr="003966DC">
              <w:rPr>
                <w:sz w:val="18"/>
                <w:szCs w:val="18"/>
                <w:lang w:val="fr-FR" w:bidi="ar-SY"/>
              </w:rPr>
              <w:t>150</w:t>
            </w:r>
            <w:r w:rsidR="00487B8A" w:rsidRPr="003966DC">
              <w:rPr>
                <w:sz w:val="18"/>
                <w:szCs w:val="18"/>
                <w:lang w:val="fr-FR" w:bidi="ar-SY"/>
              </w:rPr>
              <w:t>,</w:t>
            </w:r>
            <w:r w:rsidRPr="003966DC">
              <w:rPr>
                <w:sz w:val="18"/>
                <w:szCs w:val="18"/>
                <w:lang w:val="fr-FR" w:bidi="ar-SY"/>
              </w:rPr>
              <w:t>0</w:t>
            </w:r>
          </w:p>
        </w:tc>
      </w:tr>
      <w:tr w:rsidR="00152339" w:rsidRPr="003966DC" w14:paraId="6A9B9447" w14:textId="77777777" w:rsidTr="00A52B30">
        <w:trPr>
          <w:trHeight w:val="249"/>
        </w:trPr>
        <w:tc>
          <w:tcPr>
            <w:tcW w:w="2501" w:type="pct"/>
          </w:tcPr>
          <w:p w14:paraId="609C7316" w14:textId="0D1DF13E" w:rsidR="00F364C6" w:rsidRPr="003966DC" w:rsidRDefault="00C205EC" w:rsidP="00A52B30">
            <w:pPr>
              <w:spacing w:before="40" w:after="40"/>
              <w:rPr>
                <w:sz w:val="18"/>
                <w:szCs w:val="18"/>
                <w:lang w:val="fr-FR" w:bidi="ar-SY"/>
              </w:rPr>
            </w:pPr>
            <w:r w:rsidRPr="003966DC">
              <w:rPr>
                <w:sz w:val="18"/>
                <w:szCs w:val="18"/>
                <w:lang w:val="fr-FR" w:bidi="ar-SY"/>
              </w:rPr>
              <w:t xml:space="preserve">Examens fonctionnels </w:t>
            </w:r>
          </w:p>
        </w:tc>
        <w:tc>
          <w:tcPr>
            <w:tcW w:w="834" w:type="pct"/>
          </w:tcPr>
          <w:p w14:paraId="6CF7F8E4" w14:textId="740E0697" w:rsidR="00F364C6" w:rsidRPr="003966DC" w:rsidRDefault="00F364C6" w:rsidP="00A52B30">
            <w:pPr>
              <w:spacing w:before="40" w:after="40"/>
              <w:ind w:right="140"/>
              <w:jc w:val="right"/>
              <w:rPr>
                <w:sz w:val="18"/>
                <w:szCs w:val="18"/>
                <w:lang w:val="fr-FR" w:bidi="ar-SY"/>
              </w:rPr>
            </w:pPr>
            <w:r w:rsidRPr="003966DC">
              <w:rPr>
                <w:sz w:val="18"/>
                <w:szCs w:val="18"/>
                <w:lang w:val="fr-FR" w:bidi="ar-SY"/>
              </w:rPr>
              <w:t>250</w:t>
            </w:r>
            <w:r w:rsidR="00487B8A" w:rsidRPr="003966DC">
              <w:rPr>
                <w:sz w:val="18"/>
                <w:szCs w:val="18"/>
                <w:lang w:val="fr-FR" w:bidi="ar-SY"/>
              </w:rPr>
              <w:t>,</w:t>
            </w:r>
            <w:r w:rsidRPr="003966DC">
              <w:rPr>
                <w:sz w:val="18"/>
                <w:szCs w:val="18"/>
                <w:lang w:val="fr-FR" w:bidi="ar-SY"/>
              </w:rPr>
              <w:t>0</w:t>
            </w:r>
          </w:p>
        </w:tc>
        <w:tc>
          <w:tcPr>
            <w:tcW w:w="750" w:type="pct"/>
          </w:tcPr>
          <w:p w14:paraId="0014443C" w14:textId="211CCFFF" w:rsidR="00F364C6" w:rsidRPr="003966DC" w:rsidRDefault="00A30394" w:rsidP="00A52B30">
            <w:pPr>
              <w:tabs>
                <w:tab w:val="clear" w:pos="1134"/>
              </w:tabs>
              <w:spacing w:before="40" w:after="40"/>
              <w:ind w:right="142"/>
              <w:jc w:val="right"/>
              <w:rPr>
                <w:sz w:val="18"/>
                <w:szCs w:val="18"/>
                <w:lang w:val="fr-FR" w:bidi="ar-SY"/>
              </w:rPr>
            </w:pPr>
            <w:r w:rsidRPr="003966DC">
              <w:rPr>
                <w:sz w:val="18"/>
                <w:szCs w:val="18"/>
                <w:lang w:val="fr-FR" w:bidi="ar-SY"/>
              </w:rPr>
              <w:t>–</w:t>
            </w:r>
          </w:p>
        </w:tc>
        <w:tc>
          <w:tcPr>
            <w:tcW w:w="915" w:type="pct"/>
          </w:tcPr>
          <w:p w14:paraId="248A5996" w14:textId="326BBA3D" w:rsidR="00F364C6" w:rsidRPr="003966DC" w:rsidRDefault="00F364C6" w:rsidP="00A52B30">
            <w:pPr>
              <w:spacing w:before="40" w:after="40"/>
              <w:ind w:right="135"/>
              <w:jc w:val="right"/>
              <w:rPr>
                <w:sz w:val="18"/>
                <w:szCs w:val="18"/>
                <w:lang w:val="fr-FR" w:bidi="ar-SY"/>
              </w:rPr>
            </w:pPr>
            <w:r w:rsidRPr="003966DC">
              <w:rPr>
                <w:sz w:val="18"/>
                <w:szCs w:val="18"/>
                <w:lang w:val="fr-FR" w:bidi="ar-SY"/>
              </w:rPr>
              <w:t>250</w:t>
            </w:r>
            <w:r w:rsidR="00487B8A" w:rsidRPr="003966DC">
              <w:rPr>
                <w:sz w:val="18"/>
                <w:szCs w:val="18"/>
                <w:lang w:val="fr-FR" w:bidi="ar-SY"/>
              </w:rPr>
              <w:t>,</w:t>
            </w:r>
            <w:r w:rsidRPr="003966DC">
              <w:rPr>
                <w:sz w:val="18"/>
                <w:szCs w:val="18"/>
                <w:lang w:val="fr-FR" w:bidi="ar-SY"/>
              </w:rPr>
              <w:t>0</w:t>
            </w:r>
          </w:p>
        </w:tc>
      </w:tr>
      <w:tr w:rsidR="00152339" w:rsidRPr="003966DC" w14:paraId="274184CC" w14:textId="77777777" w:rsidTr="00A52B30">
        <w:trPr>
          <w:trHeight w:val="249"/>
        </w:trPr>
        <w:tc>
          <w:tcPr>
            <w:tcW w:w="2501" w:type="pct"/>
          </w:tcPr>
          <w:p w14:paraId="6D944587" w14:textId="1CDDACBD" w:rsidR="00F364C6" w:rsidRPr="003966DC" w:rsidRDefault="00C205EC" w:rsidP="00A52B30">
            <w:pPr>
              <w:spacing w:before="40" w:after="40"/>
              <w:rPr>
                <w:sz w:val="18"/>
                <w:szCs w:val="18"/>
                <w:lang w:val="fr-FR" w:bidi="ar-SY"/>
              </w:rPr>
            </w:pPr>
            <w:r w:rsidRPr="003966DC">
              <w:rPr>
                <w:sz w:val="18"/>
                <w:szCs w:val="18"/>
                <w:lang w:val="fr-FR" w:bidi="ar-SY"/>
              </w:rPr>
              <w:t xml:space="preserve">Voyages officiels </w:t>
            </w:r>
          </w:p>
        </w:tc>
        <w:tc>
          <w:tcPr>
            <w:tcW w:w="834" w:type="pct"/>
          </w:tcPr>
          <w:p w14:paraId="6C3C2ECC" w14:textId="16F36C39" w:rsidR="00F364C6" w:rsidRPr="003966DC" w:rsidRDefault="00F364C6" w:rsidP="00A52B30">
            <w:pPr>
              <w:spacing w:before="40" w:after="40"/>
              <w:ind w:right="140"/>
              <w:jc w:val="right"/>
              <w:rPr>
                <w:sz w:val="18"/>
                <w:szCs w:val="18"/>
                <w:lang w:val="fr-FR" w:bidi="ar-SY"/>
              </w:rPr>
            </w:pPr>
            <w:r w:rsidRPr="003966DC">
              <w:rPr>
                <w:sz w:val="18"/>
                <w:szCs w:val="18"/>
                <w:lang w:val="fr-FR" w:bidi="ar-SY"/>
              </w:rPr>
              <w:t>400</w:t>
            </w:r>
            <w:r w:rsidR="00487B8A" w:rsidRPr="003966DC">
              <w:rPr>
                <w:sz w:val="18"/>
                <w:szCs w:val="18"/>
                <w:lang w:val="fr-FR" w:bidi="ar-SY"/>
              </w:rPr>
              <w:t>,</w:t>
            </w:r>
            <w:r w:rsidRPr="003966DC">
              <w:rPr>
                <w:sz w:val="18"/>
                <w:szCs w:val="18"/>
                <w:lang w:val="fr-FR" w:bidi="ar-SY"/>
              </w:rPr>
              <w:t>0</w:t>
            </w:r>
          </w:p>
        </w:tc>
        <w:tc>
          <w:tcPr>
            <w:tcW w:w="750" w:type="pct"/>
          </w:tcPr>
          <w:p w14:paraId="5BDC3188" w14:textId="6AC0F8E3"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450</w:t>
            </w:r>
            <w:r w:rsidR="00487B8A" w:rsidRPr="003966DC">
              <w:rPr>
                <w:sz w:val="18"/>
                <w:szCs w:val="18"/>
                <w:lang w:val="fr-FR" w:bidi="ar-SY"/>
              </w:rPr>
              <w:t>,</w:t>
            </w:r>
            <w:r w:rsidRPr="003966DC">
              <w:rPr>
                <w:sz w:val="18"/>
                <w:szCs w:val="18"/>
                <w:lang w:val="fr-FR" w:bidi="ar-SY"/>
              </w:rPr>
              <w:t>0</w:t>
            </w:r>
          </w:p>
        </w:tc>
        <w:tc>
          <w:tcPr>
            <w:tcW w:w="915" w:type="pct"/>
          </w:tcPr>
          <w:p w14:paraId="29651E20" w14:textId="457948C9" w:rsidR="00F364C6" w:rsidRPr="003966DC" w:rsidRDefault="00F364C6" w:rsidP="00A52B30">
            <w:pPr>
              <w:spacing w:before="40" w:after="40"/>
              <w:ind w:right="135"/>
              <w:jc w:val="right"/>
              <w:rPr>
                <w:sz w:val="18"/>
                <w:szCs w:val="18"/>
                <w:lang w:val="fr-FR" w:bidi="ar-SY"/>
              </w:rPr>
            </w:pPr>
            <w:r w:rsidRPr="003966DC">
              <w:rPr>
                <w:sz w:val="18"/>
                <w:szCs w:val="18"/>
                <w:lang w:val="fr-FR" w:bidi="ar-SY"/>
              </w:rPr>
              <w:t>850</w:t>
            </w:r>
            <w:r w:rsidR="00487B8A" w:rsidRPr="003966DC">
              <w:rPr>
                <w:sz w:val="18"/>
                <w:szCs w:val="18"/>
                <w:lang w:val="fr-FR" w:bidi="ar-SY"/>
              </w:rPr>
              <w:t>,</w:t>
            </w:r>
            <w:r w:rsidRPr="003966DC">
              <w:rPr>
                <w:sz w:val="18"/>
                <w:szCs w:val="18"/>
                <w:lang w:val="fr-FR" w:bidi="ar-SY"/>
              </w:rPr>
              <w:t>0</w:t>
            </w:r>
          </w:p>
        </w:tc>
      </w:tr>
      <w:tr w:rsidR="00152339" w:rsidRPr="003966DC" w14:paraId="2DCA3380" w14:textId="77777777" w:rsidTr="00A52B30">
        <w:trPr>
          <w:trHeight w:val="249"/>
        </w:trPr>
        <w:tc>
          <w:tcPr>
            <w:tcW w:w="2501" w:type="pct"/>
          </w:tcPr>
          <w:p w14:paraId="1790516A" w14:textId="046E94F1" w:rsidR="00F364C6" w:rsidRPr="003966DC" w:rsidRDefault="00C205EC" w:rsidP="00A52B30">
            <w:pPr>
              <w:spacing w:before="40" w:after="40"/>
              <w:rPr>
                <w:sz w:val="18"/>
                <w:szCs w:val="18"/>
                <w:lang w:val="fr-FR" w:bidi="ar-SY"/>
              </w:rPr>
            </w:pPr>
            <w:r w:rsidRPr="003966DC">
              <w:rPr>
                <w:sz w:val="18"/>
                <w:szCs w:val="18"/>
                <w:lang w:val="fr-FR" w:bidi="ar-SY"/>
              </w:rPr>
              <w:t xml:space="preserve">Loyer et frais connexes </w:t>
            </w:r>
          </w:p>
        </w:tc>
        <w:tc>
          <w:tcPr>
            <w:tcW w:w="834" w:type="pct"/>
          </w:tcPr>
          <w:p w14:paraId="1690180B" w14:textId="29AAC1B5" w:rsidR="00F364C6" w:rsidRPr="003966DC" w:rsidRDefault="00F364C6" w:rsidP="00A52B30">
            <w:pPr>
              <w:spacing w:before="40" w:after="40"/>
              <w:ind w:right="140"/>
              <w:jc w:val="right"/>
              <w:rPr>
                <w:sz w:val="18"/>
                <w:szCs w:val="18"/>
                <w:lang w:val="fr-FR" w:bidi="ar-SY"/>
              </w:rPr>
            </w:pPr>
            <w:r w:rsidRPr="003966DC">
              <w:rPr>
                <w:sz w:val="18"/>
                <w:szCs w:val="18"/>
                <w:lang w:val="fr-FR" w:bidi="ar-SY"/>
              </w:rPr>
              <w:t>1 462</w:t>
            </w:r>
            <w:r w:rsidR="00487B8A" w:rsidRPr="003966DC">
              <w:rPr>
                <w:sz w:val="18"/>
                <w:szCs w:val="18"/>
                <w:lang w:val="fr-FR" w:bidi="ar-SY"/>
              </w:rPr>
              <w:t>,</w:t>
            </w:r>
            <w:r w:rsidRPr="003966DC">
              <w:rPr>
                <w:sz w:val="18"/>
                <w:szCs w:val="18"/>
                <w:lang w:val="fr-FR" w:bidi="ar-SY"/>
              </w:rPr>
              <w:t>6</w:t>
            </w:r>
          </w:p>
        </w:tc>
        <w:tc>
          <w:tcPr>
            <w:tcW w:w="750" w:type="pct"/>
          </w:tcPr>
          <w:p w14:paraId="30F70AE1" w14:textId="2AEEDC44"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1</w:t>
            </w:r>
            <w:r w:rsidR="00E0434D" w:rsidRPr="003966DC">
              <w:rPr>
                <w:sz w:val="18"/>
                <w:szCs w:val="18"/>
                <w:lang w:val="fr-FR" w:bidi="ar-SY"/>
              </w:rPr>
              <w:t> </w:t>
            </w:r>
            <w:r w:rsidRPr="003966DC">
              <w:rPr>
                <w:sz w:val="18"/>
                <w:szCs w:val="18"/>
                <w:lang w:val="fr-FR" w:bidi="ar-SY"/>
              </w:rPr>
              <w:t>476</w:t>
            </w:r>
            <w:r w:rsidR="00487B8A" w:rsidRPr="003966DC">
              <w:rPr>
                <w:sz w:val="18"/>
                <w:szCs w:val="18"/>
                <w:lang w:val="fr-FR" w:bidi="ar-SY"/>
              </w:rPr>
              <w:t>,</w:t>
            </w:r>
            <w:r w:rsidRPr="003966DC">
              <w:rPr>
                <w:sz w:val="18"/>
                <w:szCs w:val="18"/>
                <w:lang w:val="fr-FR" w:bidi="ar-SY"/>
              </w:rPr>
              <w:t>6</w:t>
            </w:r>
          </w:p>
        </w:tc>
        <w:tc>
          <w:tcPr>
            <w:tcW w:w="915" w:type="pct"/>
          </w:tcPr>
          <w:p w14:paraId="10692C03" w14:textId="1023E1F9" w:rsidR="00F364C6" w:rsidRPr="003966DC" w:rsidRDefault="00F364C6" w:rsidP="00A52B30">
            <w:pPr>
              <w:spacing w:before="40" w:after="40"/>
              <w:ind w:right="135"/>
              <w:jc w:val="right"/>
              <w:rPr>
                <w:sz w:val="18"/>
                <w:szCs w:val="18"/>
                <w:lang w:val="fr-FR" w:bidi="ar-SY"/>
              </w:rPr>
            </w:pPr>
            <w:r w:rsidRPr="003966DC">
              <w:rPr>
                <w:sz w:val="18"/>
                <w:szCs w:val="18"/>
                <w:lang w:val="fr-FR" w:bidi="ar-SY"/>
              </w:rPr>
              <w:t>2</w:t>
            </w:r>
            <w:r w:rsidR="00656BB4" w:rsidRPr="003966DC">
              <w:rPr>
                <w:sz w:val="18"/>
                <w:szCs w:val="18"/>
                <w:lang w:val="fr-FR" w:bidi="ar-SY"/>
              </w:rPr>
              <w:t> </w:t>
            </w:r>
            <w:r w:rsidRPr="003966DC">
              <w:rPr>
                <w:sz w:val="18"/>
                <w:szCs w:val="18"/>
                <w:lang w:val="fr-FR" w:bidi="ar-SY"/>
              </w:rPr>
              <w:t>939</w:t>
            </w:r>
            <w:r w:rsidR="00487B8A" w:rsidRPr="003966DC">
              <w:rPr>
                <w:sz w:val="18"/>
                <w:szCs w:val="18"/>
                <w:lang w:val="fr-FR" w:bidi="ar-SY"/>
              </w:rPr>
              <w:t>,</w:t>
            </w:r>
            <w:r w:rsidRPr="003966DC">
              <w:rPr>
                <w:sz w:val="18"/>
                <w:szCs w:val="18"/>
                <w:lang w:val="fr-FR" w:bidi="ar-SY"/>
              </w:rPr>
              <w:t>2</w:t>
            </w:r>
          </w:p>
        </w:tc>
      </w:tr>
      <w:tr w:rsidR="00152339" w:rsidRPr="003966DC" w14:paraId="6CBB41D6" w14:textId="77777777" w:rsidTr="00A52B30">
        <w:trPr>
          <w:trHeight w:val="249"/>
        </w:trPr>
        <w:tc>
          <w:tcPr>
            <w:tcW w:w="2501" w:type="pct"/>
          </w:tcPr>
          <w:p w14:paraId="4126891F" w14:textId="2C9FDA7D" w:rsidR="00F364C6" w:rsidRPr="003966DC" w:rsidRDefault="00C205EC" w:rsidP="00A52B30">
            <w:pPr>
              <w:spacing w:before="40" w:after="40"/>
              <w:rPr>
                <w:sz w:val="18"/>
                <w:szCs w:val="18"/>
                <w:lang w:val="fr-FR" w:bidi="ar-SY"/>
              </w:rPr>
            </w:pPr>
            <w:r w:rsidRPr="003966DC">
              <w:rPr>
                <w:sz w:val="18"/>
                <w:szCs w:val="18"/>
                <w:lang w:val="fr-FR" w:bidi="ar-SY"/>
              </w:rPr>
              <w:t xml:space="preserve">Formation </w:t>
            </w:r>
          </w:p>
        </w:tc>
        <w:tc>
          <w:tcPr>
            <w:tcW w:w="834" w:type="pct"/>
          </w:tcPr>
          <w:p w14:paraId="7E673902" w14:textId="7204F7C2" w:rsidR="00F364C6" w:rsidRPr="003966DC" w:rsidRDefault="00F364C6" w:rsidP="00A52B30">
            <w:pPr>
              <w:spacing w:before="40" w:after="40"/>
              <w:ind w:right="140"/>
              <w:jc w:val="right"/>
              <w:rPr>
                <w:sz w:val="18"/>
                <w:szCs w:val="18"/>
                <w:lang w:val="fr-FR" w:bidi="ar-SY"/>
              </w:rPr>
            </w:pPr>
            <w:r w:rsidRPr="003966DC">
              <w:rPr>
                <w:sz w:val="18"/>
                <w:szCs w:val="18"/>
                <w:lang w:val="fr-FR" w:bidi="ar-SY"/>
              </w:rPr>
              <w:t>5</w:t>
            </w:r>
            <w:r w:rsidR="00487B8A" w:rsidRPr="003966DC">
              <w:rPr>
                <w:sz w:val="18"/>
                <w:szCs w:val="18"/>
                <w:lang w:val="fr-FR" w:bidi="ar-SY"/>
              </w:rPr>
              <w:t>,</w:t>
            </w:r>
            <w:r w:rsidRPr="003966DC">
              <w:rPr>
                <w:sz w:val="18"/>
                <w:szCs w:val="18"/>
                <w:lang w:val="fr-FR" w:bidi="ar-SY"/>
              </w:rPr>
              <w:t>0</w:t>
            </w:r>
          </w:p>
        </w:tc>
        <w:tc>
          <w:tcPr>
            <w:tcW w:w="750" w:type="pct"/>
          </w:tcPr>
          <w:p w14:paraId="5902FE42" w14:textId="31C6B919"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5</w:t>
            </w:r>
            <w:r w:rsidR="00487B8A" w:rsidRPr="003966DC">
              <w:rPr>
                <w:sz w:val="18"/>
                <w:szCs w:val="18"/>
                <w:lang w:val="fr-FR" w:bidi="ar-SY"/>
              </w:rPr>
              <w:t>,</w:t>
            </w:r>
            <w:r w:rsidRPr="003966DC">
              <w:rPr>
                <w:sz w:val="18"/>
                <w:szCs w:val="18"/>
                <w:lang w:val="fr-FR" w:bidi="ar-SY"/>
              </w:rPr>
              <w:t>0</w:t>
            </w:r>
          </w:p>
        </w:tc>
        <w:tc>
          <w:tcPr>
            <w:tcW w:w="915" w:type="pct"/>
          </w:tcPr>
          <w:p w14:paraId="62E0FF9E" w14:textId="3977C780" w:rsidR="00F364C6" w:rsidRPr="003966DC" w:rsidRDefault="00F364C6" w:rsidP="00A52B30">
            <w:pPr>
              <w:spacing w:before="40" w:after="40"/>
              <w:ind w:right="135"/>
              <w:jc w:val="right"/>
              <w:rPr>
                <w:sz w:val="18"/>
                <w:szCs w:val="18"/>
                <w:lang w:val="fr-FR" w:bidi="ar-SY"/>
              </w:rPr>
            </w:pPr>
            <w:r w:rsidRPr="003966DC">
              <w:rPr>
                <w:sz w:val="18"/>
                <w:szCs w:val="18"/>
                <w:lang w:val="fr-FR" w:bidi="ar-SY"/>
              </w:rPr>
              <w:t>10</w:t>
            </w:r>
            <w:r w:rsidR="00487B8A" w:rsidRPr="003966DC">
              <w:rPr>
                <w:sz w:val="18"/>
                <w:szCs w:val="18"/>
                <w:lang w:val="fr-FR" w:bidi="ar-SY"/>
              </w:rPr>
              <w:t>,</w:t>
            </w:r>
            <w:r w:rsidRPr="003966DC">
              <w:rPr>
                <w:sz w:val="18"/>
                <w:szCs w:val="18"/>
                <w:lang w:val="fr-FR" w:bidi="ar-SY"/>
              </w:rPr>
              <w:t>0</w:t>
            </w:r>
          </w:p>
        </w:tc>
      </w:tr>
      <w:tr w:rsidR="00152339" w:rsidRPr="003966DC" w14:paraId="453D7F35" w14:textId="77777777" w:rsidTr="00A52B30">
        <w:trPr>
          <w:trHeight w:val="249"/>
        </w:trPr>
        <w:tc>
          <w:tcPr>
            <w:tcW w:w="2501" w:type="pct"/>
          </w:tcPr>
          <w:p w14:paraId="66D9AF18" w14:textId="5262B076" w:rsidR="00F364C6" w:rsidRPr="003966DC" w:rsidRDefault="00C205EC" w:rsidP="00A52B30">
            <w:pPr>
              <w:spacing w:before="40" w:after="40"/>
              <w:rPr>
                <w:sz w:val="18"/>
                <w:szCs w:val="18"/>
                <w:lang w:val="fr-FR" w:bidi="ar-SY"/>
              </w:rPr>
            </w:pPr>
            <w:r w:rsidRPr="003966DC">
              <w:rPr>
                <w:sz w:val="18"/>
                <w:szCs w:val="18"/>
                <w:lang w:val="fr-FR" w:bidi="ar-SY"/>
              </w:rPr>
              <w:t>Technologie de l’i</w:t>
            </w:r>
            <w:r w:rsidR="00F364C6" w:rsidRPr="003966DC">
              <w:rPr>
                <w:sz w:val="18"/>
                <w:szCs w:val="18"/>
                <w:lang w:val="fr-FR" w:bidi="ar-SY"/>
              </w:rPr>
              <w:t xml:space="preserve">nformation </w:t>
            </w:r>
          </w:p>
        </w:tc>
        <w:tc>
          <w:tcPr>
            <w:tcW w:w="834" w:type="pct"/>
          </w:tcPr>
          <w:p w14:paraId="481F0B67" w14:textId="3E3ED2A1" w:rsidR="00F364C6" w:rsidRPr="003966DC" w:rsidRDefault="00F364C6" w:rsidP="00A52B30">
            <w:pPr>
              <w:spacing w:before="40" w:after="40"/>
              <w:ind w:right="140"/>
              <w:jc w:val="right"/>
              <w:rPr>
                <w:sz w:val="18"/>
                <w:szCs w:val="18"/>
                <w:lang w:val="fr-FR" w:bidi="ar-SY"/>
              </w:rPr>
            </w:pPr>
            <w:r w:rsidRPr="003966DC">
              <w:rPr>
                <w:sz w:val="18"/>
                <w:szCs w:val="18"/>
                <w:lang w:val="fr-FR" w:bidi="ar-SY"/>
              </w:rPr>
              <w:t>65</w:t>
            </w:r>
            <w:r w:rsidR="00487B8A" w:rsidRPr="003966DC">
              <w:rPr>
                <w:sz w:val="18"/>
                <w:szCs w:val="18"/>
                <w:lang w:val="fr-FR" w:bidi="ar-SY"/>
              </w:rPr>
              <w:t>,</w:t>
            </w:r>
            <w:r w:rsidRPr="003966DC">
              <w:rPr>
                <w:sz w:val="18"/>
                <w:szCs w:val="18"/>
                <w:lang w:val="fr-FR" w:bidi="ar-SY"/>
              </w:rPr>
              <w:t>0</w:t>
            </w:r>
          </w:p>
        </w:tc>
        <w:tc>
          <w:tcPr>
            <w:tcW w:w="750" w:type="pct"/>
          </w:tcPr>
          <w:p w14:paraId="6A054688" w14:textId="62F2BCD5"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65</w:t>
            </w:r>
            <w:r w:rsidR="00487B8A" w:rsidRPr="003966DC">
              <w:rPr>
                <w:sz w:val="18"/>
                <w:szCs w:val="18"/>
                <w:lang w:val="fr-FR" w:bidi="ar-SY"/>
              </w:rPr>
              <w:t>,</w:t>
            </w:r>
            <w:r w:rsidRPr="003966DC">
              <w:rPr>
                <w:sz w:val="18"/>
                <w:szCs w:val="18"/>
                <w:lang w:val="fr-FR" w:bidi="ar-SY"/>
              </w:rPr>
              <w:t>0</w:t>
            </w:r>
          </w:p>
        </w:tc>
        <w:tc>
          <w:tcPr>
            <w:tcW w:w="915" w:type="pct"/>
          </w:tcPr>
          <w:p w14:paraId="676FC09F" w14:textId="4BFDA03A" w:rsidR="00F364C6" w:rsidRPr="003966DC" w:rsidRDefault="00F364C6" w:rsidP="00A52B30">
            <w:pPr>
              <w:spacing w:before="40" w:after="40"/>
              <w:ind w:right="135"/>
              <w:jc w:val="right"/>
              <w:rPr>
                <w:sz w:val="18"/>
                <w:szCs w:val="18"/>
                <w:lang w:val="fr-FR" w:bidi="ar-SY"/>
              </w:rPr>
            </w:pPr>
            <w:r w:rsidRPr="003966DC">
              <w:rPr>
                <w:sz w:val="18"/>
                <w:szCs w:val="18"/>
                <w:lang w:val="fr-FR" w:bidi="ar-SY"/>
              </w:rPr>
              <w:t>130</w:t>
            </w:r>
            <w:r w:rsidR="00487B8A" w:rsidRPr="003966DC">
              <w:rPr>
                <w:sz w:val="18"/>
                <w:szCs w:val="18"/>
                <w:lang w:val="fr-FR" w:bidi="ar-SY"/>
              </w:rPr>
              <w:t>,</w:t>
            </w:r>
            <w:r w:rsidRPr="003966DC">
              <w:rPr>
                <w:sz w:val="18"/>
                <w:szCs w:val="18"/>
                <w:lang w:val="fr-FR" w:bidi="ar-SY"/>
              </w:rPr>
              <w:t>0</w:t>
            </w:r>
          </w:p>
        </w:tc>
      </w:tr>
      <w:tr w:rsidR="00152339" w:rsidRPr="003966DC" w14:paraId="2242EF97" w14:textId="77777777" w:rsidTr="00A52B30">
        <w:trPr>
          <w:trHeight w:val="249"/>
        </w:trPr>
        <w:tc>
          <w:tcPr>
            <w:tcW w:w="2501" w:type="pct"/>
          </w:tcPr>
          <w:p w14:paraId="63460039" w14:textId="5A200CDD" w:rsidR="00F364C6" w:rsidRPr="003966DC" w:rsidRDefault="0029271A" w:rsidP="00A52B30">
            <w:pPr>
              <w:spacing w:before="40" w:after="40"/>
              <w:rPr>
                <w:sz w:val="18"/>
                <w:szCs w:val="18"/>
                <w:lang w:val="fr-FR" w:bidi="ar-SY"/>
              </w:rPr>
            </w:pPr>
            <w:r w:rsidRPr="003966DC">
              <w:rPr>
                <w:sz w:val="18"/>
                <w:szCs w:val="18"/>
                <w:lang w:val="fr-FR" w:bidi="ar-SY"/>
              </w:rPr>
              <w:t>Frais généraux de fonctionnement</w:t>
            </w:r>
          </w:p>
        </w:tc>
        <w:tc>
          <w:tcPr>
            <w:tcW w:w="834" w:type="pct"/>
          </w:tcPr>
          <w:p w14:paraId="0F838119" w14:textId="6E48983C" w:rsidR="00F364C6" w:rsidRPr="003966DC" w:rsidRDefault="00F364C6" w:rsidP="00A52B30">
            <w:pPr>
              <w:spacing w:before="40" w:after="40"/>
              <w:ind w:right="140"/>
              <w:jc w:val="right"/>
              <w:rPr>
                <w:sz w:val="18"/>
                <w:szCs w:val="18"/>
                <w:lang w:val="fr-FR" w:bidi="ar-SY"/>
              </w:rPr>
            </w:pPr>
            <w:r w:rsidRPr="003966DC">
              <w:rPr>
                <w:sz w:val="18"/>
                <w:szCs w:val="18"/>
                <w:lang w:val="fr-FR" w:bidi="ar-SY"/>
              </w:rPr>
              <w:t>726</w:t>
            </w:r>
            <w:r w:rsidR="00487B8A" w:rsidRPr="003966DC">
              <w:rPr>
                <w:sz w:val="18"/>
                <w:szCs w:val="18"/>
                <w:lang w:val="fr-FR" w:bidi="ar-SY"/>
              </w:rPr>
              <w:t>,</w:t>
            </w:r>
            <w:r w:rsidRPr="003966DC">
              <w:rPr>
                <w:sz w:val="18"/>
                <w:szCs w:val="18"/>
                <w:lang w:val="fr-FR" w:bidi="ar-SY"/>
              </w:rPr>
              <w:t>6</w:t>
            </w:r>
          </w:p>
        </w:tc>
        <w:tc>
          <w:tcPr>
            <w:tcW w:w="750" w:type="pct"/>
          </w:tcPr>
          <w:p w14:paraId="42FC4F42" w14:textId="4C9C53AE"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726</w:t>
            </w:r>
            <w:r w:rsidR="00487B8A" w:rsidRPr="003966DC">
              <w:rPr>
                <w:sz w:val="18"/>
                <w:szCs w:val="18"/>
                <w:lang w:val="fr-FR" w:bidi="ar-SY"/>
              </w:rPr>
              <w:t>,</w:t>
            </w:r>
            <w:r w:rsidRPr="003966DC">
              <w:rPr>
                <w:sz w:val="18"/>
                <w:szCs w:val="18"/>
                <w:lang w:val="fr-FR" w:bidi="ar-SY"/>
              </w:rPr>
              <w:t>6</w:t>
            </w:r>
          </w:p>
        </w:tc>
        <w:tc>
          <w:tcPr>
            <w:tcW w:w="915" w:type="pct"/>
          </w:tcPr>
          <w:p w14:paraId="64797323" w14:textId="3E3C732F" w:rsidR="00F364C6" w:rsidRPr="003966DC" w:rsidRDefault="00F364C6" w:rsidP="00A52B30">
            <w:pPr>
              <w:spacing w:before="40" w:after="40"/>
              <w:ind w:right="135"/>
              <w:jc w:val="right"/>
              <w:rPr>
                <w:sz w:val="18"/>
                <w:szCs w:val="18"/>
                <w:lang w:val="fr-FR" w:bidi="ar-SY"/>
              </w:rPr>
            </w:pPr>
            <w:r w:rsidRPr="003966DC">
              <w:rPr>
                <w:sz w:val="18"/>
                <w:szCs w:val="18"/>
                <w:lang w:val="fr-FR" w:bidi="ar-SY"/>
              </w:rPr>
              <w:t>1</w:t>
            </w:r>
            <w:r w:rsidR="00656BB4" w:rsidRPr="003966DC">
              <w:rPr>
                <w:sz w:val="18"/>
                <w:szCs w:val="18"/>
                <w:lang w:val="fr-FR" w:bidi="ar-SY"/>
              </w:rPr>
              <w:t> </w:t>
            </w:r>
            <w:r w:rsidRPr="003966DC">
              <w:rPr>
                <w:sz w:val="18"/>
                <w:szCs w:val="18"/>
                <w:lang w:val="fr-FR" w:bidi="ar-SY"/>
              </w:rPr>
              <w:t>453</w:t>
            </w:r>
            <w:r w:rsidR="00487B8A" w:rsidRPr="003966DC">
              <w:rPr>
                <w:sz w:val="18"/>
                <w:szCs w:val="18"/>
                <w:lang w:val="fr-FR" w:bidi="ar-SY"/>
              </w:rPr>
              <w:t>,</w:t>
            </w:r>
            <w:r w:rsidRPr="003966DC">
              <w:rPr>
                <w:sz w:val="18"/>
                <w:szCs w:val="18"/>
                <w:lang w:val="fr-FR" w:bidi="ar-SY"/>
              </w:rPr>
              <w:t>2</w:t>
            </w:r>
          </w:p>
        </w:tc>
      </w:tr>
      <w:tr w:rsidR="00152339" w:rsidRPr="003966DC" w14:paraId="25B78B7D" w14:textId="77777777" w:rsidTr="00A52B30">
        <w:trPr>
          <w:trHeight w:val="251"/>
        </w:trPr>
        <w:tc>
          <w:tcPr>
            <w:tcW w:w="2501" w:type="pct"/>
          </w:tcPr>
          <w:p w14:paraId="7CEE4094" w14:textId="79E41680" w:rsidR="00F364C6" w:rsidRPr="003966DC" w:rsidRDefault="00CB0DB5" w:rsidP="00A52B30">
            <w:pPr>
              <w:spacing w:before="40" w:after="40"/>
              <w:rPr>
                <w:sz w:val="18"/>
                <w:szCs w:val="18"/>
                <w:lang w:val="fr-FR" w:bidi="ar-SY"/>
              </w:rPr>
            </w:pPr>
            <w:r w:rsidRPr="003966DC">
              <w:rPr>
                <w:sz w:val="18"/>
                <w:szCs w:val="18"/>
                <w:lang w:val="fr-FR"/>
              </w:rPr>
              <w:t>Matériel de sensibilisation du public</w:t>
            </w:r>
          </w:p>
        </w:tc>
        <w:tc>
          <w:tcPr>
            <w:tcW w:w="834" w:type="pct"/>
          </w:tcPr>
          <w:p w14:paraId="5B306DF7" w14:textId="32C1291C" w:rsidR="00F364C6" w:rsidRPr="003966DC" w:rsidRDefault="00F364C6" w:rsidP="00A52B30">
            <w:pPr>
              <w:spacing w:before="40" w:after="40"/>
              <w:ind w:right="140"/>
              <w:jc w:val="right"/>
              <w:rPr>
                <w:sz w:val="18"/>
                <w:szCs w:val="18"/>
                <w:lang w:val="fr-FR" w:bidi="ar-SY"/>
              </w:rPr>
            </w:pPr>
            <w:r w:rsidRPr="003966DC">
              <w:rPr>
                <w:sz w:val="18"/>
                <w:szCs w:val="18"/>
                <w:lang w:val="fr-FR" w:bidi="ar-SY"/>
              </w:rPr>
              <w:t>100</w:t>
            </w:r>
            <w:r w:rsidR="00487B8A" w:rsidRPr="003966DC">
              <w:rPr>
                <w:sz w:val="18"/>
                <w:szCs w:val="18"/>
                <w:lang w:val="fr-FR" w:bidi="ar-SY"/>
              </w:rPr>
              <w:t>,</w:t>
            </w:r>
            <w:r w:rsidRPr="003966DC">
              <w:rPr>
                <w:sz w:val="18"/>
                <w:szCs w:val="18"/>
                <w:lang w:val="fr-FR" w:bidi="ar-SY"/>
              </w:rPr>
              <w:t>0</w:t>
            </w:r>
          </w:p>
        </w:tc>
        <w:tc>
          <w:tcPr>
            <w:tcW w:w="750" w:type="pct"/>
          </w:tcPr>
          <w:p w14:paraId="6BF794D7" w14:textId="0187EDB3"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100</w:t>
            </w:r>
            <w:r w:rsidR="00487B8A" w:rsidRPr="003966DC">
              <w:rPr>
                <w:sz w:val="18"/>
                <w:szCs w:val="18"/>
                <w:lang w:val="fr-FR" w:bidi="ar-SY"/>
              </w:rPr>
              <w:t>,</w:t>
            </w:r>
            <w:r w:rsidRPr="003966DC">
              <w:rPr>
                <w:sz w:val="18"/>
                <w:szCs w:val="18"/>
                <w:lang w:val="fr-FR" w:bidi="ar-SY"/>
              </w:rPr>
              <w:t>0</w:t>
            </w:r>
          </w:p>
        </w:tc>
        <w:tc>
          <w:tcPr>
            <w:tcW w:w="915" w:type="pct"/>
          </w:tcPr>
          <w:p w14:paraId="1415DC77" w14:textId="382B9CDD" w:rsidR="00F364C6" w:rsidRPr="003966DC" w:rsidRDefault="00F364C6" w:rsidP="00A52B30">
            <w:pPr>
              <w:spacing w:before="40" w:after="40"/>
              <w:ind w:right="135"/>
              <w:jc w:val="right"/>
              <w:rPr>
                <w:sz w:val="18"/>
                <w:szCs w:val="18"/>
                <w:lang w:val="fr-FR" w:bidi="ar-SY"/>
              </w:rPr>
            </w:pPr>
            <w:r w:rsidRPr="003966DC">
              <w:rPr>
                <w:sz w:val="18"/>
                <w:szCs w:val="18"/>
                <w:lang w:val="fr-FR" w:bidi="ar-SY"/>
              </w:rPr>
              <w:t>200</w:t>
            </w:r>
            <w:r w:rsidR="00487B8A" w:rsidRPr="003966DC">
              <w:rPr>
                <w:sz w:val="18"/>
                <w:szCs w:val="18"/>
                <w:lang w:val="fr-FR" w:bidi="ar-SY"/>
              </w:rPr>
              <w:t>,</w:t>
            </w:r>
            <w:r w:rsidRPr="003966DC">
              <w:rPr>
                <w:sz w:val="18"/>
                <w:szCs w:val="18"/>
                <w:lang w:val="fr-FR" w:bidi="ar-SY"/>
              </w:rPr>
              <w:t>0</w:t>
            </w:r>
          </w:p>
        </w:tc>
      </w:tr>
      <w:tr w:rsidR="00152339" w:rsidRPr="003966DC" w14:paraId="435D6034" w14:textId="77777777" w:rsidTr="00A52B30">
        <w:trPr>
          <w:trHeight w:val="60"/>
        </w:trPr>
        <w:tc>
          <w:tcPr>
            <w:tcW w:w="2501" w:type="pct"/>
            <w:tcBorders>
              <w:bottom w:val="single" w:sz="4" w:space="0" w:color="auto"/>
            </w:tcBorders>
          </w:tcPr>
          <w:p w14:paraId="0D6EEE1D" w14:textId="62E6E658" w:rsidR="00F364C6" w:rsidRPr="003966DC" w:rsidRDefault="00F364C6" w:rsidP="00A52B30">
            <w:pPr>
              <w:spacing w:before="40" w:after="40"/>
              <w:jc w:val="left"/>
              <w:rPr>
                <w:sz w:val="18"/>
                <w:szCs w:val="18"/>
                <w:lang w:val="fr-FR" w:bidi="ar-SY"/>
              </w:rPr>
            </w:pPr>
            <w:r w:rsidRPr="003966DC">
              <w:rPr>
                <w:sz w:val="18"/>
                <w:szCs w:val="18"/>
                <w:lang w:val="fr-FR" w:bidi="ar-SY"/>
              </w:rPr>
              <w:t>Tra</w:t>
            </w:r>
            <w:r w:rsidR="00CB0DB5" w:rsidRPr="003966DC">
              <w:rPr>
                <w:sz w:val="18"/>
                <w:szCs w:val="18"/>
                <w:lang w:val="fr-FR" w:bidi="ar-SY"/>
              </w:rPr>
              <w:t xml:space="preserve">duction des sites Web des </w:t>
            </w:r>
            <w:r w:rsidR="005A498D" w:rsidRPr="003966DC">
              <w:rPr>
                <w:sz w:val="18"/>
                <w:szCs w:val="18"/>
                <w:lang w:val="fr-FR" w:bidi="ar-SY"/>
              </w:rPr>
              <w:t>c</w:t>
            </w:r>
            <w:r w:rsidR="00631557" w:rsidRPr="003966DC">
              <w:rPr>
                <w:sz w:val="18"/>
                <w:szCs w:val="18"/>
                <w:lang w:val="fr-FR" w:bidi="ar-SY"/>
              </w:rPr>
              <w:t xml:space="preserve">entres d’échange </w:t>
            </w:r>
          </w:p>
        </w:tc>
        <w:tc>
          <w:tcPr>
            <w:tcW w:w="834" w:type="pct"/>
            <w:tcBorders>
              <w:bottom w:val="single" w:sz="4" w:space="0" w:color="auto"/>
            </w:tcBorders>
          </w:tcPr>
          <w:p w14:paraId="73B18EBF" w14:textId="7C9CA133" w:rsidR="00F364C6" w:rsidRPr="003966DC" w:rsidRDefault="00F364C6" w:rsidP="00A52B30">
            <w:pPr>
              <w:spacing w:before="40" w:after="40"/>
              <w:ind w:right="140"/>
              <w:jc w:val="right"/>
              <w:rPr>
                <w:sz w:val="18"/>
                <w:szCs w:val="18"/>
                <w:lang w:val="fr-FR" w:bidi="ar-SY"/>
              </w:rPr>
            </w:pPr>
            <w:r w:rsidRPr="003966DC">
              <w:rPr>
                <w:sz w:val="18"/>
                <w:szCs w:val="18"/>
                <w:lang w:val="fr-FR" w:bidi="ar-SY"/>
              </w:rPr>
              <w:t>65</w:t>
            </w:r>
            <w:r w:rsidR="00487B8A" w:rsidRPr="003966DC">
              <w:rPr>
                <w:sz w:val="18"/>
                <w:szCs w:val="18"/>
                <w:lang w:val="fr-FR" w:bidi="ar-SY"/>
              </w:rPr>
              <w:t>,</w:t>
            </w:r>
            <w:r w:rsidRPr="003966DC">
              <w:rPr>
                <w:sz w:val="18"/>
                <w:szCs w:val="18"/>
                <w:lang w:val="fr-FR" w:bidi="ar-SY"/>
              </w:rPr>
              <w:t>0</w:t>
            </w:r>
          </w:p>
        </w:tc>
        <w:tc>
          <w:tcPr>
            <w:tcW w:w="750" w:type="pct"/>
            <w:tcBorders>
              <w:bottom w:val="single" w:sz="4" w:space="0" w:color="auto"/>
            </w:tcBorders>
          </w:tcPr>
          <w:p w14:paraId="7DBE28C6" w14:textId="1C02C73C"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65</w:t>
            </w:r>
            <w:r w:rsidR="00487B8A" w:rsidRPr="003966DC">
              <w:rPr>
                <w:sz w:val="18"/>
                <w:szCs w:val="18"/>
                <w:lang w:val="fr-FR" w:bidi="ar-SY"/>
              </w:rPr>
              <w:t>,</w:t>
            </w:r>
            <w:r w:rsidRPr="003966DC">
              <w:rPr>
                <w:sz w:val="18"/>
                <w:szCs w:val="18"/>
                <w:lang w:val="fr-FR" w:bidi="ar-SY"/>
              </w:rPr>
              <w:t>0</w:t>
            </w:r>
          </w:p>
        </w:tc>
        <w:tc>
          <w:tcPr>
            <w:tcW w:w="915" w:type="pct"/>
            <w:tcBorders>
              <w:bottom w:val="single" w:sz="4" w:space="0" w:color="auto"/>
            </w:tcBorders>
          </w:tcPr>
          <w:p w14:paraId="032F29A5" w14:textId="2E54FB3B" w:rsidR="00F364C6" w:rsidRPr="003966DC" w:rsidRDefault="00F364C6" w:rsidP="00A52B30">
            <w:pPr>
              <w:spacing w:before="40" w:after="40"/>
              <w:ind w:right="135"/>
              <w:jc w:val="right"/>
              <w:rPr>
                <w:sz w:val="18"/>
                <w:szCs w:val="18"/>
                <w:lang w:val="fr-FR" w:bidi="ar-SY"/>
              </w:rPr>
            </w:pPr>
            <w:r w:rsidRPr="003966DC">
              <w:rPr>
                <w:sz w:val="18"/>
                <w:szCs w:val="18"/>
                <w:lang w:val="fr-FR" w:bidi="ar-SY"/>
              </w:rPr>
              <w:t>130</w:t>
            </w:r>
            <w:r w:rsidR="00487B8A" w:rsidRPr="003966DC">
              <w:rPr>
                <w:sz w:val="18"/>
                <w:szCs w:val="18"/>
                <w:lang w:val="fr-FR" w:bidi="ar-SY"/>
              </w:rPr>
              <w:t>,</w:t>
            </w:r>
            <w:r w:rsidRPr="003966DC">
              <w:rPr>
                <w:sz w:val="18"/>
                <w:szCs w:val="18"/>
                <w:lang w:val="fr-FR" w:bidi="ar-SY"/>
              </w:rPr>
              <w:t>0</w:t>
            </w:r>
          </w:p>
        </w:tc>
      </w:tr>
      <w:tr w:rsidR="00152339" w:rsidRPr="003966DC" w14:paraId="7108FAF7" w14:textId="77777777" w:rsidTr="00A52B30">
        <w:trPr>
          <w:trHeight w:val="211"/>
        </w:trPr>
        <w:tc>
          <w:tcPr>
            <w:tcW w:w="2501" w:type="pct"/>
            <w:tcBorders>
              <w:top w:val="single" w:sz="4" w:space="0" w:color="auto"/>
              <w:bottom w:val="single" w:sz="4" w:space="0" w:color="auto"/>
            </w:tcBorders>
          </w:tcPr>
          <w:p w14:paraId="70408CBF" w14:textId="3C8A7CB7" w:rsidR="00F364C6" w:rsidRPr="003966DC" w:rsidRDefault="003E3796" w:rsidP="00A52B30">
            <w:pPr>
              <w:tabs>
                <w:tab w:val="clear" w:pos="1134"/>
              </w:tabs>
              <w:spacing w:before="40" w:after="40"/>
              <w:ind w:left="284"/>
              <w:rPr>
                <w:b/>
                <w:bCs/>
                <w:sz w:val="18"/>
                <w:szCs w:val="18"/>
                <w:lang w:val="fr-FR" w:bidi="ar-SY"/>
              </w:rPr>
            </w:pPr>
            <w:r w:rsidRPr="003966DC">
              <w:rPr>
                <w:b/>
                <w:bCs/>
                <w:sz w:val="18"/>
                <w:szCs w:val="18"/>
                <w:lang w:val="fr-FR" w:bidi="ar-SY"/>
              </w:rPr>
              <w:t>Total partiel</w:t>
            </w:r>
          </w:p>
        </w:tc>
        <w:tc>
          <w:tcPr>
            <w:tcW w:w="834" w:type="pct"/>
            <w:tcBorders>
              <w:top w:val="single" w:sz="4" w:space="0" w:color="auto"/>
              <w:bottom w:val="single" w:sz="4" w:space="0" w:color="auto"/>
            </w:tcBorders>
          </w:tcPr>
          <w:p w14:paraId="776474C4" w14:textId="0DD388C5" w:rsidR="00F364C6" w:rsidRPr="003966DC" w:rsidRDefault="00F364C6" w:rsidP="00A52B30">
            <w:pPr>
              <w:spacing w:before="40" w:after="40"/>
              <w:ind w:right="140"/>
              <w:jc w:val="right"/>
              <w:rPr>
                <w:b/>
                <w:bCs/>
                <w:sz w:val="18"/>
                <w:szCs w:val="18"/>
                <w:lang w:val="fr-FR" w:bidi="ar-SY"/>
              </w:rPr>
            </w:pPr>
            <w:r w:rsidRPr="003966DC">
              <w:rPr>
                <w:b/>
                <w:bCs/>
                <w:sz w:val="18"/>
                <w:szCs w:val="18"/>
                <w:lang w:val="fr-FR" w:bidi="ar-SY"/>
              </w:rPr>
              <w:t>19 161</w:t>
            </w:r>
            <w:r w:rsidR="00487B8A" w:rsidRPr="003966DC">
              <w:rPr>
                <w:b/>
                <w:bCs/>
                <w:sz w:val="18"/>
                <w:szCs w:val="18"/>
                <w:lang w:val="fr-FR" w:bidi="ar-SY"/>
              </w:rPr>
              <w:t>,</w:t>
            </w:r>
            <w:r w:rsidRPr="003966DC">
              <w:rPr>
                <w:b/>
                <w:bCs/>
                <w:sz w:val="18"/>
                <w:szCs w:val="18"/>
                <w:lang w:val="fr-FR" w:bidi="ar-SY"/>
              </w:rPr>
              <w:t>3</w:t>
            </w:r>
          </w:p>
        </w:tc>
        <w:tc>
          <w:tcPr>
            <w:tcW w:w="750" w:type="pct"/>
            <w:tcBorders>
              <w:top w:val="single" w:sz="4" w:space="0" w:color="auto"/>
              <w:bottom w:val="single" w:sz="4" w:space="0" w:color="auto"/>
            </w:tcBorders>
          </w:tcPr>
          <w:p w14:paraId="63E08D4B" w14:textId="3AC3A6E7" w:rsidR="00F364C6" w:rsidRPr="003966DC" w:rsidRDefault="00F364C6" w:rsidP="00A52B30">
            <w:pPr>
              <w:tabs>
                <w:tab w:val="clear" w:pos="1134"/>
              </w:tabs>
              <w:spacing w:before="40" w:after="40"/>
              <w:ind w:right="142"/>
              <w:jc w:val="right"/>
              <w:rPr>
                <w:b/>
                <w:bCs/>
                <w:sz w:val="18"/>
                <w:szCs w:val="18"/>
                <w:lang w:val="fr-FR" w:bidi="ar-SY"/>
              </w:rPr>
            </w:pPr>
            <w:r w:rsidRPr="003966DC">
              <w:rPr>
                <w:b/>
                <w:bCs/>
                <w:sz w:val="18"/>
                <w:szCs w:val="18"/>
                <w:lang w:val="fr-FR" w:bidi="ar-SY"/>
              </w:rPr>
              <w:t>20</w:t>
            </w:r>
            <w:r w:rsidR="00E0434D" w:rsidRPr="003966DC">
              <w:rPr>
                <w:b/>
                <w:bCs/>
                <w:sz w:val="18"/>
                <w:szCs w:val="18"/>
                <w:lang w:val="fr-FR" w:bidi="ar-SY"/>
              </w:rPr>
              <w:t> </w:t>
            </w:r>
            <w:r w:rsidRPr="003966DC">
              <w:rPr>
                <w:b/>
                <w:bCs/>
                <w:sz w:val="18"/>
                <w:szCs w:val="18"/>
                <w:lang w:val="fr-FR" w:bidi="ar-SY"/>
              </w:rPr>
              <w:t>008</w:t>
            </w:r>
            <w:r w:rsidR="00487B8A" w:rsidRPr="003966DC">
              <w:rPr>
                <w:b/>
                <w:bCs/>
                <w:sz w:val="18"/>
                <w:szCs w:val="18"/>
                <w:lang w:val="fr-FR" w:bidi="ar-SY"/>
              </w:rPr>
              <w:t>,</w:t>
            </w:r>
            <w:r w:rsidRPr="003966DC">
              <w:rPr>
                <w:b/>
                <w:bCs/>
                <w:sz w:val="18"/>
                <w:szCs w:val="18"/>
                <w:lang w:val="fr-FR" w:bidi="ar-SY"/>
              </w:rPr>
              <w:t>6</w:t>
            </w:r>
          </w:p>
        </w:tc>
        <w:tc>
          <w:tcPr>
            <w:tcW w:w="915" w:type="pct"/>
            <w:tcBorders>
              <w:top w:val="single" w:sz="4" w:space="0" w:color="auto"/>
              <w:bottom w:val="single" w:sz="4" w:space="0" w:color="auto"/>
            </w:tcBorders>
          </w:tcPr>
          <w:p w14:paraId="38996D75" w14:textId="7703CC39" w:rsidR="00F364C6" w:rsidRPr="003966DC" w:rsidRDefault="00F364C6" w:rsidP="00A52B30">
            <w:pPr>
              <w:spacing w:before="40" w:after="40"/>
              <w:ind w:right="135"/>
              <w:jc w:val="right"/>
              <w:rPr>
                <w:b/>
                <w:bCs/>
                <w:sz w:val="18"/>
                <w:szCs w:val="18"/>
                <w:lang w:val="fr-FR" w:bidi="ar-SY"/>
              </w:rPr>
            </w:pPr>
            <w:r w:rsidRPr="003966DC">
              <w:rPr>
                <w:b/>
                <w:bCs/>
                <w:sz w:val="18"/>
                <w:szCs w:val="18"/>
                <w:lang w:val="fr-FR" w:bidi="ar-SY"/>
              </w:rPr>
              <w:t>39</w:t>
            </w:r>
            <w:r w:rsidR="00656BB4" w:rsidRPr="003966DC">
              <w:rPr>
                <w:b/>
                <w:bCs/>
                <w:sz w:val="18"/>
                <w:szCs w:val="18"/>
                <w:lang w:val="fr-FR" w:bidi="ar-SY"/>
              </w:rPr>
              <w:t> </w:t>
            </w:r>
            <w:r w:rsidRPr="003966DC">
              <w:rPr>
                <w:b/>
                <w:bCs/>
                <w:sz w:val="18"/>
                <w:szCs w:val="18"/>
                <w:lang w:val="fr-FR" w:bidi="ar-SY"/>
              </w:rPr>
              <w:t>170</w:t>
            </w:r>
            <w:r w:rsidR="00487B8A" w:rsidRPr="003966DC">
              <w:rPr>
                <w:b/>
                <w:bCs/>
                <w:sz w:val="18"/>
                <w:szCs w:val="18"/>
                <w:lang w:val="fr-FR" w:bidi="ar-SY"/>
              </w:rPr>
              <w:t>,</w:t>
            </w:r>
            <w:r w:rsidR="00A30394" w:rsidRPr="003966DC">
              <w:rPr>
                <w:b/>
                <w:bCs/>
                <w:sz w:val="18"/>
                <w:szCs w:val="18"/>
                <w:lang w:val="fr-FR" w:bidi="ar-SY"/>
              </w:rPr>
              <w:t>9</w:t>
            </w:r>
          </w:p>
        </w:tc>
      </w:tr>
      <w:tr w:rsidR="00152339" w:rsidRPr="003966DC" w14:paraId="6416135B" w14:textId="77777777" w:rsidTr="00A52B30">
        <w:trPr>
          <w:trHeight w:val="211"/>
        </w:trPr>
        <w:tc>
          <w:tcPr>
            <w:tcW w:w="2501" w:type="pct"/>
            <w:tcBorders>
              <w:top w:val="single" w:sz="4" w:space="0" w:color="auto"/>
              <w:bottom w:val="single" w:sz="4" w:space="0" w:color="auto"/>
            </w:tcBorders>
          </w:tcPr>
          <w:p w14:paraId="0090D14B" w14:textId="54D8C92C" w:rsidR="00F364C6" w:rsidRPr="003966DC" w:rsidRDefault="00627625" w:rsidP="00A52B30">
            <w:pPr>
              <w:spacing w:before="40" w:after="40"/>
              <w:rPr>
                <w:sz w:val="18"/>
                <w:szCs w:val="18"/>
                <w:lang w:val="fr-FR" w:bidi="ar-SY"/>
              </w:rPr>
            </w:pPr>
            <w:r w:rsidRPr="003966DC">
              <w:rPr>
                <w:sz w:val="18"/>
                <w:szCs w:val="18"/>
                <w:lang w:val="fr-FR" w:bidi="ar-SY"/>
              </w:rPr>
              <w:t xml:space="preserve">Dépenses d’appui au programme </w:t>
            </w:r>
            <w:r w:rsidR="00F364C6" w:rsidRPr="003966DC">
              <w:rPr>
                <w:sz w:val="18"/>
                <w:szCs w:val="18"/>
                <w:lang w:val="fr-FR" w:bidi="ar-SY"/>
              </w:rPr>
              <w:t>(13 </w:t>
            </w:r>
            <w:r w:rsidR="00154382" w:rsidRPr="003966DC">
              <w:rPr>
                <w:sz w:val="18"/>
                <w:szCs w:val="18"/>
                <w:lang w:val="fr-FR" w:bidi="ar-SY"/>
              </w:rPr>
              <w:t>%</w:t>
            </w:r>
            <w:r w:rsidR="00F364C6" w:rsidRPr="003966DC">
              <w:rPr>
                <w:sz w:val="18"/>
                <w:szCs w:val="18"/>
                <w:lang w:val="fr-FR" w:bidi="ar-SY"/>
              </w:rPr>
              <w:t>)</w:t>
            </w:r>
          </w:p>
        </w:tc>
        <w:tc>
          <w:tcPr>
            <w:tcW w:w="834" w:type="pct"/>
            <w:tcBorders>
              <w:top w:val="single" w:sz="4" w:space="0" w:color="auto"/>
              <w:bottom w:val="single" w:sz="4" w:space="0" w:color="auto"/>
            </w:tcBorders>
          </w:tcPr>
          <w:p w14:paraId="4EB9CB97" w14:textId="15A92654" w:rsidR="00F364C6" w:rsidRPr="003966DC" w:rsidRDefault="00F364C6" w:rsidP="00A52B30">
            <w:pPr>
              <w:spacing w:before="40" w:after="40"/>
              <w:ind w:right="140"/>
              <w:jc w:val="right"/>
              <w:rPr>
                <w:sz w:val="18"/>
                <w:szCs w:val="18"/>
                <w:lang w:val="fr-FR" w:bidi="ar-SY"/>
              </w:rPr>
            </w:pPr>
            <w:r w:rsidRPr="003966DC">
              <w:rPr>
                <w:sz w:val="18"/>
                <w:szCs w:val="18"/>
                <w:lang w:val="fr-FR" w:bidi="ar-SY"/>
              </w:rPr>
              <w:t>2 491</w:t>
            </w:r>
            <w:r w:rsidR="00487B8A" w:rsidRPr="003966DC">
              <w:rPr>
                <w:sz w:val="18"/>
                <w:szCs w:val="18"/>
                <w:lang w:val="fr-FR" w:bidi="ar-SY"/>
              </w:rPr>
              <w:t>,</w:t>
            </w:r>
            <w:r w:rsidRPr="003966DC">
              <w:rPr>
                <w:sz w:val="18"/>
                <w:szCs w:val="18"/>
                <w:lang w:val="fr-FR" w:bidi="ar-SY"/>
              </w:rPr>
              <w:t>0</w:t>
            </w:r>
          </w:p>
        </w:tc>
        <w:tc>
          <w:tcPr>
            <w:tcW w:w="750" w:type="pct"/>
            <w:tcBorders>
              <w:top w:val="single" w:sz="4" w:space="0" w:color="auto"/>
              <w:bottom w:val="single" w:sz="4" w:space="0" w:color="auto"/>
            </w:tcBorders>
          </w:tcPr>
          <w:p w14:paraId="48C4332D" w14:textId="733A443E"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2</w:t>
            </w:r>
            <w:r w:rsidR="00E0434D" w:rsidRPr="003966DC">
              <w:rPr>
                <w:sz w:val="18"/>
                <w:szCs w:val="18"/>
                <w:lang w:val="fr-FR" w:bidi="ar-SY"/>
              </w:rPr>
              <w:t> </w:t>
            </w:r>
            <w:r w:rsidRPr="003966DC">
              <w:rPr>
                <w:sz w:val="18"/>
                <w:szCs w:val="18"/>
                <w:lang w:val="fr-FR" w:bidi="ar-SY"/>
              </w:rPr>
              <w:t>601</w:t>
            </w:r>
            <w:r w:rsidR="00487B8A" w:rsidRPr="003966DC">
              <w:rPr>
                <w:sz w:val="18"/>
                <w:szCs w:val="18"/>
                <w:lang w:val="fr-FR" w:bidi="ar-SY"/>
              </w:rPr>
              <w:t>,</w:t>
            </w:r>
            <w:r w:rsidRPr="003966DC">
              <w:rPr>
                <w:sz w:val="18"/>
                <w:szCs w:val="18"/>
                <w:lang w:val="fr-FR" w:bidi="ar-SY"/>
              </w:rPr>
              <w:t>1</w:t>
            </w:r>
          </w:p>
        </w:tc>
        <w:tc>
          <w:tcPr>
            <w:tcW w:w="915" w:type="pct"/>
            <w:tcBorders>
              <w:top w:val="single" w:sz="4" w:space="0" w:color="auto"/>
              <w:bottom w:val="single" w:sz="4" w:space="0" w:color="auto"/>
            </w:tcBorders>
          </w:tcPr>
          <w:p w14:paraId="29EC2A0E" w14:textId="7725FA49" w:rsidR="00F364C6" w:rsidRPr="003966DC" w:rsidRDefault="00F364C6" w:rsidP="00A52B30">
            <w:pPr>
              <w:spacing w:before="40" w:after="40"/>
              <w:ind w:right="135"/>
              <w:jc w:val="right"/>
              <w:rPr>
                <w:sz w:val="18"/>
                <w:szCs w:val="18"/>
                <w:lang w:val="fr-FR" w:bidi="ar-SY"/>
              </w:rPr>
            </w:pPr>
            <w:r w:rsidRPr="003966DC">
              <w:rPr>
                <w:sz w:val="18"/>
                <w:szCs w:val="18"/>
                <w:lang w:val="fr-FR" w:bidi="ar-SY"/>
              </w:rPr>
              <w:t>5 092</w:t>
            </w:r>
            <w:r w:rsidR="00487B8A" w:rsidRPr="003966DC">
              <w:rPr>
                <w:sz w:val="18"/>
                <w:szCs w:val="18"/>
                <w:lang w:val="fr-FR" w:bidi="ar-SY"/>
              </w:rPr>
              <w:t>,</w:t>
            </w:r>
            <w:r w:rsidRPr="003966DC">
              <w:rPr>
                <w:sz w:val="18"/>
                <w:szCs w:val="18"/>
                <w:lang w:val="fr-FR" w:bidi="ar-SY"/>
              </w:rPr>
              <w:t>1</w:t>
            </w:r>
          </w:p>
        </w:tc>
      </w:tr>
      <w:tr w:rsidR="00152339" w:rsidRPr="003966DC" w14:paraId="47E9EA54" w14:textId="77777777" w:rsidTr="00A52B30">
        <w:trPr>
          <w:trHeight w:val="211"/>
        </w:trPr>
        <w:tc>
          <w:tcPr>
            <w:tcW w:w="2501" w:type="pct"/>
            <w:tcBorders>
              <w:top w:val="single" w:sz="4" w:space="0" w:color="auto"/>
              <w:bottom w:val="single" w:sz="4" w:space="0" w:color="auto"/>
            </w:tcBorders>
          </w:tcPr>
          <w:p w14:paraId="3DF173B5" w14:textId="3D93E364" w:rsidR="00F364C6" w:rsidRPr="003966DC" w:rsidRDefault="003E3796" w:rsidP="00A52B30">
            <w:pPr>
              <w:spacing w:before="40" w:after="40"/>
              <w:ind w:left="284"/>
              <w:rPr>
                <w:b/>
                <w:bCs/>
                <w:sz w:val="18"/>
                <w:szCs w:val="18"/>
                <w:lang w:val="fr-FR" w:bidi="ar-SY"/>
              </w:rPr>
            </w:pPr>
            <w:r w:rsidRPr="003966DC">
              <w:rPr>
                <w:b/>
                <w:bCs/>
                <w:sz w:val="18"/>
                <w:szCs w:val="18"/>
                <w:lang w:val="fr-FR" w:bidi="ar-SY"/>
              </w:rPr>
              <w:t>Total partiel</w:t>
            </w:r>
          </w:p>
        </w:tc>
        <w:tc>
          <w:tcPr>
            <w:tcW w:w="834" w:type="pct"/>
            <w:tcBorders>
              <w:top w:val="single" w:sz="4" w:space="0" w:color="auto"/>
              <w:bottom w:val="single" w:sz="4" w:space="0" w:color="auto"/>
            </w:tcBorders>
          </w:tcPr>
          <w:p w14:paraId="72F0C4F0" w14:textId="1D709E6F" w:rsidR="00F364C6" w:rsidRPr="003966DC" w:rsidRDefault="00F364C6" w:rsidP="00A52B30">
            <w:pPr>
              <w:spacing w:before="40" w:after="40"/>
              <w:ind w:right="140"/>
              <w:jc w:val="right"/>
              <w:rPr>
                <w:b/>
                <w:bCs/>
                <w:sz w:val="18"/>
                <w:szCs w:val="18"/>
                <w:lang w:val="fr-FR" w:bidi="ar-SY"/>
              </w:rPr>
            </w:pPr>
            <w:r w:rsidRPr="003966DC">
              <w:rPr>
                <w:b/>
                <w:bCs/>
                <w:sz w:val="18"/>
                <w:szCs w:val="18"/>
                <w:lang w:val="fr-FR" w:bidi="ar-SY"/>
              </w:rPr>
              <w:t>21 652</w:t>
            </w:r>
            <w:r w:rsidR="00487B8A" w:rsidRPr="003966DC">
              <w:rPr>
                <w:b/>
                <w:bCs/>
                <w:sz w:val="18"/>
                <w:szCs w:val="18"/>
                <w:lang w:val="fr-FR" w:bidi="ar-SY"/>
              </w:rPr>
              <w:t>,</w:t>
            </w:r>
            <w:r w:rsidRPr="003966DC">
              <w:rPr>
                <w:b/>
                <w:bCs/>
                <w:sz w:val="18"/>
                <w:szCs w:val="18"/>
                <w:lang w:val="fr-FR" w:bidi="ar-SY"/>
              </w:rPr>
              <w:t>3</w:t>
            </w:r>
          </w:p>
        </w:tc>
        <w:tc>
          <w:tcPr>
            <w:tcW w:w="750" w:type="pct"/>
            <w:tcBorders>
              <w:top w:val="single" w:sz="4" w:space="0" w:color="auto"/>
              <w:bottom w:val="single" w:sz="4" w:space="0" w:color="auto"/>
            </w:tcBorders>
          </w:tcPr>
          <w:p w14:paraId="19C01164" w14:textId="78885F55" w:rsidR="00F364C6" w:rsidRPr="003966DC" w:rsidRDefault="00F364C6" w:rsidP="00A52B30">
            <w:pPr>
              <w:tabs>
                <w:tab w:val="clear" w:pos="1134"/>
              </w:tabs>
              <w:spacing w:before="40" w:after="40"/>
              <w:ind w:right="142"/>
              <w:jc w:val="right"/>
              <w:rPr>
                <w:b/>
                <w:bCs/>
                <w:sz w:val="18"/>
                <w:szCs w:val="18"/>
                <w:lang w:val="fr-FR" w:bidi="ar-SY"/>
              </w:rPr>
            </w:pPr>
            <w:r w:rsidRPr="003966DC">
              <w:rPr>
                <w:b/>
                <w:bCs/>
                <w:sz w:val="18"/>
                <w:szCs w:val="18"/>
                <w:lang w:val="fr-FR" w:bidi="ar-SY"/>
              </w:rPr>
              <w:t>22</w:t>
            </w:r>
            <w:r w:rsidR="00E0434D" w:rsidRPr="003966DC">
              <w:rPr>
                <w:b/>
                <w:bCs/>
                <w:sz w:val="18"/>
                <w:szCs w:val="18"/>
                <w:lang w:val="fr-FR" w:bidi="ar-SY"/>
              </w:rPr>
              <w:t> </w:t>
            </w:r>
            <w:r w:rsidRPr="003966DC">
              <w:rPr>
                <w:b/>
                <w:bCs/>
                <w:sz w:val="18"/>
                <w:szCs w:val="18"/>
                <w:lang w:val="fr-FR" w:bidi="ar-SY"/>
              </w:rPr>
              <w:t>609</w:t>
            </w:r>
            <w:r w:rsidR="00487B8A" w:rsidRPr="003966DC">
              <w:rPr>
                <w:b/>
                <w:bCs/>
                <w:sz w:val="18"/>
                <w:szCs w:val="18"/>
                <w:lang w:val="fr-FR" w:bidi="ar-SY"/>
              </w:rPr>
              <w:t>,</w:t>
            </w:r>
            <w:r w:rsidRPr="003966DC">
              <w:rPr>
                <w:b/>
                <w:bCs/>
                <w:sz w:val="18"/>
                <w:szCs w:val="18"/>
                <w:lang w:val="fr-FR" w:bidi="ar-SY"/>
              </w:rPr>
              <w:t>8</w:t>
            </w:r>
          </w:p>
        </w:tc>
        <w:tc>
          <w:tcPr>
            <w:tcW w:w="915" w:type="pct"/>
            <w:tcBorders>
              <w:top w:val="single" w:sz="4" w:space="0" w:color="auto"/>
              <w:bottom w:val="single" w:sz="4" w:space="0" w:color="auto"/>
            </w:tcBorders>
          </w:tcPr>
          <w:p w14:paraId="7867F9DF" w14:textId="7782193D" w:rsidR="00F364C6" w:rsidRPr="003966DC" w:rsidRDefault="00F364C6" w:rsidP="00A52B30">
            <w:pPr>
              <w:spacing w:before="40" w:after="40"/>
              <w:ind w:right="135"/>
              <w:jc w:val="right"/>
              <w:rPr>
                <w:b/>
                <w:bCs/>
                <w:sz w:val="18"/>
                <w:szCs w:val="18"/>
                <w:lang w:val="fr-FR" w:bidi="ar-SY"/>
              </w:rPr>
            </w:pPr>
            <w:r w:rsidRPr="003966DC">
              <w:rPr>
                <w:b/>
                <w:bCs/>
                <w:sz w:val="18"/>
                <w:szCs w:val="18"/>
                <w:lang w:val="fr-FR" w:bidi="ar-SY"/>
              </w:rPr>
              <w:t>44</w:t>
            </w:r>
            <w:r w:rsidR="00656BB4" w:rsidRPr="003966DC">
              <w:rPr>
                <w:b/>
                <w:bCs/>
                <w:sz w:val="18"/>
                <w:szCs w:val="18"/>
                <w:lang w:val="fr-FR" w:bidi="ar-SY"/>
              </w:rPr>
              <w:t> </w:t>
            </w:r>
            <w:r w:rsidRPr="003966DC">
              <w:rPr>
                <w:b/>
                <w:bCs/>
                <w:sz w:val="18"/>
                <w:szCs w:val="18"/>
                <w:lang w:val="fr-FR" w:bidi="ar-SY"/>
              </w:rPr>
              <w:t>262</w:t>
            </w:r>
            <w:r w:rsidR="00487B8A" w:rsidRPr="003966DC">
              <w:rPr>
                <w:b/>
                <w:bCs/>
                <w:sz w:val="18"/>
                <w:szCs w:val="18"/>
                <w:lang w:val="fr-FR" w:bidi="ar-SY"/>
              </w:rPr>
              <w:t>,</w:t>
            </w:r>
            <w:r w:rsidR="00A30394" w:rsidRPr="003966DC">
              <w:rPr>
                <w:b/>
                <w:bCs/>
                <w:sz w:val="18"/>
                <w:szCs w:val="18"/>
                <w:lang w:val="fr-FR" w:bidi="ar-SY"/>
              </w:rPr>
              <w:t>1</w:t>
            </w:r>
          </w:p>
        </w:tc>
      </w:tr>
      <w:tr w:rsidR="00152339" w:rsidRPr="003966DC" w14:paraId="25A996C2" w14:textId="77777777" w:rsidTr="00A52B30">
        <w:trPr>
          <w:trHeight w:val="211"/>
        </w:trPr>
        <w:tc>
          <w:tcPr>
            <w:tcW w:w="2501" w:type="pct"/>
            <w:tcBorders>
              <w:top w:val="single" w:sz="4" w:space="0" w:color="auto"/>
              <w:bottom w:val="single" w:sz="4" w:space="0" w:color="auto"/>
            </w:tcBorders>
          </w:tcPr>
          <w:p w14:paraId="73CF7E57" w14:textId="6532D748" w:rsidR="00F364C6" w:rsidRPr="003966DC" w:rsidRDefault="001B75E1" w:rsidP="00A52B30">
            <w:pPr>
              <w:spacing w:before="40" w:after="40"/>
              <w:rPr>
                <w:sz w:val="18"/>
                <w:szCs w:val="18"/>
                <w:lang w:val="fr-FR" w:bidi="ar-SY"/>
              </w:rPr>
            </w:pPr>
            <w:r w:rsidRPr="003966DC">
              <w:rPr>
                <w:sz w:val="18"/>
                <w:szCs w:val="18"/>
                <w:lang w:val="fr-FR" w:bidi="ar-SY"/>
              </w:rPr>
              <w:t>Réserve du fonds de roulement</w:t>
            </w:r>
          </w:p>
        </w:tc>
        <w:tc>
          <w:tcPr>
            <w:tcW w:w="834" w:type="pct"/>
            <w:tcBorders>
              <w:top w:val="single" w:sz="4" w:space="0" w:color="auto"/>
              <w:bottom w:val="single" w:sz="4" w:space="0" w:color="auto"/>
            </w:tcBorders>
          </w:tcPr>
          <w:p w14:paraId="7A2ECA09" w14:textId="41CB311E" w:rsidR="00F364C6" w:rsidRPr="003966DC" w:rsidRDefault="00F364C6" w:rsidP="00A52B30">
            <w:pPr>
              <w:spacing w:before="40" w:after="40"/>
              <w:ind w:right="140"/>
              <w:jc w:val="right"/>
              <w:rPr>
                <w:sz w:val="18"/>
                <w:szCs w:val="18"/>
                <w:lang w:val="fr-FR" w:bidi="ar-SY"/>
              </w:rPr>
            </w:pPr>
            <w:r w:rsidRPr="003966DC">
              <w:rPr>
                <w:sz w:val="18"/>
                <w:szCs w:val="18"/>
                <w:lang w:val="fr-FR" w:bidi="ar-SY"/>
              </w:rPr>
              <w:t>29</w:t>
            </w:r>
            <w:r w:rsidR="00487B8A" w:rsidRPr="003966DC">
              <w:rPr>
                <w:sz w:val="18"/>
                <w:szCs w:val="18"/>
                <w:lang w:val="fr-FR" w:bidi="ar-SY"/>
              </w:rPr>
              <w:t>,</w:t>
            </w:r>
            <w:r w:rsidR="00AA5085" w:rsidRPr="003966DC">
              <w:rPr>
                <w:sz w:val="18"/>
                <w:szCs w:val="18"/>
                <w:lang w:val="fr-FR" w:bidi="ar-SY"/>
              </w:rPr>
              <w:t>8</w:t>
            </w:r>
          </w:p>
        </w:tc>
        <w:tc>
          <w:tcPr>
            <w:tcW w:w="750" w:type="pct"/>
            <w:tcBorders>
              <w:top w:val="single" w:sz="4" w:space="0" w:color="auto"/>
              <w:bottom w:val="single" w:sz="4" w:space="0" w:color="auto"/>
            </w:tcBorders>
          </w:tcPr>
          <w:p w14:paraId="7009B3FA" w14:textId="40619CA2"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143</w:t>
            </w:r>
            <w:r w:rsidR="00487B8A" w:rsidRPr="003966DC">
              <w:rPr>
                <w:sz w:val="18"/>
                <w:szCs w:val="18"/>
                <w:lang w:val="fr-FR" w:bidi="ar-SY"/>
              </w:rPr>
              <w:t>,</w:t>
            </w:r>
            <w:r w:rsidR="00AA5085" w:rsidRPr="003966DC">
              <w:rPr>
                <w:sz w:val="18"/>
                <w:szCs w:val="18"/>
                <w:lang w:val="fr-FR" w:bidi="ar-SY"/>
              </w:rPr>
              <w:t>6</w:t>
            </w:r>
          </w:p>
        </w:tc>
        <w:tc>
          <w:tcPr>
            <w:tcW w:w="915" w:type="pct"/>
            <w:tcBorders>
              <w:top w:val="single" w:sz="4" w:space="0" w:color="auto"/>
              <w:bottom w:val="single" w:sz="4" w:space="0" w:color="auto"/>
            </w:tcBorders>
          </w:tcPr>
          <w:p w14:paraId="3F4A6FA3" w14:textId="78287704" w:rsidR="00F364C6" w:rsidRPr="003966DC" w:rsidRDefault="00F364C6" w:rsidP="00A52B30">
            <w:pPr>
              <w:spacing w:before="40" w:after="40"/>
              <w:ind w:right="135"/>
              <w:jc w:val="right"/>
              <w:rPr>
                <w:sz w:val="18"/>
                <w:szCs w:val="18"/>
                <w:lang w:val="fr-FR" w:bidi="ar-SY"/>
              </w:rPr>
            </w:pPr>
            <w:r w:rsidRPr="003966DC">
              <w:rPr>
                <w:sz w:val="18"/>
                <w:szCs w:val="18"/>
                <w:lang w:val="fr-FR" w:bidi="ar-SY"/>
              </w:rPr>
              <w:t>173</w:t>
            </w:r>
            <w:r w:rsidR="00487B8A" w:rsidRPr="003966DC">
              <w:rPr>
                <w:sz w:val="18"/>
                <w:szCs w:val="18"/>
                <w:lang w:val="fr-FR" w:bidi="ar-SY"/>
              </w:rPr>
              <w:t>,</w:t>
            </w:r>
            <w:r w:rsidR="00AA5085" w:rsidRPr="003966DC">
              <w:rPr>
                <w:sz w:val="18"/>
                <w:szCs w:val="18"/>
                <w:lang w:val="fr-FR" w:bidi="ar-SY"/>
              </w:rPr>
              <w:t>4</w:t>
            </w:r>
          </w:p>
        </w:tc>
      </w:tr>
      <w:tr w:rsidR="00152339" w:rsidRPr="003966DC" w14:paraId="08B8C5FA" w14:textId="77777777" w:rsidTr="00A52B30">
        <w:trPr>
          <w:trHeight w:val="211"/>
        </w:trPr>
        <w:tc>
          <w:tcPr>
            <w:tcW w:w="2501" w:type="pct"/>
            <w:tcBorders>
              <w:top w:val="single" w:sz="4" w:space="0" w:color="auto"/>
              <w:bottom w:val="single" w:sz="4" w:space="0" w:color="auto"/>
            </w:tcBorders>
          </w:tcPr>
          <w:p w14:paraId="76096272" w14:textId="598307CF" w:rsidR="00F364C6" w:rsidRPr="003966DC" w:rsidRDefault="00F364C6" w:rsidP="00A52B30">
            <w:pPr>
              <w:spacing w:before="40" w:after="40"/>
              <w:ind w:left="284"/>
              <w:rPr>
                <w:b/>
                <w:bCs/>
                <w:sz w:val="18"/>
                <w:szCs w:val="18"/>
                <w:lang w:val="fr-FR" w:bidi="ar-SY"/>
              </w:rPr>
            </w:pPr>
            <w:r w:rsidRPr="003966DC">
              <w:rPr>
                <w:b/>
                <w:bCs/>
                <w:sz w:val="18"/>
                <w:szCs w:val="18"/>
                <w:lang w:val="fr-FR" w:bidi="ar-SY"/>
              </w:rPr>
              <w:t>Total</w:t>
            </w:r>
          </w:p>
        </w:tc>
        <w:tc>
          <w:tcPr>
            <w:tcW w:w="834" w:type="pct"/>
            <w:tcBorders>
              <w:top w:val="single" w:sz="4" w:space="0" w:color="auto"/>
              <w:bottom w:val="single" w:sz="4" w:space="0" w:color="auto"/>
            </w:tcBorders>
          </w:tcPr>
          <w:p w14:paraId="6112A4AD" w14:textId="75027C0D" w:rsidR="00F364C6" w:rsidRPr="003966DC" w:rsidRDefault="00F364C6" w:rsidP="00A52B30">
            <w:pPr>
              <w:spacing w:before="40" w:after="40"/>
              <w:ind w:right="140"/>
              <w:jc w:val="right"/>
              <w:rPr>
                <w:b/>
                <w:bCs/>
                <w:sz w:val="18"/>
                <w:szCs w:val="18"/>
                <w:lang w:val="fr-FR" w:bidi="ar-SY"/>
              </w:rPr>
            </w:pPr>
            <w:r w:rsidRPr="003966DC">
              <w:rPr>
                <w:b/>
                <w:bCs/>
                <w:sz w:val="18"/>
                <w:szCs w:val="18"/>
                <w:lang w:val="fr-FR" w:bidi="ar-SY"/>
              </w:rPr>
              <w:t>21</w:t>
            </w:r>
            <w:r w:rsidR="00526ED7" w:rsidRPr="003966DC">
              <w:rPr>
                <w:b/>
                <w:bCs/>
                <w:sz w:val="18"/>
                <w:szCs w:val="18"/>
                <w:lang w:val="fr-FR" w:bidi="ar-SY"/>
              </w:rPr>
              <w:t> </w:t>
            </w:r>
            <w:r w:rsidRPr="003966DC">
              <w:rPr>
                <w:b/>
                <w:bCs/>
                <w:sz w:val="18"/>
                <w:szCs w:val="18"/>
                <w:lang w:val="fr-FR" w:bidi="ar-SY"/>
              </w:rPr>
              <w:t>682</w:t>
            </w:r>
            <w:r w:rsidR="00487B8A" w:rsidRPr="003966DC">
              <w:rPr>
                <w:b/>
                <w:bCs/>
                <w:sz w:val="18"/>
                <w:szCs w:val="18"/>
                <w:lang w:val="fr-FR" w:bidi="ar-SY"/>
              </w:rPr>
              <w:t>,</w:t>
            </w:r>
            <w:r w:rsidR="00AA5085" w:rsidRPr="003966DC">
              <w:rPr>
                <w:b/>
                <w:bCs/>
                <w:sz w:val="18"/>
                <w:szCs w:val="18"/>
                <w:lang w:val="fr-FR" w:bidi="ar-SY"/>
              </w:rPr>
              <w:t>1</w:t>
            </w:r>
          </w:p>
        </w:tc>
        <w:tc>
          <w:tcPr>
            <w:tcW w:w="750" w:type="pct"/>
            <w:tcBorders>
              <w:top w:val="single" w:sz="4" w:space="0" w:color="auto"/>
              <w:bottom w:val="single" w:sz="4" w:space="0" w:color="auto"/>
            </w:tcBorders>
          </w:tcPr>
          <w:p w14:paraId="23446507" w14:textId="5DA55777" w:rsidR="00F364C6" w:rsidRPr="003966DC" w:rsidRDefault="00F364C6" w:rsidP="00A52B30">
            <w:pPr>
              <w:tabs>
                <w:tab w:val="clear" w:pos="1134"/>
              </w:tabs>
              <w:spacing w:before="40" w:after="40"/>
              <w:ind w:right="142"/>
              <w:jc w:val="right"/>
              <w:rPr>
                <w:b/>
                <w:bCs/>
                <w:sz w:val="18"/>
                <w:szCs w:val="18"/>
                <w:lang w:val="fr-FR" w:bidi="ar-SY"/>
              </w:rPr>
            </w:pPr>
            <w:r w:rsidRPr="003966DC">
              <w:rPr>
                <w:b/>
                <w:bCs/>
                <w:sz w:val="18"/>
                <w:szCs w:val="18"/>
                <w:lang w:val="fr-FR" w:bidi="ar-SY"/>
              </w:rPr>
              <w:t>22</w:t>
            </w:r>
            <w:r w:rsidR="00F8626E" w:rsidRPr="003966DC">
              <w:rPr>
                <w:b/>
                <w:bCs/>
                <w:sz w:val="18"/>
                <w:szCs w:val="18"/>
                <w:lang w:val="fr-FR" w:bidi="ar-SY"/>
              </w:rPr>
              <w:t> </w:t>
            </w:r>
            <w:r w:rsidRPr="003966DC">
              <w:rPr>
                <w:b/>
                <w:bCs/>
                <w:sz w:val="18"/>
                <w:szCs w:val="18"/>
                <w:lang w:val="fr-FR" w:bidi="ar-SY"/>
              </w:rPr>
              <w:t>753</w:t>
            </w:r>
            <w:r w:rsidR="00487B8A" w:rsidRPr="003966DC">
              <w:rPr>
                <w:b/>
                <w:bCs/>
                <w:sz w:val="18"/>
                <w:szCs w:val="18"/>
                <w:lang w:val="fr-FR" w:bidi="ar-SY"/>
              </w:rPr>
              <w:t>,</w:t>
            </w:r>
            <w:r w:rsidRPr="003966DC">
              <w:rPr>
                <w:b/>
                <w:bCs/>
                <w:sz w:val="18"/>
                <w:szCs w:val="18"/>
                <w:lang w:val="fr-FR" w:bidi="ar-SY"/>
              </w:rPr>
              <w:t>4</w:t>
            </w:r>
          </w:p>
        </w:tc>
        <w:tc>
          <w:tcPr>
            <w:tcW w:w="915" w:type="pct"/>
            <w:tcBorders>
              <w:top w:val="single" w:sz="4" w:space="0" w:color="auto"/>
              <w:bottom w:val="single" w:sz="4" w:space="0" w:color="auto"/>
            </w:tcBorders>
          </w:tcPr>
          <w:p w14:paraId="11E491C4" w14:textId="059456B2" w:rsidR="00F364C6" w:rsidRPr="003966DC" w:rsidRDefault="00F364C6" w:rsidP="00A52B30">
            <w:pPr>
              <w:spacing w:before="40" w:after="40"/>
              <w:ind w:right="135"/>
              <w:jc w:val="right"/>
              <w:rPr>
                <w:b/>
                <w:bCs/>
                <w:sz w:val="18"/>
                <w:szCs w:val="18"/>
                <w:lang w:val="fr-FR" w:bidi="ar-SY"/>
              </w:rPr>
            </w:pPr>
            <w:r w:rsidRPr="003966DC">
              <w:rPr>
                <w:b/>
                <w:bCs/>
                <w:sz w:val="18"/>
                <w:szCs w:val="18"/>
                <w:lang w:val="fr-FR" w:bidi="ar-SY"/>
              </w:rPr>
              <w:t>44</w:t>
            </w:r>
            <w:r w:rsidR="00656BB4" w:rsidRPr="003966DC">
              <w:rPr>
                <w:b/>
                <w:bCs/>
                <w:sz w:val="18"/>
                <w:szCs w:val="18"/>
                <w:lang w:val="fr-FR" w:bidi="ar-SY"/>
              </w:rPr>
              <w:t> </w:t>
            </w:r>
            <w:r w:rsidRPr="003966DC">
              <w:rPr>
                <w:b/>
                <w:bCs/>
                <w:sz w:val="18"/>
                <w:szCs w:val="18"/>
                <w:lang w:val="fr-FR" w:bidi="ar-SY"/>
              </w:rPr>
              <w:t>435</w:t>
            </w:r>
            <w:r w:rsidR="00487B8A" w:rsidRPr="003966DC">
              <w:rPr>
                <w:b/>
                <w:bCs/>
                <w:sz w:val="18"/>
                <w:szCs w:val="18"/>
                <w:lang w:val="fr-FR" w:bidi="ar-SY"/>
              </w:rPr>
              <w:t>,</w:t>
            </w:r>
            <w:r w:rsidR="00AA5085" w:rsidRPr="003966DC">
              <w:rPr>
                <w:b/>
                <w:bCs/>
                <w:sz w:val="18"/>
                <w:szCs w:val="18"/>
                <w:lang w:val="fr-FR" w:bidi="ar-SY"/>
              </w:rPr>
              <w:t>5</w:t>
            </w:r>
          </w:p>
        </w:tc>
      </w:tr>
      <w:tr w:rsidR="00152339" w:rsidRPr="003966DC" w14:paraId="54FB253B" w14:textId="77777777" w:rsidTr="00A52B30">
        <w:trPr>
          <w:trHeight w:val="211"/>
        </w:trPr>
        <w:tc>
          <w:tcPr>
            <w:tcW w:w="2501" w:type="pct"/>
            <w:tcBorders>
              <w:top w:val="single" w:sz="4" w:space="0" w:color="auto"/>
            </w:tcBorders>
          </w:tcPr>
          <w:p w14:paraId="338FBD05" w14:textId="48678375" w:rsidR="00F364C6" w:rsidRPr="003966DC" w:rsidRDefault="00EE1633" w:rsidP="00A52B30">
            <w:pPr>
              <w:spacing w:before="40" w:after="40"/>
              <w:jc w:val="left"/>
              <w:rPr>
                <w:sz w:val="18"/>
                <w:szCs w:val="18"/>
                <w:lang w:val="fr-FR" w:bidi="ar-SY"/>
              </w:rPr>
            </w:pPr>
            <w:r w:rsidRPr="003966DC">
              <w:rPr>
                <w:sz w:val="18"/>
                <w:szCs w:val="18"/>
                <w:lang w:val="fr-FR" w:bidi="ar-SY"/>
              </w:rPr>
              <w:t xml:space="preserve">Part du budget intégré consacrée au Protocole de Cartagena </w:t>
            </w:r>
            <w:r w:rsidR="00F364C6" w:rsidRPr="003966DC">
              <w:rPr>
                <w:sz w:val="18"/>
                <w:szCs w:val="18"/>
                <w:lang w:val="fr-FR" w:bidi="ar-SY"/>
              </w:rPr>
              <w:t>(</w:t>
            </w:r>
            <w:r w:rsidR="00753DB9" w:rsidRPr="003966DC">
              <w:rPr>
                <w:sz w:val="18"/>
                <w:szCs w:val="18"/>
                <w:lang w:val="fr-FR" w:bidi="ar-SY"/>
              </w:rPr>
              <w:t>15</w:t>
            </w:r>
            <w:r w:rsidR="00D62D4C">
              <w:rPr>
                <w:sz w:val="18"/>
                <w:szCs w:val="18"/>
                <w:lang w:val="fr-FR" w:bidi="ar-SY"/>
              </w:rPr>
              <w:t> </w:t>
            </w:r>
            <w:r w:rsidR="00154382" w:rsidRPr="003966DC">
              <w:rPr>
                <w:sz w:val="18"/>
                <w:szCs w:val="18"/>
                <w:lang w:val="fr-FR" w:bidi="ar-SY"/>
              </w:rPr>
              <w:t>%</w:t>
            </w:r>
            <w:r w:rsidR="00F364C6" w:rsidRPr="003966DC">
              <w:rPr>
                <w:sz w:val="18"/>
                <w:szCs w:val="18"/>
                <w:lang w:val="fr-FR" w:bidi="ar-SY"/>
              </w:rPr>
              <w:t>)</w:t>
            </w:r>
          </w:p>
        </w:tc>
        <w:tc>
          <w:tcPr>
            <w:tcW w:w="834" w:type="pct"/>
            <w:tcBorders>
              <w:top w:val="single" w:sz="4" w:space="0" w:color="auto"/>
            </w:tcBorders>
          </w:tcPr>
          <w:p w14:paraId="2C53414F" w14:textId="60255648" w:rsidR="00F364C6" w:rsidRPr="003966DC" w:rsidRDefault="007E1B38" w:rsidP="00A52B30">
            <w:pPr>
              <w:spacing w:before="40" w:after="40"/>
              <w:ind w:right="140"/>
              <w:jc w:val="right"/>
              <w:rPr>
                <w:sz w:val="18"/>
                <w:szCs w:val="18"/>
                <w:lang w:val="fr-FR" w:bidi="ar-SY"/>
              </w:rPr>
            </w:pPr>
            <w:r w:rsidRPr="003966DC">
              <w:rPr>
                <w:sz w:val="18"/>
                <w:szCs w:val="18"/>
                <w:lang w:val="fr-FR" w:bidi="ar-SY"/>
              </w:rPr>
              <w:t>3</w:t>
            </w:r>
            <w:r w:rsidR="00526ED7" w:rsidRPr="003966DC">
              <w:rPr>
                <w:sz w:val="18"/>
                <w:szCs w:val="18"/>
                <w:lang w:val="fr-FR" w:bidi="ar-SY"/>
              </w:rPr>
              <w:t> </w:t>
            </w:r>
            <w:r w:rsidRPr="003966DC">
              <w:rPr>
                <w:sz w:val="18"/>
                <w:szCs w:val="18"/>
                <w:lang w:val="fr-FR" w:bidi="ar-SY"/>
              </w:rPr>
              <w:t>2</w:t>
            </w:r>
            <w:r w:rsidR="00196F89" w:rsidRPr="003966DC">
              <w:rPr>
                <w:sz w:val="18"/>
                <w:szCs w:val="18"/>
                <w:lang w:val="fr-FR" w:bidi="ar-SY"/>
              </w:rPr>
              <w:t>52</w:t>
            </w:r>
            <w:r w:rsidR="00487B8A" w:rsidRPr="003966DC">
              <w:rPr>
                <w:sz w:val="18"/>
                <w:szCs w:val="18"/>
                <w:lang w:val="fr-FR" w:bidi="ar-SY"/>
              </w:rPr>
              <w:t>,</w:t>
            </w:r>
            <w:r w:rsidR="00196F89" w:rsidRPr="003966DC">
              <w:rPr>
                <w:sz w:val="18"/>
                <w:szCs w:val="18"/>
                <w:lang w:val="fr-FR" w:bidi="ar-SY"/>
              </w:rPr>
              <w:t>3</w:t>
            </w:r>
          </w:p>
        </w:tc>
        <w:tc>
          <w:tcPr>
            <w:tcW w:w="750" w:type="pct"/>
            <w:tcBorders>
              <w:top w:val="single" w:sz="4" w:space="0" w:color="auto"/>
            </w:tcBorders>
          </w:tcPr>
          <w:p w14:paraId="10FD3B09" w14:textId="30561C71" w:rsidR="00F364C6" w:rsidRPr="003966DC" w:rsidRDefault="00734390" w:rsidP="00A52B30">
            <w:pPr>
              <w:tabs>
                <w:tab w:val="clear" w:pos="1134"/>
              </w:tabs>
              <w:spacing w:before="40" w:after="40"/>
              <w:ind w:right="142"/>
              <w:jc w:val="right"/>
              <w:rPr>
                <w:sz w:val="18"/>
                <w:szCs w:val="18"/>
                <w:lang w:val="fr-FR" w:bidi="ar-SY"/>
              </w:rPr>
            </w:pPr>
            <w:r w:rsidRPr="003966DC">
              <w:rPr>
                <w:sz w:val="18"/>
                <w:szCs w:val="18"/>
                <w:lang w:val="fr-FR" w:bidi="ar-SY"/>
              </w:rPr>
              <w:t>3</w:t>
            </w:r>
            <w:r w:rsidR="007506A5" w:rsidRPr="003966DC">
              <w:rPr>
                <w:sz w:val="18"/>
                <w:szCs w:val="18"/>
                <w:lang w:val="fr-FR" w:bidi="ar-SY"/>
              </w:rPr>
              <w:t> </w:t>
            </w:r>
            <w:r w:rsidR="00196F89" w:rsidRPr="003966DC">
              <w:rPr>
                <w:sz w:val="18"/>
                <w:szCs w:val="18"/>
                <w:lang w:val="fr-FR" w:bidi="ar-SY"/>
              </w:rPr>
              <w:t>413</w:t>
            </w:r>
            <w:r w:rsidR="00487B8A" w:rsidRPr="003966DC">
              <w:rPr>
                <w:sz w:val="18"/>
                <w:szCs w:val="18"/>
                <w:lang w:val="fr-FR" w:bidi="ar-SY"/>
              </w:rPr>
              <w:t>,</w:t>
            </w:r>
            <w:r w:rsidR="00196F89" w:rsidRPr="003966DC">
              <w:rPr>
                <w:sz w:val="18"/>
                <w:szCs w:val="18"/>
                <w:lang w:val="fr-FR" w:bidi="ar-SY"/>
              </w:rPr>
              <w:t>0</w:t>
            </w:r>
          </w:p>
        </w:tc>
        <w:tc>
          <w:tcPr>
            <w:tcW w:w="915" w:type="pct"/>
            <w:tcBorders>
              <w:top w:val="single" w:sz="4" w:space="0" w:color="auto"/>
            </w:tcBorders>
          </w:tcPr>
          <w:p w14:paraId="5DCE78BF" w14:textId="4B37DDA8" w:rsidR="00F364C6" w:rsidRPr="003966DC" w:rsidRDefault="00734390" w:rsidP="00A52B30">
            <w:pPr>
              <w:spacing w:before="40" w:after="40"/>
              <w:ind w:right="135"/>
              <w:jc w:val="right"/>
              <w:rPr>
                <w:sz w:val="18"/>
                <w:szCs w:val="18"/>
                <w:lang w:val="fr-FR" w:bidi="ar-SY"/>
              </w:rPr>
            </w:pPr>
            <w:r w:rsidRPr="003966DC">
              <w:rPr>
                <w:sz w:val="18"/>
                <w:szCs w:val="18"/>
                <w:lang w:val="fr-FR" w:bidi="ar-SY"/>
              </w:rPr>
              <w:t>6</w:t>
            </w:r>
            <w:r w:rsidR="00656BB4" w:rsidRPr="003966DC">
              <w:rPr>
                <w:sz w:val="18"/>
                <w:szCs w:val="18"/>
                <w:lang w:val="fr-FR" w:bidi="ar-SY"/>
              </w:rPr>
              <w:t> </w:t>
            </w:r>
            <w:r w:rsidR="00196F89" w:rsidRPr="003966DC">
              <w:rPr>
                <w:sz w:val="18"/>
                <w:szCs w:val="18"/>
                <w:lang w:val="fr-FR" w:bidi="ar-SY"/>
              </w:rPr>
              <w:t>6</w:t>
            </w:r>
            <w:r w:rsidR="00D96601" w:rsidRPr="003966DC">
              <w:rPr>
                <w:sz w:val="18"/>
                <w:szCs w:val="18"/>
                <w:lang w:val="fr-FR" w:bidi="ar-SY"/>
              </w:rPr>
              <w:t>65</w:t>
            </w:r>
            <w:r w:rsidR="00487B8A" w:rsidRPr="003966DC">
              <w:rPr>
                <w:sz w:val="18"/>
                <w:szCs w:val="18"/>
                <w:lang w:val="fr-FR" w:bidi="ar-SY"/>
              </w:rPr>
              <w:t>,</w:t>
            </w:r>
            <w:r w:rsidR="00D96601" w:rsidRPr="003966DC">
              <w:rPr>
                <w:sz w:val="18"/>
                <w:szCs w:val="18"/>
                <w:lang w:val="fr-FR" w:bidi="ar-SY"/>
              </w:rPr>
              <w:t>3</w:t>
            </w:r>
          </w:p>
        </w:tc>
      </w:tr>
      <w:tr w:rsidR="00152339" w:rsidRPr="003966DC" w14:paraId="5C8547DE" w14:textId="77777777" w:rsidTr="00A52B30">
        <w:trPr>
          <w:trHeight w:val="211"/>
        </w:trPr>
        <w:tc>
          <w:tcPr>
            <w:tcW w:w="2501" w:type="pct"/>
          </w:tcPr>
          <w:p w14:paraId="41D02D36" w14:textId="6E1A16BC" w:rsidR="00F364C6" w:rsidRPr="003966DC" w:rsidRDefault="00185C29" w:rsidP="00A52B30">
            <w:pPr>
              <w:spacing w:before="40" w:after="40"/>
              <w:rPr>
                <w:sz w:val="18"/>
                <w:szCs w:val="18"/>
                <w:lang w:val="fr-FR" w:bidi="ar-SY"/>
              </w:rPr>
            </w:pPr>
            <w:r w:rsidRPr="003966DC">
              <w:rPr>
                <w:sz w:val="18"/>
                <w:szCs w:val="18"/>
                <w:lang w:val="fr-FR" w:bidi="ar-SY"/>
              </w:rPr>
              <w:t>Contributions du pays hôte</w:t>
            </w:r>
          </w:p>
        </w:tc>
        <w:tc>
          <w:tcPr>
            <w:tcW w:w="834" w:type="pct"/>
          </w:tcPr>
          <w:p w14:paraId="6A635638" w14:textId="4AC00884" w:rsidR="00F364C6" w:rsidRPr="003966DC" w:rsidRDefault="00F364C6" w:rsidP="00A52B30">
            <w:pPr>
              <w:spacing w:before="40" w:after="40"/>
              <w:ind w:right="140"/>
              <w:jc w:val="right"/>
              <w:rPr>
                <w:sz w:val="18"/>
                <w:szCs w:val="18"/>
                <w:lang w:val="fr-FR" w:bidi="ar-SY"/>
              </w:rPr>
            </w:pPr>
            <w:r w:rsidRPr="003966DC">
              <w:rPr>
                <w:sz w:val="18"/>
                <w:szCs w:val="18"/>
                <w:lang w:val="fr-FR" w:bidi="ar-SY"/>
              </w:rPr>
              <w:t>(</w:t>
            </w:r>
            <w:r w:rsidR="000333F8" w:rsidRPr="003966DC">
              <w:rPr>
                <w:sz w:val="18"/>
                <w:szCs w:val="18"/>
                <w:lang w:val="fr-FR" w:bidi="ar-SY"/>
              </w:rPr>
              <w:t>247</w:t>
            </w:r>
            <w:r w:rsidR="00487B8A" w:rsidRPr="003966DC">
              <w:rPr>
                <w:sz w:val="18"/>
                <w:szCs w:val="18"/>
                <w:lang w:val="fr-FR" w:bidi="ar-SY"/>
              </w:rPr>
              <w:t>,</w:t>
            </w:r>
            <w:r w:rsidR="000333F8" w:rsidRPr="003966DC">
              <w:rPr>
                <w:sz w:val="18"/>
                <w:szCs w:val="18"/>
                <w:lang w:val="fr-FR" w:bidi="ar-SY"/>
              </w:rPr>
              <w:t>9</w:t>
            </w:r>
            <w:r w:rsidRPr="003966DC">
              <w:rPr>
                <w:sz w:val="18"/>
                <w:szCs w:val="18"/>
                <w:lang w:val="fr-FR" w:bidi="ar-SY"/>
              </w:rPr>
              <w:t>)</w:t>
            </w:r>
          </w:p>
        </w:tc>
        <w:tc>
          <w:tcPr>
            <w:tcW w:w="750" w:type="pct"/>
          </w:tcPr>
          <w:p w14:paraId="7FEF87DE" w14:textId="3A60DC06"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w:t>
            </w:r>
            <w:r w:rsidR="00955DFE" w:rsidRPr="003966DC">
              <w:rPr>
                <w:sz w:val="18"/>
                <w:szCs w:val="18"/>
                <w:lang w:val="fr-FR" w:bidi="ar-SY"/>
              </w:rPr>
              <w:t>250</w:t>
            </w:r>
            <w:r w:rsidR="00487B8A" w:rsidRPr="003966DC">
              <w:rPr>
                <w:sz w:val="18"/>
                <w:szCs w:val="18"/>
                <w:lang w:val="fr-FR" w:bidi="ar-SY"/>
              </w:rPr>
              <w:t>,</w:t>
            </w:r>
            <w:r w:rsidR="00955DFE" w:rsidRPr="003966DC">
              <w:rPr>
                <w:sz w:val="18"/>
                <w:szCs w:val="18"/>
                <w:lang w:val="fr-FR" w:bidi="ar-SY"/>
              </w:rPr>
              <w:t>3</w:t>
            </w:r>
            <w:r w:rsidRPr="003966DC">
              <w:rPr>
                <w:sz w:val="18"/>
                <w:szCs w:val="18"/>
                <w:lang w:val="fr-FR" w:bidi="ar-SY"/>
              </w:rPr>
              <w:t>)</w:t>
            </w:r>
          </w:p>
        </w:tc>
        <w:tc>
          <w:tcPr>
            <w:tcW w:w="915" w:type="pct"/>
          </w:tcPr>
          <w:p w14:paraId="233C5493" w14:textId="77807C6A" w:rsidR="00F364C6" w:rsidRPr="003966DC" w:rsidRDefault="00F364C6" w:rsidP="00A52B30">
            <w:pPr>
              <w:spacing w:before="40" w:after="40"/>
              <w:ind w:right="135"/>
              <w:jc w:val="right"/>
              <w:rPr>
                <w:sz w:val="18"/>
                <w:szCs w:val="18"/>
                <w:lang w:val="fr-FR" w:bidi="ar-SY"/>
              </w:rPr>
            </w:pPr>
            <w:r w:rsidRPr="003966DC">
              <w:rPr>
                <w:sz w:val="18"/>
                <w:szCs w:val="18"/>
                <w:lang w:val="fr-FR" w:bidi="ar-SY"/>
              </w:rPr>
              <w:t>(</w:t>
            </w:r>
            <w:r w:rsidR="00955DFE" w:rsidRPr="003966DC">
              <w:rPr>
                <w:sz w:val="18"/>
                <w:szCs w:val="18"/>
                <w:lang w:val="fr-FR" w:bidi="ar-SY"/>
              </w:rPr>
              <w:t>498</w:t>
            </w:r>
            <w:r w:rsidR="00487B8A" w:rsidRPr="003966DC">
              <w:rPr>
                <w:sz w:val="18"/>
                <w:szCs w:val="18"/>
                <w:lang w:val="fr-FR" w:bidi="ar-SY"/>
              </w:rPr>
              <w:t>,</w:t>
            </w:r>
            <w:r w:rsidR="00955DFE" w:rsidRPr="003966DC">
              <w:rPr>
                <w:sz w:val="18"/>
                <w:szCs w:val="18"/>
                <w:lang w:val="fr-FR" w:bidi="ar-SY"/>
              </w:rPr>
              <w:t>2</w:t>
            </w:r>
            <w:r w:rsidRPr="003966DC">
              <w:rPr>
                <w:sz w:val="18"/>
                <w:szCs w:val="18"/>
                <w:lang w:val="fr-FR" w:bidi="ar-SY"/>
              </w:rPr>
              <w:t>)</w:t>
            </w:r>
          </w:p>
        </w:tc>
      </w:tr>
      <w:tr w:rsidR="00152339" w:rsidRPr="003966DC" w14:paraId="2EE9AB40" w14:textId="77777777" w:rsidTr="00A52B30">
        <w:trPr>
          <w:trHeight w:val="211"/>
        </w:trPr>
        <w:tc>
          <w:tcPr>
            <w:tcW w:w="2501" w:type="pct"/>
            <w:tcBorders>
              <w:bottom w:val="single" w:sz="4" w:space="0" w:color="auto"/>
            </w:tcBorders>
          </w:tcPr>
          <w:p w14:paraId="0022FFE5" w14:textId="5C379B84" w:rsidR="00F364C6" w:rsidRPr="003966DC" w:rsidRDefault="00BD37AA" w:rsidP="00A52B30">
            <w:pPr>
              <w:spacing w:before="40" w:after="40"/>
              <w:rPr>
                <w:sz w:val="18"/>
                <w:szCs w:val="18"/>
                <w:lang w:val="fr-FR" w:bidi="ar-SY"/>
              </w:rPr>
            </w:pPr>
            <w:r w:rsidRPr="003966DC">
              <w:rPr>
                <w:sz w:val="18"/>
                <w:szCs w:val="18"/>
                <w:lang w:val="fr-FR" w:bidi="ar-SY"/>
              </w:rPr>
              <w:t>U</w:t>
            </w:r>
            <w:r w:rsidR="00185C29" w:rsidRPr="003966DC">
              <w:rPr>
                <w:sz w:val="18"/>
                <w:szCs w:val="18"/>
                <w:lang w:val="fr-FR" w:bidi="ar-SY"/>
              </w:rPr>
              <w:t xml:space="preserve">tilisation des </w:t>
            </w:r>
            <w:r w:rsidR="00F364C6" w:rsidRPr="003966DC">
              <w:rPr>
                <w:sz w:val="18"/>
                <w:szCs w:val="18"/>
                <w:lang w:val="fr-FR" w:bidi="ar-SY"/>
              </w:rPr>
              <w:t>r</w:t>
            </w:r>
            <w:r w:rsidR="00185C29" w:rsidRPr="003966DC">
              <w:rPr>
                <w:sz w:val="18"/>
                <w:szCs w:val="18"/>
                <w:lang w:val="fr-FR" w:bidi="ar-SY"/>
              </w:rPr>
              <w:t>é</w:t>
            </w:r>
            <w:r w:rsidR="00F364C6" w:rsidRPr="003966DC">
              <w:rPr>
                <w:sz w:val="18"/>
                <w:szCs w:val="18"/>
                <w:lang w:val="fr-FR" w:bidi="ar-SY"/>
              </w:rPr>
              <w:t>serves</w:t>
            </w:r>
          </w:p>
        </w:tc>
        <w:tc>
          <w:tcPr>
            <w:tcW w:w="834" w:type="pct"/>
            <w:tcBorders>
              <w:bottom w:val="single" w:sz="4" w:space="0" w:color="auto"/>
            </w:tcBorders>
          </w:tcPr>
          <w:p w14:paraId="59BFAB6A" w14:textId="7085DA89" w:rsidR="00F364C6" w:rsidRPr="003966DC" w:rsidRDefault="00F364C6" w:rsidP="00A52B30">
            <w:pPr>
              <w:spacing w:before="40" w:after="40"/>
              <w:ind w:right="140"/>
              <w:jc w:val="right"/>
              <w:rPr>
                <w:sz w:val="18"/>
                <w:szCs w:val="18"/>
                <w:lang w:val="fr-FR" w:bidi="ar-SY"/>
              </w:rPr>
            </w:pPr>
            <w:r w:rsidRPr="003966DC">
              <w:rPr>
                <w:sz w:val="18"/>
                <w:szCs w:val="18"/>
                <w:lang w:val="fr-FR" w:bidi="ar-SY"/>
              </w:rPr>
              <w:t>(</w:t>
            </w:r>
            <w:r w:rsidR="002F120C" w:rsidRPr="003966DC">
              <w:rPr>
                <w:sz w:val="18"/>
                <w:szCs w:val="18"/>
                <w:lang w:val="fr-FR" w:bidi="ar-SY"/>
              </w:rPr>
              <w:t>71</w:t>
            </w:r>
            <w:r w:rsidR="00487B8A" w:rsidRPr="003966DC">
              <w:rPr>
                <w:sz w:val="18"/>
                <w:szCs w:val="18"/>
                <w:lang w:val="fr-FR" w:bidi="ar-SY"/>
              </w:rPr>
              <w:t>,</w:t>
            </w:r>
            <w:r w:rsidR="00617DAC" w:rsidRPr="003966DC">
              <w:rPr>
                <w:sz w:val="18"/>
                <w:szCs w:val="18"/>
                <w:lang w:val="fr-FR" w:bidi="ar-SY"/>
              </w:rPr>
              <w:t>3</w:t>
            </w:r>
            <w:r w:rsidRPr="003966DC">
              <w:rPr>
                <w:sz w:val="18"/>
                <w:szCs w:val="18"/>
                <w:lang w:val="fr-FR" w:bidi="ar-SY"/>
              </w:rPr>
              <w:t>)</w:t>
            </w:r>
          </w:p>
        </w:tc>
        <w:tc>
          <w:tcPr>
            <w:tcW w:w="750" w:type="pct"/>
            <w:tcBorders>
              <w:bottom w:val="single" w:sz="4" w:space="0" w:color="auto"/>
            </w:tcBorders>
          </w:tcPr>
          <w:p w14:paraId="291FD654" w14:textId="3FB6CB2D" w:rsidR="00F364C6" w:rsidRPr="003966DC" w:rsidRDefault="00F364C6" w:rsidP="00A52B30">
            <w:pPr>
              <w:tabs>
                <w:tab w:val="clear" w:pos="1134"/>
              </w:tabs>
              <w:spacing w:before="40" w:after="40"/>
              <w:ind w:right="142"/>
              <w:jc w:val="right"/>
              <w:rPr>
                <w:sz w:val="18"/>
                <w:szCs w:val="18"/>
                <w:lang w:val="fr-FR" w:bidi="ar-SY"/>
              </w:rPr>
            </w:pPr>
            <w:r w:rsidRPr="003966DC">
              <w:rPr>
                <w:sz w:val="18"/>
                <w:szCs w:val="18"/>
                <w:lang w:val="fr-FR" w:bidi="ar-SY"/>
              </w:rPr>
              <w:t>(</w:t>
            </w:r>
            <w:r w:rsidR="005F355B" w:rsidRPr="003966DC">
              <w:rPr>
                <w:sz w:val="18"/>
                <w:szCs w:val="18"/>
                <w:lang w:val="fr-FR" w:bidi="ar-SY"/>
              </w:rPr>
              <w:t>2</w:t>
            </w:r>
            <w:r w:rsidR="00D96601" w:rsidRPr="003966DC">
              <w:rPr>
                <w:sz w:val="18"/>
                <w:szCs w:val="18"/>
                <w:lang w:val="fr-FR" w:bidi="ar-SY"/>
              </w:rPr>
              <w:t>9</w:t>
            </w:r>
            <w:r w:rsidR="00487B8A" w:rsidRPr="003966DC">
              <w:rPr>
                <w:sz w:val="18"/>
                <w:szCs w:val="18"/>
                <w:lang w:val="fr-FR" w:bidi="ar-SY"/>
              </w:rPr>
              <w:t>,</w:t>
            </w:r>
            <w:r w:rsidR="00D96601" w:rsidRPr="003966DC">
              <w:rPr>
                <w:sz w:val="18"/>
                <w:szCs w:val="18"/>
                <w:lang w:val="fr-FR" w:bidi="ar-SY"/>
              </w:rPr>
              <w:t>0</w:t>
            </w:r>
            <w:r w:rsidRPr="003966DC">
              <w:rPr>
                <w:sz w:val="18"/>
                <w:szCs w:val="18"/>
                <w:lang w:val="fr-FR" w:bidi="ar-SY"/>
              </w:rPr>
              <w:t>)</w:t>
            </w:r>
          </w:p>
        </w:tc>
        <w:tc>
          <w:tcPr>
            <w:tcW w:w="915" w:type="pct"/>
            <w:tcBorders>
              <w:bottom w:val="single" w:sz="4" w:space="0" w:color="auto"/>
            </w:tcBorders>
          </w:tcPr>
          <w:p w14:paraId="456E2E0E" w14:textId="4712D609" w:rsidR="00F364C6" w:rsidRPr="003966DC" w:rsidRDefault="00F364C6" w:rsidP="00A52B30">
            <w:pPr>
              <w:spacing w:before="40" w:after="40"/>
              <w:ind w:right="135"/>
              <w:jc w:val="right"/>
              <w:rPr>
                <w:sz w:val="18"/>
                <w:szCs w:val="18"/>
                <w:lang w:val="fr-FR" w:bidi="ar-SY"/>
              </w:rPr>
            </w:pPr>
            <w:r w:rsidRPr="003966DC">
              <w:rPr>
                <w:sz w:val="18"/>
                <w:szCs w:val="18"/>
                <w:lang w:val="fr-FR" w:bidi="ar-SY"/>
              </w:rPr>
              <w:t>(</w:t>
            </w:r>
            <w:r w:rsidR="005F355B" w:rsidRPr="003966DC">
              <w:rPr>
                <w:sz w:val="18"/>
                <w:szCs w:val="18"/>
                <w:lang w:val="fr-FR" w:bidi="ar-SY"/>
              </w:rPr>
              <w:t>100</w:t>
            </w:r>
            <w:r w:rsidR="00487B8A" w:rsidRPr="003966DC">
              <w:rPr>
                <w:sz w:val="18"/>
                <w:szCs w:val="18"/>
                <w:lang w:val="fr-FR" w:bidi="ar-SY"/>
              </w:rPr>
              <w:t>,</w:t>
            </w:r>
            <w:r w:rsidR="00D96601" w:rsidRPr="003966DC">
              <w:rPr>
                <w:sz w:val="18"/>
                <w:szCs w:val="18"/>
                <w:lang w:val="fr-FR" w:bidi="ar-SY"/>
              </w:rPr>
              <w:t>3</w:t>
            </w:r>
            <w:r w:rsidRPr="003966DC">
              <w:rPr>
                <w:sz w:val="18"/>
                <w:szCs w:val="18"/>
                <w:lang w:val="fr-FR" w:bidi="ar-SY"/>
              </w:rPr>
              <w:t>)</w:t>
            </w:r>
          </w:p>
        </w:tc>
      </w:tr>
      <w:tr w:rsidR="00152339" w:rsidRPr="003966DC" w14:paraId="26337E84" w14:textId="77777777" w:rsidTr="00A52B30">
        <w:trPr>
          <w:trHeight w:val="211"/>
        </w:trPr>
        <w:tc>
          <w:tcPr>
            <w:tcW w:w="2501" w:type="pct"/>
            <w:tcBorders>
              <w:top w:val="single" w:sz="4" w:space="0" w:color="auto"/>
              <w:bottom w:val="single" w:sz="4" w:space="0" w:color="auto"/>
            </w:tcBorders>
          </w:tcPr>
          <w:p w14:paraId="555B79C2" w14:textId="129F5C67" w:rsidR="00F364C6" w:rsidRPr="003966DC" w:rsidRDefault="00ED3AEC" w:rsidP="00A52B30">
            <w:pPr>
              <w:spacing w:before="40" w:after="40"/>
              <w:ind w:left="284"/>
              <w:rPr>
                <w:b/>
                <w:bCs/>
                <w:sz w:val="18"/>
                <w:szCs w:val="18"/>
                <w:lang w:val="fr-FR" w:bidi="ar-SY"/>
              </w:rPr>
            </w:pPr>
            <w:r w:rsidRPr="003966DC">
              <w:rPr>
                <w:b/>
                <w:bCs/>
                <w:sz w:val="18"/>
                <w:szCs w:val="18"/>
                <w:lang w:val="fr-FR" w:bidi="ar-SY"/>
              </w:rPr>
              <w:t xml:space="preserve">Total net (somme à répartir entre les Parties) </w:t>
            </w:r>
          </w:p>
        </w:tc>
        <w:tc>
          <w:tcPr>
            <w:tcW w:w="834" w:type="pct"/>
            <w:tcBorders>
              <w:top w:val="single" w:sz="4" w:space="0" w:color="auto"/>
              <w:bottom w:val="single" w:sz="4" w:space="0" w:color="auto"/>
            </w:tcBorders>
          </w:tcPr>
          <w:p w14:paraId="315AFA91" w14:textId="69C77A06" w:rsidR="00F364C6" w:rsidRPr="003966DC" w:rsidRDefault="007A79A3" w:rsidP="00A52B30">
            <w:pPr>
              <w:spacing w:before="40" w:after="40"/>
              <w:ind w:right="140"/>
              <w:jc w:val="right"/>
              <w:rPr>
                <w:b/>
                <w:bCs/>
                <w:sz w:val="18"/>
                <w:szCs w:val="18"/>
                <w:lang w:val="fr-FR" w:bidi="ar-SY"/>
              </w:rPr>
            </w:pPr>
            <w:r w:rsidRPr="003966DC">
              <w:rPr>
                <w:b/>
                <w:bCs/>
                <w:sz w:val="18"/>
                <w:szCs w:val="18"/>
                <w:lang w:val="fr-FR" w:bidi="ar-SY"/>
              </w:rPr>
              <w:t>2</w:t>
            </w:r>
            <w:r w:rsidR="007506A5" w:rsidRPr="003966DC">
              <w:rPr>
                <w:b/>
                <w:bCs/>
                <w:sz w:val="18"/>
                <w:szCs w:val="18"/>
                <w:lang w:val="fr-FR" w:bidi="ar-SY"/>
              </w:rPr>
              <w:t> </w:t>
            </w:r>
            <w:r w:rsidRPr="003966DC">
              <w:rPr>
                <w:b/>
                <w:bCs/>
                <w:sz w:val="18"/>
                <w:szCs w:val="18"/>
                <w:lang w:val="fr-FR" w:bidi="ar-SY"/>
              </w:rPr>
              <w:t>9</w:t>
            </w:r>
            <w:r w:rsidR="006D334C" w:rsidRPr="003966DC">
              <w:rPr>
                <w:b/>
                <w:bCs/>
                <w:sz w:val="18"/>
                <w:szCs w:val="18"/>
                <w:lang w:val="fr-FR" w:bidi="ar-SY"/>
              </w:rPr>
              <w:t>33</w:t>
            </w:r>
            <w:r w:rsidR="00487B8A" w:rsidRPr="003966DC">
              <w:rPr>
                <w:b/>
                <w:bCs/>
                <w:sz w:val="18"/>
                <w:szCs w:val="18"/>
                <w:lang w:val="fr-FR" w:bidi="ar-SY"/>
              </w:rPr>
              <w:t>,</w:t>
            </w:r>
            <w:r w:rsidR="006D334C" w:rsidRPr="003966DC">
              <w:rPr>
                <w:b/>
                <w:bCs/>
                <w:sz w:val="18"/>
                <w:szCs w:val="18"/>
                <w:lang w:val="fr-FR" w:bidi="ar-SY"/>
              </w:rPr>
              <w:t>1</w:t>
            </w:r>
          </w:p>
        </w:tc>
        <w:tc>
          <w:tcPr>
            <w:tcW w:w="750" w:type="pct"/>
            <w:tcBorders>
              <w:top w:val="single" w:sz="4" w:space="0" w:color="auto"/>
              <w:bottom w:val="single" w:sz="4" w:space="0" w:color="auto"/>
            </w:tcBorders>
          </w:tcPr>
          <w:p w14:paraId="0A4B6685" w14:textId="55C692C0" w:rsidR="00F364C6" w:rsidRPr="003966DC" w:rsidRDefault="007A79A3" w:rsidP="00A52B30">
            <w:pPr>
              <w:tabs>
                <w:tab w:val="clear" w:pos="1134"/>
              </w:tabs>
              <w:spacing w:before="40" w:after="40"/>
              <w:ind w:right="142"/>
              <w:jc w:val="right"/>
              <w:rPr>
                <w:b/>
                <w:bCs/>
                <w:sz w:val="18"/>
                <w:szCs w:val="18"/>
                <w:lang w:val="fr-FR" w:bidi="ar-SY"/>
              </w:rPr>
            </w:pPr>
            <w:r w:rsidRPr="003966DC">
              <w:rPr>
                <w:b/>
                <w:bCs/>
                <w:sz w:val="18"/>
                <w:szCs w:val="18"/>
                <w:lang w:val="fr-FR" w:bidi="ar-SY"/>
              </w:rPr>
              <w:t>3</w:t>
            </w:r>
            <w:r w:rsidR="007506A5" w:rsidRPr="003966DC">
              <w:rPr>
                <w:b/>
                <w:bCs/>
                <w:sz w:val="18"/>
                <w:szCs w:val="18"/>
                <w:lang w:val="fr-FR" w:bidi="ar-SY"/>
              </w:rPr>
              <w:t> </w:t>
            </w:r>
            <w:r w:rsidR="006D334C" w:rsidRPr="003966DC">
              <w:rPr>
                <w:b/>
                <w:bCs/>
                <w:sz w:val="18"/>
                <w:szCs w:val="18"/>
                <w:lang w:val="fr-FR" w:bidi="ar-SY"/>
              </w:rPr>
              <w:t>133</w:t>
            </w:r>
            <w:r w:rsidR="00487B8A" w:rsidRPr="003966DC">
              <w:rPr>
                <w:b/>
                <w:bCs/>
                <w:sz w:val="18"/>
                <w:szCs w:val="18"/>
                <w:lang w:val="fr-FR" w:bidi="ar-SY"/>
              </w:rPr>
              <w:t>,</w:t>
            </w:r>
            <w:r w:rsidR="006D334C" w:rsidRPr="003966DC">
              <w:rPr>
                <w:b/>
                <w:bCs/>
                <w:sz w:val="18"/>
                <w:szCs w:val="18"/>
                <w:lang w:val="fr-FR" w:bidi="ar-SY"/>
              </w:rPr>
              <w:t>7</w:t>
            </w:r>
          </w:p>
        </w:tc>
        <w:tc>
          <w:tcPr>
            <w:tcW w:w="915" w:type="pct"/>
            <w:tcBorders>
              <w:top w:val="single" w:sz="4" w:space="0" w:color="auto"/>
              <w:bottom w:val="single" w:sz="4" w:space="0" w:color="auto"/>
            </w:tcBorders>
          </w:tcPr>
          <w:p w14:paraId="09A8A7A1" w14:textId="086C2D93" w:rsidR="00F364C6" w:rsidRPr="003966DC" w:rsidRDefault="00456EC2" w:rsidP="00A52B30">
            <w:pPr>
              <w:spacing w:before="40" w:after="40"/>
              <w:ind w:right="135"/>
              <w:jc w:val="right"/>
              <w:rPr>
                <w:b/>
                <w:bCs/>
                <w:sz w:val="18"/>
                <w:szCs w:val="18"/>
                <w:lang w:val="fr-FR" w:bidi="ar-SY"/>
              </w:rPr>
            </w:pPr>
            <w:r w:rsidRPr="003966DC">
              <w:rPr>
                <w:b/>
                <w:bCs/>
                <w:sz w:val="18"/>
                <w:szCs w:val="18"/>
                <w:lang w:val="fr-FR" w:bidi="ar-SY"/>
              </w:rPr>
              <w:t>6</w:t>
            </w:r>
            <w:r w:rsidR="00C707BB" w:rsidRPr="003966DC">
              <w:rPr>
                <w:b/>
                <w:bCs/>
                <w:sz w:val="18"/>
                <w:szCs w:val="18"/>
                <w:lang w:val="fr-FR" w:bidi="ar-SY"/>
              </w:rPr>
              <w:t> </w:t>
            </w:r>
            <w:r w:rsidRPr="003966DC">
              <w:rPr>
                <w:b/>
                <w:bCs/>
                <w:sz w:val="18"/>
                <w:szCs w:val="18"/>
                <w:lang w:val="fr-FR" w:bidi="ar-SY"/>
              </w:rPr>
              <w:t>0</w:t>
            </w:r>
            <w:r w:rsidR="006D334C" w:rsidRPr="003966DC">
              <w:rPr>
                <w:b/>
                <w:bCs/>
                <w:sz w:val="18"/>
                <w:szCs w:val="18"/>
                <w:lang w:val="fr-FR" w:bidi="ar-SY"/>
              </w:rPr>
              <w:t>66</w:t>
            </w:r>
            <w:r w:rsidR="00487B8A" w:rsidRPr="003966DC">
              <w:rPr>
                <w:b/>
                <w:bCs/>
                <w:sz w:val="18"/>
                <w:szCs w:val="18"/>
                <w:lang w:val="fr-FR" w:bidi="ar-SY"/>
              </w:rPr>
              <w:t>,</w:t>
            </w:r>
            <w:r w:rsidR="006D334C" w:rsidRPr="003966DC">
              <w:rPr>
                <w:b/>
                <w:bCs/>
                <w:sz w:val="18"/>
                <w:szCs w:val="18"/>
                <w:lang w:val="fr-FR" w:bidi="ar-SY"/>
              </w:rPr>
              <w:t>8</w:t>
            </w:r>
          </w:p>
        </w:tc>
      </w:tr>
    </w:tbl>
    <w:p w14:paraId="571D77B2" w14:textId="06245F55" w:rsidR="00A77E32" w:rsidRPr="003966DC" w:rsidRDefault="00A30394" w:rsidP="00A52B30">
      <w:pPr>
        <w:pStyle w:val="ListParagraph"/>
        <w:tabs>
          <w:tab w:val="clear" w:pos="567"/>
          <w:tab w:val="clear" w:pos="1134"/>
          <w:tab w:val="clear" w:pos="1701"/>
          <w:tab w:val="clear" w:pos="2268"/>
        </w:tabs>
        <w:snapToGrid w:val="0"/>
        <w:spacing w:before="40" w:after="40"/>
        <w:ind w:left="567"/>
        <w:contextualSpacing w:val="0"/>
        <w:jc w:val="left"/>
        <w:rPr>
          <w:sz w:val="18"/>
          <w:szCs w:val="18"/>
          <w:lang w:val="fr-FR"/>
        </w:rPr>
      </w:pPr>
      <w:bookmarkStart w:id="6" w:name="_Hlk183617566"/>
      <w:r w:rsidRPr="003966DC">
        <w:rPr>
          <w:i/>
          <w:iCs/>
          <w:sz w:val="18"/>
          <w:szCs w:val="18"/>
          <w:vertAlign w:val="superscript"/>
          <w:lang w:val="fr-FR" w:bidi="ar-SY"/>
        </w:rPr>
        <w:t>a</w:t>
      </w:r>
      <w:r w:rsidRPr="003966DC">
        <w:rPr>
          <w:i/>
          <w:iCs/>
          <w:sz w:val="18"/>
          <w:szCs w:val="18"/>
          <w:vertAlign w:val="superscript"/>
          <w:lang w:val="fr-FR" w:bidi="ar-SY"/>
        </w:rPr>
        <w:tab/>
      </w:r>
      <w:bookmarkEnd w:id="6"/>
      <w:r w:rsidR="00464BB5" w:rsidRPr="003966DC">
        <w:rPr>
          <w:rFonts w:asciiTheme="majorBidi" w:hAnsiTheme="majorBidi" w:cstheme="majorBidi"/>
          <w:sz w:val="18"/>
          <w:szCs w:val="18"/>
          <w:lang w:val="fr-FR"/>
        </w:rPr>
        <w:t xml:space="preserve">Première réunion de l’Organe subsidiaire </w:t>
      </w:r>
      <w:r w:rsidR="006D11A4" w:rsidRPr="003966DC">
        <w:rPr>
          <w:rFonts w:asciiTheme="majorBidi" w:hAnsiTheme="majorBidi" w:cstheme="majorBidi"/>
          <w:sz w:val="18"/>
          <w:szCs w:val="18"/>
          <w:lang w:val="fr-FR"/>
        </w:rPr>
        <w:t xml:space="preserve">chargé de l’article 8 j) et des autres </w:t>
      </w:r>
      <w:r w:rsidR="00C0598E" w:rsidRPr="003966DC">
        <w:rPr>
          <w:rFonts w:asciiTheme="majorBidi" w:hAnsiTheme="majorBidi" w:cstheme="majorBidi"/>
          <w:sz w:val="18"/>
          <w:szCs w:val="18"/>
          <w:lang w:val="fr-FR"/>
        </w:rPr>
        <w:t>dispositions de la Convention sur la diversité biologique relatives aux peuples autochtones et aux communautés locales</w:t>
      </w:r>
      <w:r w:rsidR="008F6E48" w:rsidRPr="003966DC">
        <w:rPr>
          <w:rFonts w:asciiTheme="majorBidi" w:hAnsiTheme="majorBidi" w:cstheme="majorBidi"/>
          <w:sz w:val="18"/>
          <w:szCs w:val="18"/>
          <w:lang w:val="fr-FR"/>
        </w:rPr>
        <w:t> </w:t>
      </w:r>
      <w:r w:rsidR="007B2395" w:rsidRPr="003966DC">
        <w:rPr>
          <w:sz w:val="18"/>
          <w:szCs w:val="18"/>
          <w:lang w:val="fr-FR"/>
        </w:rPr>
        <w:t>;</w:t>
      </w:r>
      <w:r w:rsidR="00840095" w:rsidRPr="003966DC">
        <w:rPr>
          <w:sz w:val="18"/>
          <w:szCs w:val="18"/>
          <w:lang w:val="fr-FR"/>
        </w:rPr>
        <w:t xml:space="preserve"> </w:t>
      </w:r>
      <w:r w:rsidR="002074BF" w:rsidRPr="003966DC">
        <w:rPr>
          <w:sz w:val="18"/>
          <w:szCs w:val="18"/>
          <w:lang w:val="fr-FR"/>
        </w:rPr>
        <w:t xml:space="preserve">vingt-septième et vingt-huitième réunions de </w:t>
      </w:r>
      <w:r w:rsidR="00B943E3" w:rsidRPr="003966DC">
        <w:rPr>
          <w:sz w:val="18"/>
          <w:szCs w:val="18"/>
          <w:lang w:val="fr-FR"/>
        </w:rPr>
        <w:t>l’Organe subsidiaire chargé de fournir des avis scientifiques, techniques et technologiques</w:t>
      </w:r>
      <w:r w:rsidR="0063427E" w:rsidRPr="003966DC">
        <w:rPr>
          <w:sz w:val="18"/>
          <w:szCs w:val="18"/>
          <w:lang w:val="fr-FR"/>
        </w:rPr>
        <w:t> </w:t>
      </w:r>
      <w:r w:rsidR="00840095" w:rsidRPr="003966DC">
        <w:rPr>
          <w:sz w:val="18"/>
          <w:szCs w:val="18"/>
          <w:lang w:val="fr-FR"/>
        </w:rPr>
        <w:t>; s</w:t>
      </w:r>
      <w:r w:rsidR="00A77E32" w:rsidRPr="003966DC">
        <w:rPr>
          <w:sz w:val="18"/>
          <w:szCs w:val="18"/>
          <w:lang w:val="fr-FR"/>
        </w:rPr>
        <w:t>ix</w:t>
      </w:r>
      <w:r w:rsidR="0063427E" w:rsidRPr="003966DC">
        <w:rPr>
          <w:sz w:val="18"/>
          <w:szCs w:val="18"/>
          <w:lang w:val="fr-FR"/>
        </w:rPr>
        <w:t xml:space="preserve">ième </w:t>
      </w:r>
      <w:r w:rsidR="00DC3324" w:rsidRPr="003966DC">
        <w:rPr>
          <w:sz w:val="18"/>
          <w:szCs w:val="18"/>
          <w:lang w:val="fr-FR"/>
        </w:rPr>
        <w:t>réunion de l’Organe subsidiaire chargé de l’application</w:t>
      </w:r>
      <w:r w:rsidR="00AB3ACD" w:rsidRPr="003966DC">
        <w:rPr>
          <w:sz w:val="18"/>
          <w:szCs w:val="18"/>
          <w:lang w:val="fr-FR"/>
        </w:rPr>
        <w:t> </w:t>
      </w:r>
      <w:r w:rsidRPr="003966DC">
        <w:rPr>
          <w:sz w:val="18"/>
          <w:szCs w:val="18"/>
          <w:lang w:val="fr-FR"/>
        </w:rPr>
        <w:t>;</w:t>
      </w:r>
      <w:r w:rsidR="00CB3358" w:rsidRPr="003966DC">
        <w:rPr>
          <w:sz w:val="18"/>
          <w:szCs w:val="18"/>
          <w:lang w:val="fr-FR"/>
        </w:rPr>
        <w:t xml:space="preserve"> </w:t>
      </w:r>
      <w:r w:rsidR="006408EC" w:rsidRPr="003966DC">
        <w:rPr>
          <w:sz w:val="18"/>
          <w:szCs w:val="18"/>
          <w:lang w:val="fr-FR"/>
        </w:rPr>
        <w:t>dix</w:t>
      </w:r>
      <w:r w:rsidR="008A4C34" w:rsidRPr="003966DC">
        <w:rPr>
          <w:sz w:val="18"/>
          <w:szCs w:val="18"/>
          <w:lang w:val="fr-FR"/>
        </w:rPr>
        <w:t xml:space="preserve">-septième </w:t>
      </w:r>
      <w:r w:rsidR="006408EC" w:rsidRPr="003966DC">
        <w:rPr>
          <w:sz w:val="18"/>
          <w:szCs w:val="18"/>
          <w:lang w:val="fr-FR"/>
        </w:rPr>
        <w:t>réunion de la Conférence des Parties à la Convention</w:t>
      </w:r>
      <w:r w:rsidR="00840095" w:rsidRPr="003966DC">
        <w:rPr>
          <w:sz w:val="18"/>
          <w:szCs w:val="18"/>
          <w:lang w:val="fr-FR"/>
        </w:rPr>
        <w:t xml:space="preserve">, </w:t>
      </w:r>
      <w:r w:rsidR="008A4C34" w:rsidRPr="003966DC">
        <w:rPr>
          <w:sz w:val="18"/>
          <w:szCs w:val="18"/>
          <w:lang w:val="fr-FR"/>
        </w:rPr>
        <w:t xml:space="preserve">douzième </w:t>
      </w:r>
      <w:r w:rsidR="00627C69" w:rsidRPr="003966DC">
        <w:rPr>
          <w:sz w:val="18"/>
          <w:szCs w:val="18"/>
          <w:lang w:val="fr-FR"/>
        </w:rPr>
        <w:t>réunion de la Conférence des Parties siégeant en tant que réunion des Parties au Protocole de Cartagena</w:t>
      </w:r>
      <w:r w:rsidR="000B0911" w:rsidRPr="003966DC">
        <w:rPr>
          <w:sz w:val="18"/>
          <w:szCs w:val="18"/>
          <w:lang w:val="fr-FR"/>
        </w:rPr>
        <w:t xml:space="preserve">, et </w:t>
      </w:r>
      <w:r w:rsidR="000B0911" w:rsidRPr="003966DC">
        <w:rPr>
          <w:sz w:val="18"/>
          <w:szCs w:val="18"/>
          <w:lang w:val="fr-FR"/>
        </w:rPr>
        <w:lastRenderedPageBreak/>
        <w:t xml:space="preserve">sixième réunion de la Conférence des Parties siégeant en tant que réunion des Parties au Protocole de </w:t>
      </w:r>
      <w:r w:rsidR="00A77E32" w:rsidRPr="003966DC">
        <w:rPr>
          <w:sz w:val="18"/>
          <w:szCs w:val="18"/>
          <w:lang w:val="fr-FR"/>
        </w:rPr>
        <w:t>Nagoya</w:t>
      </w:r>
      <w:r w:rsidR="000B0911" w:rsidRPr="003966DC">
        <w:rPr>
          <w:sz w:val="18"/>
          <w:szCs w:val="18"/>
          <w:lang w:val="fr-FR"/>
        </w:rPr>
        <w:t xml:space="preserve">, </w:t>
      </w:r>
      <w:r w:rsidR="00CB3358" w:rsidRPr="003966DC">
        <w:rPr>
          <w:sz w:val="18"/>
          <w:szCs w:val="18"/>
          <w:lang w:val="fr-FR"/>
        </w:rPr>
        <w:t>tenues de façon concomitante</w:t>
      </w:r>
      <w:r w:rsidR="00CE2B46" w:rsidRPr="003966DC">
        <w:rPr>
          <w:sz w:val="18"/>
          <w:szCs w:val="18"/>
          <w:lang w:val="fr-FR"/>
        </w:rPr>
        <w:t>.</w:t>
      </w:r>
    </w:p>
    <w:p w14:paraId="5BF5E063" w14:textId="0C92646C" w:rsidR="00265079" w:rsidRPr="003966DC" w:rsidRDefault="00265079" w:rsidP="00265079">
      <w:pPr>
        <w:pStyle w:val="CBDTableTitle"/>
        <w:rPr>
          <w:lang w:val="fr-FR"/>
        </w:rPr>
      </w:pPr>
      <w:r w:rsidRPr="003966DC">
        <w:rPr>
          <w:b w:val="0"/>
          <w:bCs/>
          <w:lang w:val="fr-FR"/>
        </w:rPr>
        <w:t>Table</w:t>
      </w:r>
      <w:r w:rsidR="0075239E" w:rsidRPr="003966DC">
        <w:rPr>
          <w:b w:val="0"/>
          <w:bCs/>
          <w:lang w:val="fr-FR"/>
        </w:rPr>
        <w:t>au</w:t>
      </w:r>
      <w:r w:rsidRPr="003966DC">
        <w:rPr>
          <w:b w:val="0"/>
          <w:bCs/>
          <w:lang w:val="fr-FR"/>
        </w:rPr>
        <w:t xml:space="preserve"> 2</w:t>
      </w:r>
      <w:r w:rsidRPr="003966DC">
        <w:rPr>
          <w:b w:val="0"/>
          <w:bCs/>
          <w:lang w:val="fr-FR"/>
        </w:rPr>
        <w:br/>
      </w:r>
      <w:r w:rsidR="0001045C" w:rsidRPr="003966DC">
        <w:rPr>
          <w:lang w:val="fr-FR" w:bidi="ar-SY"/>
        </w:rPr>
        <w:t xml:space="preserve">Budget intégré des fonds d’affectation spéciale de base de la Convention et de ses Protocoles pour l’exercice biennal 2025-2026 (par </w:t>
      </w:r>
      <w:r w:rsidR="008647F5" w:rsidRPr="003966DC">
        <w:rPr>
          <w:lang w:val="fr-FR" w:bidi="ar-SY"/>
        </w:rPr>
        <w:t>composante</w:t>
      </w:r>
      <w:r w:rsidR="0001045C" w:rsidRPr="003966DC">
        <w:rPr>
          <w:lang w:val="fr-FR" w:bidi="ar-SY"/>
        </w:rPr>
        <w:t>)</w:t>
      </w:r>
      <w:r w:rsidR="008647F5" w:rsidRPr="003966DC">
        <w:rPr>
          <w:lang w:val="fr-FR" w:bidi="ar-SY"/>
        </w:rPr>
        <w:t xml:space="preserve"> </w:t>
      </w:r>
    </w:p>
    <w:p w14:paraId="3BDE2292" w14:textId="71F01087" w:rsidR="007D2238" w:rsidRPr="003966DC" w:rsidRDefault="007D2238" w:rsidP="00A52B30">
      <w:pPr>
        <w:pStyle w:val="CBDTableTitle"/>
        <w:rPr>
          <w:bCs/>
          <w:lang w:val="fr-FR"/>
        </w:rPr>
      </w:pPr>
      <w:r w:rsidRPr="003966DC">
        <w:rPr>
          <w:rFonts w:eastAsia="Times New Roman"/>
          <w:b w:val="0"/>
          <w:bCs/>
          <w:color w:val="000000" w:themeColor="text1"/>
          <w:kern w:val="20"/>
          <w:sz w:val="17"/>
          <w:szCs w:val="17"/>
          <w:lang w:val="fr-FR" w:eastAsia="zh-CN"/>
        </w:rPr>
        <w:t>(</w:t>
      </w:r>
      <w:r w:rsidR="003E3796" w:rsidRPr="003966DC">
        <w:rPr>
          <w:rFonts w:eastAsia="Times New Roman"/>
          <w:b w:val="0"/>
          <w:bCs/>
          <w:color w:val="000000" w:themeColor="text1"/>
          <w:kern w:val="20"/>
          <w:sz w:val="17"/>
          <w:szCs w:val="17"/>
          <w:lang w:val="fr-FR" w:eastAsia="zh-CN"/>
        </w:rPr>
        <w:t>en milliers de dollars É.-U.</w:t>
      </w:r>
      <w:r w:rsidRPr="003966DC">
        <w:rPr>
          <w:rFonts w:eastAsia="Times New Roman"/>
          <w:b w:val="0"/>
          <w:bCs/>
          <w:color w:val="000000" w:themeColor="text1"/>
          <w:kern w:val="20"/>
          <w:sz w:val="17"/>
          <w:szCs w:val="17"/>
          <w:lang w:val="fr-FR" w:eastAsia="zh-CN"/>
        </w:rPr>
        <w:t>)</w:t>
      </w:r>
    </w:p>
    <w:tbl>
      <w:tblPr>
        <w:tblW w:w="8133" w:type="dxa"/>
        <w:tblInd w:w="567" w:type="dxa"/>
        <w:tblLook w:val="04A0" w:firstRow="1" w:lastRow="0" w:firstColumn="1" w:lastColumn="0" w:noHBand="0" w:noVBand="1"/>
      </w:tblPr>
      <w:tblGrid>
        <w:gridCol w:w="4593"/>
        <w:gridCol w:w="1180"/>
        <w:gridCol w:w="1180"/>
        <w:gridCol w:w="1180"/>
      </w:tblGrid>
      <w:tr w:rsidR="007672A3" w:rsidRPr="003966DC" w14:paraId="7A352DD5" w14:textId="77777777" w:rsidTr="00A52B30">
        <w:trPr>
          <w:trHeight w:val="290"/>
        </w:trPr>
        <w:tc>
          <w:tcPr>
            <w:tcW w:w="4593" w:type="dxa"/>
            <w:tcBorders>
              <w:top w:val="nil"/>
              <w:left w:val="nil"/>
              <w:bottom w:val="nil"/>
              <w:right w:val="nil"/>
            </w:tcBorders>
            <w:shd w:val="clear" w:color="auto" w:fill="auto"/>
            <w:vAlign w:val="bottom"/>
          </w:tcPr>
          <w:p w14:paraId="1FCF5961" w14:textId="111EBB28" w:rsidR="007672A3" w:rsidRPr="003966DC" w:rsidRDefault="00045979" w:rsidP="004F5EAC">
            <w:pPr>
              <w:keepNext/>
              <w:keepLines/>
              <w:tabs>
                <w:tab w:val="clear" w:pos="567"/>
                <w:tab w:val="clear" w:pos="1134"/>
                <w:tab w:val="clear" w:pos="1701"/>
                <w:tab w:val="clear" w:pos="2268"/>
              </w:tabs>
              <w:jc w:val="left"/>
              <w:rPr>
                <w:rFonts w:eastAsia="Times New Roman"/>
                <w:i/>
                <w:iCs/>
                <w:color w:val="000000"/>
                <w:sz w:val="18"/>
                <w:szCs w:val="18"/>
                <w:lang w:val="fr-FR" w:eastAsia="zh-CN"/>
              </w:rPr>
            </w:pPr>
            <w:r w:rsidRPr="003966DC">
              <w:rPr>
                <w:rFonts w:eastAsia="Times New Roman"/>
                <w:i/>
                <w:iCs/>
                <w:color w:val="000000"/>
                <w:sz w:val="18"/>
                <w:szCs w:val="18"/>
                <w:lang w:val="fr-FR" w:eastAsia="zh-CN"/>
              </w:rPr>
              <w:t>Compo</w:t>
            </w:r>
            <w:r w:rsidR="001E1623" w:rsidRPr="003966DC">
              <w:rPr>
                <w:rFonts w:eastAsia="Times New Roman"/>
                <w:i/>
                <w:iCs/>
                <w:color w:val="000000"/>
                <w:sz w:val="18"/>
                <w:szCs w:val="18"/>
                <w:lang w:val="fr-FR" w:eastAsia="zh-CN"/>
              </w:rPr>
              <w:t xml:space="preserve">sante </w:t>
            </w:r>
          </w:p>
        </w:tc>
        <w:tc>
          <w:tcPr>
            <w:tcW w:w="1180" w:type="dxa"/>
            <w:tcBorders>
              <w:top w:val="nil"/>
              <w:left w:val="nil"/>
              <w:bottom w:val="nil"/>
              <w:right w:val="nil"/>
            </w:tcBorders>
            <w:shd w:val="clear" w:color="auto" w:fill="auto"/>
            <w:vAlign w:val="bottom"/>
          </w:tcPr>
          <w:p w14:paraId="70A4AFE8" w14:textId="77777777"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i/>
                <w:iCs/>
                <w:color w:val="000000"/>
                <w:sz w:val="18"/>
                <w:szCs w:val="18"/>
                <w:lang w:val="fr-FR" w:eastAsia="zh-CN"/>
              </w:rPr>
              <w:t>2025</w:t>
            </w:r>
          </w:p>
        </w:tc>
        <w:tc>
          <w:tcPr>
            <w:tcW w:w="1180" w:type="dxa"/>
            <w:tcBorders>
              <w:top w:val="nil"/>
              <w:left w:val="nil"/>
              <w:bottom w:val="nil"/>
              <w:right w:val="nil"/>
            </w:tcBorders>
            <w:shd w:val="clear" w:color="auto" w:fill="auto"/>
            <w:vAlign w:val="bottom"/>
          </w:tcPr>
          <w:p w14:paraId="78FD5708" w14:textId="77777777"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i/>
                <w:iCs/>
                <w:color w:val="000000"/>
                <w:sz w:val="18"/>
                <w:szCs w:val="18"/>
                <w:lang w:val="fr-FR" w:eastAsia="zh-CN"/>
              </w:rPr>
              <w:t>2026</w:t>
            </w:r>
          </w:p>
        </w:tc>
        <w:tc>
          <w:tcPr>
            <w:tcW w:w="1180" w:type="dxa"/>
            <w:tcBorders>
              <w:top w:val="nil"/>
              <w:left w:val="nil"/>
              <w:bottom w:val="nil"/>
              <w:right w:val="nil"/>
            </w:tcBorders>
            <w:shd w:val="clear" w:color="auto" w:fill="auto"/>
            <w:vAlign w:val="bottom"/>
          </w:tcPr>
          <w:p w14:paraId="2A00C292" w14:textId="1D0E2FD3" w:rsidR="007672A3" w:rsidRPr="003966DC" w:rsidRDefault="007672A3" w:rsidP="00A52B30">
            <w:pPr>
              <w:keepNext/>
              <w:keepLines/>
              <w:tabs>
                <w:tab w:val="clear" w:pos="567"/>
                <w:tab w:val="clear" w:pos="1134"/>
                <w:tab w:val="clear" w:pos="1701"/>
                <w:tab w:val="clear" w:pos="2268"/>
              </w:tabs>
              <w:jc w:val="right"/>
              <w:rPr>
                <w:rFonts w:eastAsia="Times New Roman"/>
                <w:b/>
                <w:bCs/>
                <w:color w:val="000000"/>
                <w:sz w:val="18"/>
                <w:szCs w:val="18"/>
                <w:lang w:val="fr-FR" w:eastAsia="zh-CN"/>
              </w:rPr>
            </w:pPr>
            <w:r w:rsidRPr="003966DC">
              <w:rPr>
                <w:rFonts w:eastAsia="Times New Roman"/>
                <w:i/>
                <w:iCs/>
                <w:color w:val="000000"/>
                <w:sz w:val="18"/>
                <w:szCs w:val="18"/>
                <w:lang w:val="fr-FR" w:eastAsia="zh-CN"/>
              </w:rPr>
              <w:t>2025</w:t>
            </w:r>
            <w:r w:rsidR="00C65968" w:rsidRPr="003966DC">
              <w:rPr>
                <w:rFonts w:eastAsia="Times New Roman"/>
                <w:i/>
                <w:iCs/>
                <w:color w:val="000000"/>
                <w:sz w:val="18"/>
                <w:szCs w:val="18"/>
                <w:lang w:val="fr-FR" w:eastAsia="zh-CN"/>
              </w:rPr>
              <w:t>-</w:t>
            </w:r>
            <w:r w:rsidRPr="003966DC">
              <w:rPr>
                <w:rFonts w:eastAsia="Times New Roman"/>
                <w:i/>
                <w:iCs/>
                <w:color w:val="000000"/>
                <w:sz w:val="18"/>
                <w:szCs w:val="18"/>
                <w:lang w:val="fr-FR" w:eastAsia="zh-CN"/>
              </w:rPr>
              <w:t>2026</w:t>
            </w:r>
          </w:p>
        </w:tc>
      </w:tr>
      <w:tr w:rsidR="007672A3" w:rsidRPr="003966DC" w14:paraId="6A7D2BAB" w14:textId="77777777" w:rsidTr="00A52B30">
        <w:trPr>
          <w:trHeight w:val="290"/>
        </w:trPr>
        <w:tc>
          <w:tcPr>
            <w:tcW w:w="4593" w:type="dxa"/>
            <w:tcBorders>
              <w:top w:val="single" w:sz="4" w:space="0" w:color="auto"/>
              <w:left w:val="nil"/>
              <w:bottom w:val="nil"/>
              <w:right w:val="nil"/>
            </w:tcBorders>
            <w:shd w:val="clear" w:color="auto" w:fill="auto"/>
            <w:vAlign w:val="center"/>
            <w:hideMark/>
          </w:tcPr>
          <w:p w14:paraId="039BECDC" w14:textId="6931973A" w:rsidR="007672A3" w:rsidRPr="003966DC" w:rsidRDefault="007672A3" w:rsidP="007243AD">
            <w:pPr>
              <w:keepNext/>
              <w:keepLines/>
              <w:tabs>
                <w:tab w:val="clear" w:pos="567"/>
                <w:tab w:val="clear" w:pos="1134"/>
                <w:tab w:val="clear" w:pos="1701"/>
                <w:tab w:val="clear" w:pos="2268"/>
              </w:tabs>
              <w:jc w:val="left"/>
              <w:rPr>
                <w:rFonts w:eastAsia="Times New Roman"/>
                <w:color w:val="000000"/>
                <w:sz w:val="18"/>
                <w:szCs w:val="18"/>
                <w:lang w:val="fr-FR" w:eastAsia="zh-CN"/>
              </w:rPr>
            </w:pPr>
            <w:r w:rsidRPr="003966DC">
              <w:rPr>
                <w:rFonts w:eastAsia="Times New Roman"/>
                <w:color w:val="000000"/>
                <w:sz w:val="18"/>
                <w:szCs w:val="18"/>
                <w:lang w:val="fr-FR" w:eastAsia="zh-CN"/>
              </w:rPr>
              <w:t xml:space="preserve">A. </w:t>
            </w:r>
            <w:r w:rsidR="001E1623" w:rsidRPr="003966DC">
              <w:rPr>
                <w:rFonts w:eastAsia="Times New Roman"/>
                <w:color w:val="000000"/>
                <w:sz w:val="18"/>
                <w:szCs w:val="18"/>
                <w:lang w:val="fr-FR" w:eastAsia="zh-CN"/>
              </w:rPr>
              <w:t xml:space="preserve">Organes directeurs et subsidiaires </w:t>
            </w:r>
          </w:p>
        </w:tc>
        <w:tc>
          <w:tcPr>
            <w:tcW w:w="1180" w:type="dxa"/>
            <w:tcBorders>
              <w:top w:val="single" w:sz="4" w:space="0" w:color="auto"/>
              <w:left w:val="nil"/>
              <w:bottom w:val="nil"/>
              <w:right w:val="nil"/>
            </w:tcBorders>
            <w:shd w:val="clear" w:color="auto" w:fill="auto"/>
            <w:vAlign w:val="center"/>
            <w:hideMark/>
          </w:tcPr>
          <w:p w14:paraId="0FDA53D8" w14:textId="67D178CC"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2 611</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2</w:t>
            </w:r>
          </w:p>
        </w:tc>
        <w:tc>
          <w:tcPr>
            <w:tcW w:w="1180" w:type="dxa"/>
            <w:tcBorders>
              <w:top w:val="single" w:sz="4" w:space="0" w:color="auto"/>
              <w:left w:val="nil"/>
              <w:bottom w:val="nil"/>
              <w:right w:val="nil"/>
            </w:tcBorders>
            <w:shd w:val="clear" w:color="auto" w:fill="auto"/>
            <w:vAlign w:val="center"/>
            <w:hideMark/>
          </w:tcPr>
          <w:p w14:paraId="45CF477B" w14:textId="1F5AF6C2"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3 082</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7</w:t>
            </w:r>
          </w:p>
        </w:tc>
        <w:tc>
          <w:tcPr>
            <w:tcW w:w="1180" w:type="dxa"/>
            <w:tcBorders>
              <w:top w:val="single" w:sz="4" w:space="0" w:color="auto"/>
              <w:left w:val="nil"/>
              <w:bottom w:val="nil"/>
              <w:right w:val="nil"/>
            </w:tcBorders>
            <w:shd w:val="clear" w:color="auto" w:fill="auto"/>
            <w:vAlign w:val="center"/>
            <w:hideMark/>
          </w:tcPr>
          <w:p w14:paraId="3BF6147F" w14:textId="7FEC738C"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5 693</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9</w:t>
            </w:r>
          </w:p>
        </w:tc>
      </w:tr>
      <w:tr w:rsidR="007672A3" w:rsidRPr="003966DC" w14:paraId="23639257" w14:textId="77777777" w:rsidTr="00A52B30">
        <w:trPr>
          <w:trHeight w:val="290"/>
        </w:trPr>
        <w:tc>
          <w:tcPr>
            <w:tcW w:w="4593" w:type="dxa"/>
            <w:tcBorders>
              <w:top w:val="nil"/>
              <w:left w:val="nil"/>
              <w:bottom w:val="nil"/>
              <w:right w:val="nil"/>
            </w:tcBorders>
            <w:shd w:val="clear" w:color="auto" w:fill="auto"/>
            <w:vAlign w:val="center"/>
            <w:hideMark/>
          </w:tcPr>
          <w:p w14:paraId="5F012FA9" w14:textId="36CD4EC1" w:rsidR="007672A3" w:rsidRPr="003966DC" w:rsidRDefault="007672A3" w:rsidP="007243AD">
            <w:pPr>
              <w:keepNext/>
              <w:keepLines/>
              <w:tabs>
                <w:tab w:val="clear" w:pos="567"/>
                <w:tab w:val="clear" w:pos="1134"/>
                <w:tab w:val="clear" w:pos="1701"/>
                <w:tab w:val="clear" w:pos="2268"/>
              </w:tabs>
              <w:jc w:val="left"/>
              <w:rPr>
                <w:rFonts w:eastAsia="Times New Roman"/>
                <w:color w:val="000000"/>
                <w:sz w:val="18"/>
                <w:szCs w:val="18"/>
                <w:lang w:val="fr-FR" w:eastAsia="zh-CN"/>
              </w:rPr>
            </w:pPr>
            <w:r w:rsidRPr="003966DC">
              <w:rPr>
                <w:rFonts w:eastAsia="Times New Roman"/>
                <w:color w:val="000000"/>
                <w:sz w:val="18"/>
                <w:szCs w:val="18"/>
                <w:lang w:val="fr-FR" w:eastAsia="zh-CN"/>
              </w:rPr>
              <w:t xml:space="preserve">B. </w:t>
            </w:r>
            <w:r w:rsidR="00C65968" w:rsidRPr="003966DC">
              <w:rPr>
                <w:rFonts w:eastAsia="Times New Roman"/>
                <w:color w:val="000000"/>
                <w:sz w:val="18"/>
                <w:szCs w:val="18"/>
                <w:lang w:val="fr-FR" w:eastAsia="zh-CN"/>
              </w:rPr>
              <w:t xml:space="preserve">Direction et administration </w:t>
            </w:r>
          </w:p>
        </w:tc>
        <w:tc>
          <w:tcPr>
            <w:tcW w:w="1180" w:type="dxa"/>
            <w:tcBorders>
              <w:top w:val="nil"/>
              <w:left w:val="nil"/>
              <w:bottom w:val="nil"/>
              <w:right w:val="nil"/>
            </w:tcBorders>
            <w:shd w:val="clear" w:color="auto" w:fill="auto"/>
            <w:vAlign w:val="center"/>
            <w:hideMark/>
          </w:tcPr>
          <w:p w14:paraId="4B8E5FDA" w14:textId="4E0ECA64"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2 946</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8</w:t>
            </w:r>
          </w:p>
        </w:tc>
        <w:tc>
          <w:tcPr>
            <w:tcW w:w="1180" w:type="dxa"/>
            <w:tcBorders>
              <w:top w:val="nil"/>
              <w:left w:val="nil"/>
              <w:bottom w:val="nil"/>
              <w:right w:val="nil"/>
            </w:tcBorders>
            <w:shd w:val="clear" w:color="auto" w:fill="auto"/>
            <w:vAlign w:val="center"/>
            <w:hideMark/>
          </w:tcPr>
          <w:p w14:paraId="300018E5" w14:textId="7F84C8DE"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3 098</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4</w:t>
            </w:r>
          </w:p>
        </w:tc>
        <w:tc>
          <w:tcPr>
            <w:tcW w:w="1180" w:type="dxa"/>
            <w:tcBorders>
              <w:top w:val="nil"/>
              <w:left w:val="nil"/>
              <w:bottom w:val="nil"/>
              <w:right w:val="nil"/>
            </w:tcBorders>
            <w:shd w:val="clear" w:color="auto" w:fill="auto"/>
            <w:vAlign w:val="center"/>
            <w:hideMark/>
          </w:tcPr>
          <w:p w14:paraId="0EC7D5D9" w14:textId="39870726"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6 045</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1</w:t>
            </w:r>
          </w:p>
        </w:tc>
      </w:tr>
      <w:tr w:rsidR="007672A3" w:rsidRPr="003966DC" w14:paraId="3AB298D8" w14:textId="77777777" w:rsidTr="00A52B30">
        <w:trPr>
          <w:trHeight w:val="290"/>
        </w:trPr>
        <w:tc>
          <w:tcPr>
            <w:tcW w:w="4593" w:type="dxa"/>
            <w:tcBorders>
              <w:top w:val="nil"/>
              <w:left w:val="nil"/>
              <w:bottom w:val="nil"/>
              <w:right w:val="nil"/>
            </w:tcBorders>
            <w:shd w:val="clear" w:color="auto" w:fill="auto"/>
            <w:vAlign w:val="center"/>
            <w:hideMark/>
          </w:tcPr>
          <w:p w14:paraId="3DF1E966" w14:textId="6C70AAE8" w:rsidR="007672A3" w:rsidRPr="003966DC" w:rsidRDefault="007672A3" w:rsidP="007243AD">
            <w:pPr>
              <w:keepNext/>
              <w:keepLines/>
              <w:tabs>
                <w:tab w:val="clear" w:pos="567"/>
                <w:tab w:val="clear" w:pos="1134"/>
                <w:tab w:val="clear" w:pos="1701"/>
                <w:tab w:val="clear" w:pos="2268"/>
              </w:tabs>
              <w:jc w:val="left"/>
              <w:rPr>
                <w:rFonts w:eastAsia="Times New Roman"/>
                <w:color w:val="000000"/>
                <w:sz w:val="18"/>
                <w:szCs w:val="18"/>
                <w:lang w:val="fr-FR" w:eastAsia="zh-CN"/>
              </w:rPr>
            </w:pPr>
            <w:r w:rsidRPr="003966DC">
              <w:rPr>
                <w:rFonts w:eastAsia="Times New Roman"/>
                <w:color w:val="000000"/>
                <w:sz w:val="18"/>
                <w:szCs w:val="18"/>
                <w:lang w:val="fr-FR" w:eastAsia="zh-CN"/>
              </w:rPr>
              <w:t xml:space="preserve">C. Programme </w:t>
            </w:r>
            <w:r w:rsidR="00C65968" w:rsidRPr="003966DC">
              <w:rPr>
                <w:rFonts w:eastAsia="Times New Roman"/>
                <w:color w:val="000000"/>
                <w:sz w:val="18"/>
                <w:szCs w:val="18"/>
                <w:lang w:val="fr-FR" w:eastAsia="zh-CN"/>
              </w:rPr>
              <w:t xml:space="preserve">de travail </w:t>
            </w:r>
          </w:p>
        </w:tc>
        <w:tc>
          <w:tcPr>
            <w:tcW w:w="1180" w:type="dxa"/>
            <w:tcBorders>
              <w:top w:val="nil"/>
              <w:left w:val="nil"/>
              <w:bottom w:val="nil"/>
              <w:right w:val="nil"/>
            </w:tcBorders>
            <w:shd w:val="clear" w:color="auto" w:fill="auto"/>
            <w:vAlign w:val="center"/>
            <w:hideMark/>
          </w:tcPr>
          <w:p w14:paraId="0493C713" w14:textId="474317A3"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10 013</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3</w:t>
            </w:r>
          </w:p>
        </w:tc>
        <w:tc>
          <w:tcPr>
            <w:tcW w:w="1180" w:type="dxa"/>
            <w:tcBorders>
              <w:top w:val="nil"/>
              <w:left w:val="nil"/>
              <w:bottom w:val="nil"/>
              <w:right w:val="nil"/>
            </w:tcBorders>
            <w:shd w:val="clear" w:color="auto" w:fill="auto"/>
            <w:vAlign w:val="center"/>
            <w:hideMark/>
          </w:tcPr>
          <w:p w14:paraId="3448CF49" w14:textId="251F2102"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10 384</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3</w:t>
            </w:r>
          </w:p>
        </w:tc>
        <w:tc>
          <w:tcPr>
            <w:tcW w:w="1180" w:type="dxa"/>
            <w:tcBorders>
              <w:top w:val="nil"/>
              <w:left w:val="nil"/>
              <w:bottom w:val="nil"/>
              <w:right w:val="nil"/>
            </w:tcBorders>
            <w:shd w:val="clear" w:color="auto" w:fill="auto"/>
            <w:vAlign w:val="center"/>
            <w:hideMark/>
          </w:tcPr>
          <w:p w14:paraId="684503E0" w14:textId="21A34BA0"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20 397</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6</w:t>
            </w:r>
          </w:p>
        </w:tc>
      </w:tr>
      <w:tr w:rsidR="007672A3" w:rsidRPr="003966DC" w14:paraId="1B8A3D90" w14:textId="77777777" w:rsidTr="00A52B30">
        <w:trPr>
          <w:trHeight w:val="300"/>
        </w:trPr>
        <w:tc>
          <w:tcPr>
            <w:tcW w:w="4593" w:type="dxa"/>
            <w:tcBorders>
              <w:top w:val="nil"/>
              <w:left w:val="nil"/>
              <w:bottom w:val="nil"/>
              <w:right w:val="nil"/>
            </w:tcBorders>
            <w:shd w:val="clear" w:color="auto" w:fill="auto"/>
            <w:vAlign w:val="center"/>
            <w:hideMark/>
          </w:tcPr>
          <w:p w14:paraId="709E6298" w14:textId="735095CB" w:rsidR="007672A3" w:rsidRPr="003966DC" w:rsidRDefault="007672A3" w:rsidP="007243AD">
            <w:pPr>
              <w:keepNext/>
              <w:keepLines/>
              <w:tabs>
                <w:tab w:val="clear" w:pos="567"/>
                <w:tab w:val="clear" w:pos="1134"/>
                <w:tab w:val="clear" w:pos="1701"/>
                <w:tab w:val="clear" w:pos="2268"/>
              </w:tabs>
              <w:jc w:val="left"/>
              <w:rPr>
                <w:rFonts w:eastAsia="Times New Roman"/>
                <w:color w:val="000000"/>
                <w:sz w:val="18"/>
                <w:szCs w:val="18"/>
                <w:lang w:val="fr-FR" w:eastAsia="zh-CN"/>
              </w:rPr>
            </w:pPr>
            <w:r w:rsidRPr="003966DC">
              <w:rPr>
                <w:rFonts w:eastAsia="Times New Roman"/>
                <w:color w:val="000000"/>
                <w:sz w:val="18"/>
                <w:szCs w:val="18"/>
                <w:lang w:val="fr-FR" w:eastAsia="zh-CN"/>
              </w:rPr>
              <w:t xml:space="preserve">D. </w:t>
            </w:r>
            <w:r w:rsidR="00C65968" w:rsidRPr="003966DC">
              <w:rPr>
                <w:rFonts w:eastAsia="Times New Roman"/>
                <w:color w:val="000000"/>
                <w:sz w:val="18"/>
                <w:szCs w:val="18"/>
                <w:lang w:val="fr-FR" w:eastAsia="zh-CN"/>
              </w:rPr>
              <w:t>Soutien a</w:t>
            </w:r>
            <w:r w:rsidRPr="003966DC">
              <w:rPr>
                <w:rFonts w:eastAsia="Times New Roman"/>
                <w:color w:val="000000"/>
                <w:sz w:val="18"/>
                <w:szCs w:val="18"/>
                <w:lang w:val="fr-FR" w:eastAsia="zh-CN"/>
              </w:rPr>
              <w:t>dministrati</w:t>
            </w:r>
            <w:r w:rsidR="00C65968" w:rsidRPr="003966DC">
              <w:rPr>
                <w:rFonts w:eastAsia="Times New Roman"/>
                <w:color w:val="000000"/>
                <w:sz w:val="18"/>
                <w:szCs w:val="18"/>
                <w:lang w:val="fr-FR" w:eastAsia="zh-CN"/>
              </w:rPr>
              <w:t>f</w:t>
            </w:r>
          </w:p>
        </w:tc>
        <w:tc>
          <w:tcPr>
            <w:tcW w:w="1180" w:type="dxa"/>
            <w:tcBorders>
              <w:top w:val="nil"/>
              <w:left w:val="nil"/>
              <w:bottom w:val="nil"/>
              <w:right w:val="nil"/>
            </w:tcBorders>
            <w:shd w:val="clear" w:color="auto" w:fill="auto"/>
            <w:vAlign w:val="center"/>
            <w:hideMark/>
          </w:tcPr>
          <w:p w14:paraId="0739500B" w14:textId="5AB02874"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3 590</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2</w:t>
            </w:r>
          </w:p>
        </w:tc>
        <w:tc>
          <w:tcPr>
            <w:tcW w:w="1180" w:type="dxa"/>
            <w:tcBorders>
              <w:top w:val="nil"/>
              <w:left w:val="nil"/>
              <w:bottom w:val="nil"/>
              <w:right w:val="nil"/>
            </w:tcBorders>
            <w:shd w:val="clear" w:color="auto" w:fill="auto"/>
            <w:vAlign w:val="center"/>
            <w:hideMark/>
          </w:tcPr>
          <w:p w14:paraId="3CC05BFC" w14:textId="0EB2A43C"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3 443</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2</w:t>
            </w:r>
          </w:p>
        </w:tc>
        <w:tc>
          <w:tcPr>
            <w:tcW w:w="1180" w:type="dxa"/>
            <w:tcBorders>
              <w:top w:val="nil"/>
              <w:left w:val="nil"/>
              <w:bottom w:val="nil"/>
              <w:right w:val="nil"/>
            </w:tcBorders>
            <w:shd w:val="clear" w:color="auto" w:fill="auto"/>
            <w:vAlign w:val="center"/>
            <w:hideMark/>
          </w:tcPr>
          <w:p w14:paraId="3A95AFE8" w14:textId="73EB9C38" w:rsidR="007672A3" w:rsidRPr="003966DC"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7 033</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4</w:t>
            </w:r>
          </w:p>
        </w:tc>
      </w:tr>
      <w:tr w:rsidR="007672A3" w:rsidRPr="003966DC" w14:paraId="0CBF952D" w14:textId="77777777" w:rsidTr="00A52B30">
        <w:trPr>
          <w:trHeight w:val="400"/>
        </w:trPr>
        <w:tc>
          <w:tcPr>
            <w:tcW w:w="4593" w:type="dxa"/>
            <w:tcBorders>
              <w:top w:val="single" w:sz="8" w:space="0" w:color="auto"/>
              <w:left w:val="nil"/>
              <w:bottom w:val="single" w:sz="8" w:space="0" w:color="auto"/>
              <w:right w:val="nil"/>
            </w:tcBorders>
            <w:shd w:val="clear" w:color="auto" w:fill="auto"/>
            <w:vAlign w:val="center"/>
            <w:hideMark/>
          </w:tcPr>
          <w:p w14:paraId="21686E78" w14:textId="7C34EA71" w:rsidR="007672A3" w:rsidRPr="003966DC" w:rsidRDefault="003E3796" w:rsidP="00A52B30">
            <w:pPr>
              <w:tabs>
                <w:tab w:val="clear" w:pos="567"/>
                <w:tab w:val="clear" w:pos="1134"/>
                <w:tab w:val="clear" w:pos="1701"/>
                <w:tab w:val="clear" w:pos="2268"/>
              </w:tabs>
              <w:ind w:left="317"/>
              <w:jc w:val="left"/>
              <w:rPr>
                <w:rFonts w:eastAsia="Times New Roman"/>
                <w:b/>
                <w:bCs/>
                <w:color w:val="000000"/>
                <w:sz w:val="18"/>
                <w:szCs w:val="18"/>
                <w:lang w:val="fr-FR" w:eastAsia="zh-CN"/>
              </w:rPr>
            </w:pPr>
            <w:r w:rsidRPr="003966DC">
              <w:rPr>
                <w:rFonts w:eastAsia="Times New Roman"/>
                <w:b/>
                <w:bCs/>
                <w:color w:val="000000"/>
                <w:sz w:val="18"/>
                <w:szCs w:val="18"/>
                <w:lang w:val="fr-FR" w:eastAsia="zh-CN"/>
              </w:rPr>
              <w:t>Total partiel</w:t>
            </w:r>
          </w:p>
        </w:tc>
        <w:tc>
          <w:tcPr>
            <w:tcW w:w="1180" w:type="dxa"/>
            <w:tcBorders>
              <w:top w:val="single" w:sz="8" w:space="0" w:color="auto"/>
              <w:left w:val="nil"/>
              <w:bottom w:val="single" w:sz="8" w:space="0" w:color="auto"/>
              <w:right w:val="nil"/>
            </w:tcBorders>
            <w:shd w:val="clear" w:color="auto" w:fill="auto"/>
            <w:vAlign w:val="center"/>
            <w:hideMark/>
          </w:tcPr>
          <w:p w14:paraId="3E62AB10" w14:textId="778FAC1F" w:rsidR="007672A3" w:rsidRPr="003966DC"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3966DC">
              <w:rPr>
                <w:rFonts w:eastAsia="Times New Roman"/>
                <w:b/>
                <w:bCs/>
                <w:color w:val="000000"/>
                <w:sz w:val="18"/>
                <w:szCs w:val="18"/>
                <w:lang w:val="fr-FR" w:eastAsia="zh-CN"/>
              </w:rPr>
              <w:t>19 161</w:t>
            </w:r>
            <w:r w:rsidR="00C65968" w:rsidRPr="003966DC">
              <w:rPr>
                <w:rFonts w:eastAsia="Times New Roman"/>
                <w:b/>
                <w:bCs/>
                <w:color w:val="000000"/>
                <w:sz w:val="18"/>
                <w:szCs w:val="18"/>
                <w:lang w:val="fr-FR" w:eastAsia="zh-CN"/>
              </w:rPr>
              <w:t>,</w:t>
            </w:r>
            <w:r w:rsidRPr="003966DC">
              <w:rPr>
                <w:rFonts w:eastAsia="Times New Roman"/>
                <w:b/>
                <w:bCs/>
                <w:color w:val="000000"/>
                <w:sz w:val="18"/>
                <w:szCs w:val="18"/>
                <w:lang w:val="fr-FR" w:eastAsia="zh-CN"/>
              </w:rPr>
              <w:t>3</w:t>
            </w:r>
          </w:p>
        </w:tc>
        <w:tc>
          <w:tcPr>
            <w:tcW w:w="1180" w:type="dxa"/>
            <w:tcBorders>
              <w:top w:val="single" w:sz="8" w:space="0" w:color="auto"/>
              <w:left w:val="nil"/>
              <w:bottom w:val="single" w:sz="8" w:space="0" w:color="auto"/>
              <w:right w:val="nil"/>
            </w:tcBorders>
            <w:shd w:val="clear" w:color="auto" w:fill="auto"/>
            <w:vAlign w:val="center"/>
            <w:hideMark/>
          </w:tcPr>
          <w:p w14:paraId="6A496ADD" w14:textId="5528C00B" w:rsidR="007672A3" w:rsidRPr="003966DC"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3966DC">
              <w:rPr>
                <w:rFonts w:eastAsia="Times New Roman"/>
                <w:b/>
                <w:bCs/>
                <w:color w:val="000000"/>
                <w:sz w:val="18"/>
                <w:szCs w:val="18"/>
                <w:lang w:val="fr-FR" w:eastAsia="zh-CN"/>
              </w:rPr>
              <w:t>20 008</w:t>
            </w:r>
            <w:r w:rsidR="00C65968" w:rsidRPr="003966DC">
              <w:rPr>
                <w:rFonts w:eastAsia="Times New Roman"/>
                <w:b/>
                <w:bCs/>
                <w:color w:val="000000"/>
                <w:sz w:val="18"/>
                <w:szCs w:val="18"/>
                <w:lang w:val="fr-FR" w:eastAsia="zh-CN"/>
              </w:rPr>
              <w:t>,</w:t>
            </w:r>
            <w:r w:rsidRPr="003966DC">
              <w:rPr>
                <w:rFonts w:eastAsia="Times New Roman"/>
                <w:b/>
                <w:bCs/>
                <w:color w:val="000000"/>
                <w:sz w:val="18"/>
                <w:szCs w:val="18"/>
                <w:lang w:val="fr-FR" w:eastAsia="zh-CN"/>
              </w:rPr>
              <w:t>6</w:t>
            </w:r>
          </w:p>
        </w:tc>
        <w:tc>
          <w:tcPr>
            <w:tcW w:w="1180" w:type="dxa"/>
            <w:tcBorders>
              <w:top w:val="single" w:sz="8" w:space="0" w:color="auto"/>
              <w:left w:val="nil"/>
              <w:bottom w:val="single" w:sz="8" w:space="0" w:color="auto"/>
              <w:right w:val="nil"/>
            </w:tcBorders>
            <w:shd w:val="clear" w:color="auto" w:fill="auto"/>
            <w:vAlign w:val="center"/>
            <w:hideMark/>
          </w:tcPr>
          <w:p w14:paraId="1D958943" w14:textId="492964FE" w:rsidR="007672A3" w:rsidRPr="003966DC"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3966DC">
              <w:rPr>
                <w:rFonts w:eastAsia="Times New Roman"/>
                <w:b/>
                <w:bCs/>
                <w:color w:val="000000"/>
                <w:sz w:val="18"/>
                <w:szCs w:val="18"/>
                <w:lang w:val="fr-FR" w:eastAsia="zh-CN"/>
              </w:rPr>
              <w:t>39 170</w:t>
            </w:r>
            <w:r w:rsidR="00C65968" w:rsidRPr="003966DC">
              <w:rPr>
                <w:rFonts w:eastAsia="Times New Roman"/>
                <w:b/>
                <w:bCs/>
                <w:color w:val="000000"/>
                <w:sz w:val="18"/>
                <w:szCs w:val="18"/>
                <w:lang w:val="fr-FR" w:eastAsia="zh-CN"/>
              </w:rPr>
              <w:t>,</w:t>
            </w:r>
            <w:r w:rsidRPr="003966DC">
              <w:rPr>
                <w:rFonts w:eastAsia="Times New Roman"/>
                <w:b/>
                <w:bCs/>
                <w:color w:val="000000"/>
                <w:sz w:val="18"/>
                <w:szCs w:val="18"/>
                <w:lang w:val="fr-FR" w:eastAsia="zh-CN"/>
              </w:rPr>
              <w:t>0</w:t>
            </w:r>
          </w:p>
        </w:tc>
      </w:tr>
      <w:tr w:rsidR="007672A3" w:rsidRPr="003966DC" w14:paraId="13A87485" w14:textId="77777777" w:rsidTr="00A52B30">
        <w:trPr>
          <w:trHeight w:val="290"/>
        </w:trPr>
        <w:tc>
          <w:tcPr>
            <w:tcW w:w="4593" w:type="dxa"/>
            <w:tcBorders>
              <w:top w:val="nil"/>
              <w:left w:val="nil"/>
              <w:bottom w:val="nil"/>
              <w:right w:val="nil"/>
            </w:tcBorders>
            <w:shd w:val="clear" w:color="auto" w:fill="auto"/>
            <w:vAlign w:val="center"/>
            <w:hideMark/>
          </w:tcPr>
          <w:p w14:paraId="2CCA9DEA" w14:textId="47F886AA" w:rsidR="007672A3" w:rsidRPr="003966DC" w:rsidRDefault="00EA54D6" w:rsidP="007243AD">
            <w:pPr>
              <w:tabs>
                <w:tab w:val="clear" w:pos="567"/>
                <w:tab w:val="clear" w:pos="1134"/>
                <w:tab w:val="clear" w:pos="1701"/>
                <w:tab w:val="clear" w:pos="2268"/>
              </w:tabs>
              <w:jc w:val="left"/>
              <w:rPr>
                <w:rFonts w:eastAsia="Times New Roman"/>
                <w:color w:val="000000"/>
                <w:sz w:val="18"/>
                <w:szCs w:val="18"/>
                <w:lang w:val="fr-FR" w:eastAsia="zh-CN"/>
              </w:rPr>
            </w:pPr>
            <w:r w:rsidRPr="003966DC">
              <w:rPr>
                <w:rFonts w:eastAsia="Times New Roman"/>
                <w:color w:val="000000"/>
                <w:sz w:val="18"/>
                <w:szCs w:val="18"/>
                <w:lang w:val="fr-FR" w:eastAsia="zh-CN"/>
              </w:rPr>
              <w:t>Dépenses d’appui au programme</w:t>
            </w:r>
          </w:p>
        </w:tc>
        <w:tc>
          <w:tcPr>
            <w:tcW w:w="1180" w:type="dxa"/>
            <w:tcBorders>
              <w:top w:val="nil"/>
              <w:left w:val="nil"/>
              <w:bottom w:val="nil"/>
              <w:right w:val="nil"/>
            </w:tcBorders>
            <w:shd w:val="clear" w:color="auto" w:fill="auto"/>
            <w:vAlign w:val="center"/>
            <w:hideMark/>
          </w:tcPr>
          <w:p w14:paraId="7418E72E" w14:textId="26831D03"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2 491</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0</w:t>
            </w:r>
          </w:p>
        </w:tc>
        <w:tc>
          <w:tcPr>
            <w:tcW w:w="1180" w:type="dxa"/>
            <w:tcBorders>
              <w:top w:val="nil"/>
              <w:left w:val="nil"/>
              <w:bottom w:val="nil"/>
              <w:right w:val="nil"/>
            </w:tcBorders>
            <w:shd w:val="clear" w:color="auto" w:fill="auto"/>
            <w:vAlign w:val="center"/>
            <w:hideMark/>
          </w:tcPr>
          <w:p w14:paraId="7A69D35B" w14:textId="127D1619"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2 601</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1</w:t>
            </w:r>
          </w:p>
        </w:tc>
        <w:tc>
          <w:tcPr>
            <w:tcW w:w="1180" w:type="dxa"/>
            <w:tcBorders>
              <w:top w:val="nil"/>
              <w:left w:val="nil"/>
              <w:bottom w:val="nil"/>
              <w:right w:val="nil"/>
            </w:tcBorders>
            <w:shd w:val="clear" w:color="auto" w:fill="auto"/>
            <w:vAlign w:val="center"/>
            <w:hideMark/>
          </w:tcPr>
          <w:p w14:paraId="48DE4FCE" w14:textId="26E0E21E"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5 092</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1</w:t>
            </w:r>
          </w:p>
        </w:tc>
      </w:tr>
      <w:tr w:rsidR="007672A3" w:rsidRPr="003966DC" w14:paraId="3B138720" w14:textId="77777777" w:rsidTr="00A52B30">
        <w:trPr>
          <w:trHeight w:val="300"/>
        </w:trPr>
        <w:tc>
          <w:tcPr>
            <w:tcW w:w="4593" w:type="dxa"/>
            <w:tcBorders>
              <w:top w:val="nil"/>
              <w:left w:val="nil"/>
              <w:bottom w:val="nil"/>
              <w:right w:val="nil"/>
            </w:tcBorders>
            <w:shd w:val="clear" w:color="auto" w:fill="auto"/>
            <w:vAlign w:val="center"/>
            <w:hideMark/>
          </w:tcPr>
          <w:p w14:paraId="408ACE42" w14:textId="46E2B461" w:rsidR="007672A3" w:rsidRPr="003966DC" w:rsidRDefault="002D3322" w:rsidP="007243AD">
            <w:pPr>
              <w:tabs>
                <w:tab w:val="clear" w:pos="567"/>
                <w:tab w:val="clear" w:pos="1134"/>
                <w:tab w:val="clear" w:pos="1701"/>
                <w:tab w:val="clear" w:pos="2268"/>
              </w:tabs>
              <w:jc w:val="left"/>
              <w:rPr>
                <w:rFonts w:eastAsia="Times New Roman"/>
                <w:color w:val="000000"/>
                <w:sz w:val="18"/>
                <w:szCs w:val="18"/>
                <w:lang w:val="fr-FR" w:eastAsia="zh-CN"/>
              </w:rPr>
            </w:pPr>
            <w:r w:rsidRPr="003966DC">
              <w:rPr>
                <w:rFonts w:eastAsia="Times New Roman"/>
                <w:color w:val="000000"/>
                <w:sz w:val="18"/>
                <w:szCs w:val="18"/>
                <w:lang w:val="fr-FR" w:eastAsia="zh-CN"/>
              </w:rPr>
              <w:t>Réserve du fonds de roulement</w:t>
            </w:r>
          </w:p>
        </w:tc>
        <w:tc>
          <w:tcPr>
            <w:tcW w:w="1180" w:type="dxa"/>
            <w:tcBorders>
              <w:top w:val="nil"/>
              <w:left w:val="nil"/>
              <w:bottom w:val="nil"/>
              <w:right w:val="nil"/>
            </w:tcBorders>
            <w:shd w:val="clear" w:color="auto" w:fill="auto"/>
            <w:vAlign w:val="center"/>
            <w:hideMark/>
          </w:tcPr>
          <w:p w14:paraId="28179FCE" w14:textId="2B345966"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29</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8</w:t>
            </w:r>
          </w:p>
        </w:tc>
        <w:tc>
          <w:tcPr>
            <w:tcW w:w="1180" w:type="dxa"/>
            <w:tcBorders>
              <w:top w:val="nil"/>
              <w:left w:val="nil"/>
              <w:bottom w:val="nil"/>
              <w:right w:val="nil"/>
            </w:tcBorders>
            <w:shd w:val="clear" w:color="auto" w:fill="auto"/>
            <w:vAlign w:val="center"/>
            <w:hideMark/>
          </w:tcPr>
          <w:p w14:paraId="2D5A75E8" w14:textId="18E0CDC6"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143</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6</w:t>
            </w:r>
          </w:p>
        </w:tc>
        <w:tc>
          <w:tcPr>
            <w:tcW w:w="1180" w:type="dxa"/>
            <w:tcBorders>
              <w:top w:val="nil"/>
              <w:left w:val="nil"/>
              <w:bottom w:val="nil"/>
              <w:right w:val="nil"/>
            </w:tcBorders>
            <w:shd w:val="clear" w:color="auto" w:fill="auto"/>
            <w:noWrap/>
            <w:vAlign w:val="center"/>
            <w:hideMark/>
          </w:tcPr>
          <w:p w14:paraId="026A177B" w14:textId="379CF222"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173</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4</w:t>
            </w:r>
          </w:p>
        </w:tc>
      </w:tr>
      <w:tr w:rsidR="007672A3" w:rsidRPr="003966DC" w14:paraId="591A4AA8" w14:textId="77777777" w:rsidTr="00A52B30">
        <w:trPr>
          <w:trHeight w:val="400"/>
        </w:trPr>
        <w:tc>
          <w:tcPr>
            <w:tcW w:w="4593" w:type="dxa"/>
            <w:tcBorders>
              <w:top w:val="single" w:sz="8" w:space="0" w:color="auto"/>
              <w:left w:val="nil"/>
              <w:bottom w:val="single" w:sz="8" w:space="0" w:color="auto"/>
              <w:right w:val="nil"/>
            </w:tcBorders>
            <w:shd w:val="clear" w:color="auto" w:fill="auto"/>
            <w:vAlign w:val="center"/>
            <w:hideMark/>
          </w:tcPr>
          <w:p w14:paraId="7733AE5E" w14:textId="17754BE1" w:rsidR="007672A3" w:rsidRPr="003966DC" w:rsidRDefault="007672A3" w:rsidP="00A52B30">
            <w:pPr>
              <w:tabs>
                <w:tab w:val="clear" w:pos="567"/>
                <w:tab w:val="clear" w:pos="1134"/>
                <w:tab w:val="clear" w:pos="1701"/>
                <w:tab w:val="clear" w:pos="2268"/>
              </w:tabs>
              <w:ind w:left="317"/>
              <w:jc w:val="left"/>
              <w:rPr>
                <w:rFonts w:eastAsia="Times New Roman"/>
                <w:b/>
                <w:bCs/>
                <w:color w:val="000000"/>
                <w:sz w:val="18"/>
                <w:szCs w:val="18"/>
                <w:lang w:val="fr-FR" w:eastAsia="zh-CN"/>
              </w:rPr>
            </w:pPr>
            <w:r w:rsidRPr="003966DC">
              <w:rPr>
                <w:rFonts w:eastAsia="Times New Roman"/>
                <w:b/>
                <w:bCs/>
                <w:color w:val="000000"/>
                <w:sz w:val="18"/>
                <w:szCs w:val="18"/>
                <w:lang w:val="fr-FR" w:eastAsia="zh-CN"/>
              </w:rPr>
              <w:t xml:space="preserve">Total </w:t>
            </w:r>
            <w:r w:rsidR="002D3322" w:rsidRPr="003966DC">
              <w:rPr>
                <w:rFonts w:eastAsia="Times New Roman"/>
                <w:b/>
                <w:bCs/>
                <w:color w:val="000000"/>
                <w:sz w:val="18"/>
                <w:szCs w:val="18"/>
                <w:lang w:val="fr-FR" w:eastAsia="zh-CN"/>
              </w:rPr>
              <w:t xml:space="preserve">des besoins </w:t>
            </w:r>
          </w:p>
        </w:tc>
        <w:tc>
          <w:tcPr>
            <w:tcW w:w="1180" w:type="dxa"/>
            <w:tcBorders>
              <w:top w:val="single" w:sz="8" w:space="0" w:color="auto"/>
              <w:left w:val="nil"/>
              <w:bottom w:val="single" w:sz="8" w:space="0" w:color="auto"/>
              <w:right w:val="nil"/>
            </w:tcBorders>
            <w:shd w:val="clear" w:color="auto" w:fill="auto"/>
            <w:vAlign w:val="center"/>
            <w:hideMark/>
          </w:tcPr>
          <w:p w14:paraId="14B53188" w14:textId="30F91185" w:rsidR="007672A3" w:rsidRPr="003966DC"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3966DC">
              <w:rPr>
                <w:rFonts w:eastAsia="Times New Roman"/>
                <w:b/>
                <w:bCs/>
                <w:color w:val="000000"/>
                <w:sz w:val="18"/>
                <w:szCs w:val="18"/>
                <w:lang w:val="fr-FR" w:eastAsia="zh-CN"/>
              </w:rPr>
              <w:t>21 682</w:t>
            </w:r>
            <w:r w:rsidR="00C65968" w:rsidRPr="003966DC">
              <w:rPr>
                <w:rFonts w:eastAsia="Times New Roman"/>
                <w:b/>
                <w:bCs/>
                <w:color w:val="000000"/>
                <w:sz w:val="18"/>
                <w:szCs w:val="18"/>
                <w:lang w:val="fr-FR" w:eastAsia="zh-CN"/>
              </w:rPr>
              <w:t>,</w:t>
            </w:r>
            <w:r w:rsidRPr="003966DC">
              <w:rPr>
                <w:rFonts w:eastAsia="Times New Roman"/>
                <w:b/>
                <w:bCs/>
                <w:color w:val="000000"/>
                <w:sz w:val="18"/>
                <w:szCs w:val="18"/>
                <w:lang w:val="fr-FR" w:eastAsia="zh-CN"/>
              </w:rPr>
              <w:t>1</w:t>
            </w:r>
          </w:p>
        </w:tc>
        <w:tc>
          <w:tcPr>
            <w:tcW w:w="1180" w:type="dxa"/>
            <w:tcBorders>
              <w:top w:val="single" w:sz="8" w:space="0" w:color="auto"/>
              <w:left w:val="nil"/>
              <w:bottom w:val="single" w:sz="8" w:space="0" w:color="auto"/>
              <w:right w:val="nil"/>
            </w:tcBorders>
            <w:shd w:val="clear" w:color="auto" w:fill="auto"/>
            <w:vAlign w:val="center"/>
            <w:hideMark/>
          </w:tcPr>
          <w:p w14:paraId="0639D8BF" w14:textId="57709515" w:rsidR="007672A3" w:rsidRPr="003966DC"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3966DC">
              <w:rPr>
                <w:rFonts w:eastAsia="Times New Roman"/>
                <w:b/>
                <w:bCs/>
                <w:color w:val="000000"/>
                <w:sz w:val="18"/>
                <w:szCs w:val="18"/>
                <w:lang w:val="fr-FR" w:eastAsia="zh-CN"/>
              </w:rPr>
              <w:t>22 753</w:t>
            </w:r>
            <w:r w:rsidR="00C65968" w:rsidRPr="003966DC">
              <w:rPr>
                <w:rFonts w:eastAsia="Times New Roman"/>
                <w:b/>
                <w:bCs/>
                <w:color w:val="000000"/>
                <w:sz w:val="18"/>
                <w:szCs w:val="18"/>
                <w:lang w:val="fr-FR" w:eastAsia="zh-CN"/>
              </w:rPr>
              <w:t>,</w:t>
            </w:r>
            <w:r w:rsidRPr="003966DC">
              <w:rPr>
                <w:rFonts w:eastAsia="Times New Roman"/>
                <w:b/>
                <w:bCs/>
                <w:color w:val="000000"/>
                <w:sz w:val="18"/>
                <w:szCs w:val="18"/>
                <w:lang w:val="fr-FR" w:eastAsia="zh-CN"/>
              </w:rPr>
              <w:t>4</w:t>
            </w:r>
          </w:p>
        </w:tc>
        <w:tc>
          <w:tcPr>
            <w:tcW w:w="1180" w:type="dxa"/>
            <w:tcBorders>
              <w:top w:val="single" w:sz="8" w:space="0" w:color="auto"/>
              <w:left w:val="nil"/>
              <w:bottom w:val="single" w:sz="8" w:space="0" w:color="auto"/>
              <w:right w:val="nil"/>
            </w:tcBorders>
            <w:shd w:val="clear" w:color="auto" w:fill="auto"/>
            <w:vAlign w:val="center"/>
            <w:hideMark/>
          </w:tcPr>
          <w:p w14:paraId="743CBC8C" w14:textId="4164DF4C" w:rsidR="007672A3" w:rsidRPr="003966DC"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3966DC">
              <w:rPr>
                <w:rFonts w:eastAsia="Times New Roman"/>
                <w:b/>
                <w:bCs/>
                <w:color w:val="000000"/>
                <w:sz w:val="18"/>
                <w:szCs w:val="18"/>
                <w:lang w:val="fr-FR" w:eastAsia="zh-CN"/>
              </w:rPr>
              <w:t>44 435</w:t>
            </w:r>
            <w:r w:rsidR="00C65968" w:rsidRPr="003966DC">
              <w:rPr>
                <w:rFonts w:eastAsia="Times New Roman"/>
                <w:b/>
                <w:bCs/>
                <w:color w:val="000000"/>
                <w:sz w:val="18"/>
                <w:szCs w:val="18"/>
                <w:lang w:val="fr-FR" w:eastAsia="zh-CN"/>
              </w:rPr>
              <w:t>,</w:t>
            </w:r>
            <w:r w:rsidRPr="003966DC">
              <w:rPr>
                <w:rFonts w:eastAsia="Times New Roman"/>
                <w:b/>
                <w:bCs/>
                <w:color w:val="000000"/>
                <w:sz w:val="18"/>
                <w:szCs w:val="18"/>
                <w:lang w:val="fr-FR" w:eastAsia="zh-CN"/>
              </w:rPr>
              <w:t>4</w:t>
            </w:r>
          </w:p>
        </w:tc>
      </w:tr>
      <w:tr w:rsidR="007672A3" w:rsidRPr="003966DC" w14:paraId="1D8CE1B3" w14:textId="77777777" w:rsidTr="00A52B30">
        <w:trPr>
          <w:trHeight w:val="470"/>
        </w:trPr>
        <w:tc>
          <w:tcPr>
            <w:tcW w:w="4593" w:type="dxa"/>
            <w:tcBorders>
              <w:top w:val="nil"/>
              <w:left w:val="nil"/>
              <w:bottom w:val="single" w:sz="8" w:space="0" w:color="auto"/>
              <w:right w:val="nil"/>
            </w:tcBorders>
            <w:shd w:val="clear" w:color="auto" w:fill="auto"/>
            <w:vAlign w:val="center"/>
            <w:hideMark/>
          </w:tcPr>
          <w:p w14:paraId="60AEFC5A" w14:textId="75672A3C" w:rsidR="007672A3" w:rsidRPr="003966DC" w:rsidRDefault="002D3322" w:rsidP="007243AD">
            <w:pPr>
              <w:tabs>
                <w:tab w:val="clear" w:pos="567"/>
                <w:tab w:val="clear" w:pos="1134"/>
                <w:tab w:val="clear" w:pos="1701"/>
                <w:tab w:val="clear" w:pos="2268"/>
              </w:tabs>
              <w:jc w:val="left"/>
              <w:rPr>
                <w:rFonts w:eastAsia="Times New Roman"/>
                <w:color w:val="000000"/>
                <w:sz w:val="18"/>
                <w:szCs w:val="18"/>
                <w:lang w:val="fr-FR" w:eastAsia="zh-CN"/>
              </w:rPr>
            </w:pPr>
            <w:r w:rsidRPr="003966DC">
              <w:rPr>
                <w:sz w:val="18"/>
                <w:szCs w:val="18"/>
                <w:lang w:val="fr-FR" w:bidi="ar-SY"/>
              </w:rPr>
              <w:t>Part du budget intégré consacrée au Protocole de Cartagena</w:t>
            </w:r>
            <w:r w:rsidRPr="003966DC">
              <w:rPr>
                <w:rFonts w:eastAsia="Times New Roman"/>
                <w:color w:val="000000"/>
                <w:sz w:val="18"/>
                <w:szCs w:val="18"/>
                <w:lang w:val="fr-FR" w:eastAsia="zh-CN"/>
              </w:rPr>
              <w:t xml:space="preserve"> </w:t>
            </w:r>
            <w:r w:rsidR="007672A3" w:rsidRPr="003966DC">
              <w:rPr>
                <w:rFonts w:eastAsia="Times New Roman"/>
                <w:color w:val="000000"/>
                <w:sz w:val="18"/>
                <w:szCs w:val="18"/>
                <w:lang w:val="fr-FR" w:eastAsia="zh-CN"/>
              </w:rPr>
              <w:t>(15</w:t>
            </w:r>
            <w:r w:rsidRPr="003966DC">
              <w:rPr>
                <w:rFonts w:eastAsia="Times New Roman"/>
                <w:color w:val="000000"/>
                <w:sz w:val="18"/>
                <w:szCs w:val="18"/>
                <w:lang w:val="fr-FR" w:eastAsia="zh-CN"/>
              </w:rPr>
              <w:t> </w:t>
            </w:r>
            <w:r w:rsidR="00154382" w:rsidRPr="003966DC">
              <w:rPr>
                <w:rFonts w:eastAsia="Times New Roman"/>
                <w:color w:val="000000"/>
                <w:sz w:val="18"/>
                <w:szCs w:val="18"/>
                <w:lang w:val="fr-FR" w:eastAsia="zh-CN"/>
              </w:rPr>
              <w:t>%</w:t>
            </w:r>
            <w:r w:rsidR="007672A3" w:rsidRPr="003966DC">
              <w:rPr>
                <w:rFonts w:eastAsia="Times New Roman"/>
                <w:color w:val="000000"/>
                <w:sz w:val="18"/>
                <w:szCs w:val="18"/>
                <w:lang w:val="fr-FR" w:eastAsia="zh-CN"/>
              </w:rPr>
              <w:t>)</w:t>
            </w:r>
          </w:p>
        </w:tc>
        <w:tc>
          <w:tcPr>
            <w:tcW w:w="1180" w:type="dxa"/>
            <w:tcBorders>
              <w:top w:val="nil"/>
              <w:left w:val="nil"/>
              <w:bottom w:val="single" w:sz="8" w:space="0" w:color="auto"/>
              <w:right w:val="nil"/>
            </w:tcBorders>
            <w:shd w:val="clear" w:color="auto" w:fill="auto"/>
            <w:vAlign w:val="center"/>
          </w:tcPr>
          <w:p w14:paraId="3413E30F" w14:textId="400973D8"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3 252</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3</w:t>
            </w:r>
          </w:p>
        </w:tc>
        <w:tc>
          <w:tcPr>
            <w:tcW w:w="1180" w:type="dxa"/>
            <w:tcBorders>
              <w:top w:val="nil"/>
              <w:left w:val="nil"/>
              <w:bottom w:val="single" w:sz="8" w:space="0" w:color="auto"/>
              <w:right w:val="nil"/>
            </w:tcBorders>
            <w:shd w:val="clear" w:color="auto" w:fill="auto"/>
            <w:vAlign w:val="center"/>
          </w:tcPr>
          <w:p w14:paraId="79FA9288" w14:textId="3D8A5DFF"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3 413</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0</w:t>
            </w:r>
          </w:p>
        </w:tc>
        <w:tc>
          <w:tcPr>
            <w:tcW w:w="1180" w:type="dxa"/>
            <w:tcBorders>
              <w:top w:val="nil"/>
              <w:left w:val="nil"/>
              <w:bottom w:val="single" w:sz="8" w:space="0" w:color="auto"/>
              <w:right w:val="nil"/>
            </w:tcBorders>
            <w:shd w:val="clear" w:color="auto" w:fill="auto"/>
            <w:vAlign w:val="center"/>
          </w:tcPr>
          <w:p w14:paraId="1CD474AD" w14:textId="6938D2F1"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6 665</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3</w:t>
            </w:r>
          </w:p>
        </w:tc>
      </w:tr>
      <w:tr w:rsidR="007672A3" w:rsidRPr="003966DC" w14:paraId="78DB1D2B" w14:textId="77777777" w:rsidTr="00A52B30">
        <w:trPr>
          <w:trHeight w:val="290"/>
        </w:trPr>
        <w:tc>
          <w:tcPr>
            <w:tcW w:w="4593" w:type="dxa"/>
            <w:tcBorders>
              <w:top w:val="nil"/>
              <w:left w:val="nil"/>
              <w:bottom w:val="nil"/>
              <w:right w:val="nil"/>
            </w:tcBorders>
            <w:shd w:val="clear" w:color="auto" w:fill="auto"/>
            <w:vAlign w:val="center"/>
            <w:hideMark/>
          </w:tcPr>
          <w:p w14:paraId="40BB4321" w14:textId="79F0294A" w:rsidR="007672A3" w:rsidRPr="003966DC" w:rsidRDefault="00433F81" w:rsidP="007243AD">
            <w:pPr>
              <w:tabs>
                <w:tab w:val="clear" w:pos="567"/>
                <w:tab w:val="clear" w:pos="1134"/>
                <w:tab w:val="clear" w:pos="1701"/>
                <w:tab w:val="clear" w:pos="2268"/>
              </w:tabs>
              <w:jc w:val="left"/>
              <w:rPr>
                <w:rFonts w:eastAsia="Times New Roman"/>
                <w:color w:val="000000"/>
                <w:sz w:val="18"/>
                <w:szCs w:val="18"/>
                <w:lang w:val="fr-FR" w:eastAsia="zh-CN"/>
              </w:rPr>
            </w:pPr>
            <w:r w:rsidRPr="003966DC">
              <w:rPr>
                <w:rFonts w:eastAsia="Times New Roman"/>
                <w:color w:val="000000"/>
                <w:sz w:val="18"/>
                <w:szCs w:val="18"/>
                <w:lang w:val="fr-FR" w:eastAsia="zh-CN"/>
              </w:rPr>
              <w:t>C</w:t>
            </w:r>
            <w:r w:rsidR="007672A3" w:rsidRPr="003966DC">
              <w:rPr>
                <w:rFonts w:eastAsia="Times New Roman"/>
                <w:color w:val="000000"/>
                <w:sz w:val="18"/>
                <w:szCs w:val="18"/>
                <w:lang w:val="fr-FR" w:eastAsia="zh-CN"/>
              </w:rPr>
              <w:t xml:space="preserve">ontributions </w:t>
            </w:r>
            <w:r w:rsidR="003F6B2B" w:rsidRPr="003966DC">
              <w:rPr>
                <w:rFonts w:eastAsia="Times New Roman"/>
                <w:color w:val="000000"/>
                <w:sz w:val="18"/>
                <w:szCs w:val="18"/>
                <w:lang w:val="fr-FR" w:eastAsia="zh-CN"/>
              </w:rPr>
              <w:t xml:space="preserve">du pays hôte </w:t>
            </w:r>
          </w:p>
        </w:tc>
        <w:tc>
          <w:tcPr>
            <w:tcW w:w="1180" w:type="dxa"/>
            <w:tcBorders>
              <w:top w:val="nil"/>
              <w:left w:val="nil"/>
              <w:bottom w:val="nil"/>
              <w:right w:val="nil"/>
            </w:tcBorders>
            <w:shd w:val="clear" w:color="auto" w:fill="auto"/>
            <w:vAlign w:val="center"/>
          </w:tcPr>
          <w:p w14:paraId="6B0B1E2E" w14:textId="041BC101"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(247</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9)</w:t>
            </w:r>
          </w:p>
        </w:tc>
        <w:tc>
          <w:tcPr>
            <w:tcW w:w="1180" w:type="dxa"/>
            <w:tcBorders>
              <w:top w:val="nil"/>
              <w:left w:val="nil"/>
              <w:bottom w:val="nil"/>
              <w:right w:val="nil"/>
            </w:tcBorders>
            <w:shd w:val="clear" w:color="auto" w:fill="auto"/>
            <w:vAlign w:val="center"/>
          </w:tcPr>
          <w:p w14:paraId="2491B8B5" w14:textId="0D7DA5F8"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(250</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3)</w:t>
            </w:r>
          </w:p>
        </w:tc>
        <w:tc>
          <w:tcPr>
            <w:tcW w:w="1180" w:type="dxa"/>
            <w:tcBorders>
              <w:top w:val="nil"/>
              <w:left w:val="nil"/>
              <w:bottom w:val="nil"/>
              <w:right w:val="nil"/>
            </w:tcBorders>
            <w:shd w:val="clear" w:color="auto" w:fill="auto"/>
            <w:vAlign w:val="center"/>
          </w:tcPr>
          <w:p w14:paraId="0567C41C" w14:textId="5B4E68A3"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(498</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2)</w:t>
            </w:r>
          </w:p>
        </w:tc>
      </w:tr>
      <w:tr w:rsidR="007672A3" w:rsidRPr="003966DC" w14:paraId="09EF347E" w14:textId="77777777" w:rsidTr="00A52B30">
        <w:trPr>
          <w:trHeight w:val="300"/>
        </w:trPr>
        <w:tc>
          <w:tcPr>
            <w:tcW w:w="4593" w:type="dxa"/>
            <w:tcBorders>
              <w:top w:val="nil"/>
              <w:left w:val="nil"/>
              <w:bottom w:val="single" w:sz="8" w:space="0" w:color="auto"/>
              <w:right w:val="nil"/>
            </w:tcBorders>
            <w:shd w:val="clear" w:color="auto" w:fill="auto"/>
            <w:vAlign w:val="center"/>
            <w:hideMark/>
          </w:tcPr>
          <w:p w14:paraId="08FAE0E7" w14:textId="29DBC0A2" w:rsidR="007672A3" w:rsidRPr="003966DC" w:rsidRDefault="009A00FE" w:rsidP="007243AD">
            <w:pPr>
              <w:tabs>
                <w:tab w:val="clear" w:pos="567"/>
                <w:tab w:val="clear" w:pos="1134"/>
                <w:tab w:val="clear" w:pos="1701"/>
                <w:tab w:val="clear" w:pos="2268"/>
              </w:tabs>
              <w:jc w:val="left"/>
              <w:rPr>
                <w:rFonts w:eastAsia="Times New Roman"/>
                <w:color w:val="000000"/>
                <w:sz w:val="18"/>
                <w:szCs w:val="18"/>
                <w:lang w:val="fr-FR" w:eastAsia="zh-CN"/>
              </w:rPr>
            </w:pPr>
            <w:r w:rsidRPr="003966DC">
              <w:rPr>
                <w:rFonts w:eastAsia="Times New Roman"/>
                <w:color w:val="000000"/>
                <w:sz w:val="18"/>
                <w:szCs w:val="18"/>
                <w:lang w:val="fr-FR" w:eastAsia="zh-CN"/>
              </w:rPr>
              <w:t>R</w:t>
            </w:r>
            <w:r w:rsidR="003F6B2B" w:rsidRPr="003966DC">
              <w:rPr>
                <w:rFonts w:eastAsia="Times New Roman"/>
                <w:color w:val="000000"/>
                <w:sz w:val="18"/>
                <w:szCs w:val="18"/>
                <w:lang w:val="fr-FR" w:eastAsia="zh-CN"/>
              </w:rPr>
              <w:t>é</w:t>
            </w:r>
            <w:r w:rsidR="007672A3" w:rsidRPr="003966DC">
              <w:rPr>
                <w:rFonts w:eastAsia="Times New Roman"/>
                <w:color w:val="000000"/>
                <w:sz w:val="18"/>
                <w:szCs w:val="18"/>
                <w:lang w:val="fr-FR" w:eastAsia="zh-CN"/>
              </w:rPr>
              <w:t xml:space="preserve">serve </w:t>
            </w:r>
          </w:p>
        </w:tc>
        <w:tc>
          <w:tcPr>
            <w:tcW w:w="1180" w:type="dxa"/>
            <w:tcBorders>
              <w:top w:val="nil"/>
              <w:left w:val="nil"/>
              <w:bottom w:val="single" w:sz="8" w:space="0" w:color="auto"/>
              <w:right w:val="nil"/>
            </w:tcBorders>
            <w:shd w:val="clear" w:color="auto" w:fill="auto"/>
            <w:vAlign w:val="center"/>
          </w:tcPr>
          <w:p w14:paraId="1B92AF26" w14:textId="2D7B06BD"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(71</w:t>
            </w:r>
            <w:r w:rsidR="00C65968" w:rsidRPr="003966DC">
              <w:rPr>
                <w:rFonts w:eastAsia="Times New Roman"/>
                <w:color w:val="000000"/>
                <w:sz w:val="18"/>
                <w:szCs w:val="18"/>
                <w:lang w:val="fr-FR" w:eastAsia="zh-CN"/>
              </w:rPr>
              <w:t>,</w:t>
            </w:r>
            <w:r w:rsidR="00617DAC" w:rsidRPr="003966DC">
              <w:rPr>
                <w:rFonts w:eastAsia="Times New Roman"/>
                <w:color w:val="000000"/>
                <w:sz w:val="18"/>
                <w:szCs w:val="18"/>
                <w:lang w:val="fr-FR" w:eastAsia="zh-CN"/>
              </w:rPr>
              <w:t>3</w:t>
            </w:r>
            <w:r w:rsidRPr="003966DC">
              <w:rPr>
                <w:rFonts w:eastAsia="Times New Roman"/>
                <w:color w:val="000000"/>
                <w:sz w:val="18"/>
                <w:szCs w:val="18"/>
                <w:lang w:val="fr-FR" w:eastAsia="zh-CN"/>
              </w:rPr>
              <w:t>)</w:t>
            </w:r>
          </w:p>
        </w:tc>
        <w:tc>
          <w:tcPr>
            <w:tcW w:w="1180" w:type="dxa"/>
            <w:tcBorders>
              <w:top w:val="nil"/>
              <w:left w:val="nil"/>
              <w:bottom w:val="single" w:sz="8" w:space="0" w:color="auto"/>
              <w:right w:val="nil"/>
            </w:tcBorders>
            <w:shd w:val="clear" w:color="auto" w:fill="auto"/>
            <w:vAlign w:val="center"/>
          </w:tcPr>
          <w:p w14:paraId="6556053E" w14:textId="17DF3AF8"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(29</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0)</w:t>
            </w:r>
          </w:p>
        </w:tc>
        <w:tc>
          <w:tcPr>
            <w:tcW w:w="1180" w:type="dxa"/>
            <w:tcBorders>
              <w:top w:val="nil"/>
              <w:left w:val="nil"/>
              <w:bottom w:val="nil"/>
              <w:right w:val="nil"/>
            </w:tcBorders>
            <w:shd w:val="clear" w:color="auto" w:fill="auto"/>
            <w:vAlign w:val="center"/>
          </w:tcPr>
          <w:p w14:paraId="3013FD75" w14:textId="36D3B250" w:rsidR="007672A3" w:rsidRPr="003966DC"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3966DC">
              <w:rPr>
                <w:rFonts w:eastAsia="Times New Roman"/>
                <w:color w:val="000000"/>
                <w:sz w:val="18"/>
                <w:szCs w:val="18"/>
                <w:lang w:val="fr-FR" w:eastAsia="zh-CN"/>
              </w:rPr>
              <w:t>(100</w:t>
            </w:r>
            <w:r w:rsidR="00C65968" w:rsidRPr="003966DC">
              <w:rPr>
                <w:rFonts w:eastAsia="Times New Roman"/>
                <w:color w:val="000000"/>
                <w:sz w:val="18"/>
                <w:szCs w:val="18"/>
                <w:lang w:val="fr-FR" w:eastAsia="zh-CN"/>
              </w:rPr>
              <w:t>,</w:t>
            </w:r>
            <w:r w:rsidRPr="003966DC">
              <w:rPr>
                <w:rFonts w:eastAsia="Times New Roman"/>
                <w:color w:val="000000"/>
                <w:sz w:val="18"/>
                <w:szCs w:val="18"/>
                <w:lang w:val="fr-FR" w:eastAsia="zh-CN"/>
              </w:rPr>
              <w:t>3)</w:t>
            </w:r>
          </w:p>
        </w:tc>
      </w:tr>
      <w:tr w:rsidR="007672A3" w:rsidRPr="003966DC" w14:paraId="17339F03" w14:textId="77777777" w:rsidTr="00A52B30">
        <w:trPr>
          <w:trHeight w:val="470"/>
        </w:trPr>
        <w:tc>
          <w:tcPr>
            <w:tcW w:w="4593" w:type="dxa"/>
            <w:tcBorders>
              <w:top w:val="nil"/>
              <w:left w:val="nil"/>
              <w:bottom w:val="single" w:sz="8" w:space="0" w:color="auto"/>
              <w:right w:val="nil"/>
            </w:tcBorders>
            <w:shd w:val="clear" w:color="auto" w:fill="auto"/>
            <w:vAlign w:val="center"/>
            <w:hideMark/>
          </w:tcPr>
          <w:p w14:paraId="38BD8816" w14:textId="75791B31" w:rsidR="007672A3" w:rsidRPr="003966DC" w:rsidRDefault="003F6B2B" w:rsidP="00A52B30">
            <w:pPr>
              <w:tabs>
                <w:tab w:val="clear" w:pos="567"/>
                <w:tab w:val="clear" w:pos="1134"/>
                <w:tab w:val="clear" w:pos="1701"/>
                <w:tab w:val="clear" w:pos="2268"/>
              </w:tabs>
              <w:ind w:left="317"/>
              <w:jc w:val="left"/>
              <w:rPr>
                <w:rFonts w:eastAsia="Times New Roman"/>
                <w:b/>
                <w:bCs/>
                <w:color w:val="000000"/>
                <w:sz w:val="18"/>
                <w:szCs w:val="18"/>
                <w:lang w:val="fr-FR" w:eastAsia="zh-CN"/>
              </w:rPr>
            </w:pPr>
            <w:r w:rsidRPr="003966DC">
              <w:rPr>
                <w:b/>
                <w:bCs/>
                <w:sz w:val="18"/>
                <w:szCs w:val="18"/>
                <w:lang w:val="fr-FR" w:bidi="ar-SY"/>
              </w:rPr>
              <w:t>Total net (somme à répartir entre les Parties)</w:t>
            </w:r>
          </w:p>
        </w:tc>
        <w:tc>
          <w:tcPr>
            <w:tcW w:w="1180" w:type="dxa"/>
            <w:tcBorders>
              <w:top w:val="nil"/>
              <w:left w:val="nil"/>
              <w:bottom w:val="single" w:sz="8" w:space="0" w:color="auto"/>
              <w:right w:val="nil"/>
            </w:tcBorders>
            <w:shd w:val="clear" w:color="auto" w:fill="auto"/>
            <w:vAlign w:val="center"/>
          </w:tcPr>
          <w:p w14:paraId="5A1A8450" w14:textId="46E1F7DE" w:rsidR="007672A3" w:rsidRPr="003966DC"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3966DC">
              <w:rPr>
                <w:rFonts w:eastAsia="Times New Roman"/>
                <w:b/>
                <w:bCs/>
                <w:color w:val="000000"/>
                <w:sz w:val="18"/>
                <w:szCs w:val="18"/>
                <w:lang w:val="fr-FR" w:eastAsia="zh-CN"/>
              </w:rPr>
              <w:t>2 933</w:t>
            </w:r>
            <w:r w:rsidR="00C65968" w:rsidRPr="003966DC">
              <w:rPr>
                <w:rFonts w:eastAsia="Times New Roman"/>
                <w:b/>
                <w:bCs/>
                <w:color w:val="000000"/>
                <w:sz w:val="18"/>
                <w:szCs w:val="18"/>
                <w:lang w:val="fr-FR" w:eastAsia="zh-CN"/>
              </w:rPr>
              <w:t>,</w:t>
            </w:r>
            <w:r w:rsidRPr="003966DC">
              <w:rPr>
                <w:rFonts w:eastAsia="Times New Roman"/>
                <w:b/>
                <w:bCs/>
                <w:color w:val="000000"/>
                <w:sz w:val="18"/>
                <w:szCs w:val="18"/>
                <w:lang w:val="fr-FR" w:eastAsia="zh-CN"/>
              </w:rPr>
              <w:t>1</w:t>
            </w:r>
          </w:p>
        </w:tc>
        <w:tc>
          <w:tcPr>
            <w:tcW w:w="1180" w:type="dxa"/>
            <w:tcBorders>
              <w:top w:val="nil"/>
              <w:left w:val="nil"/>
              <w:bottom w:val="single" w:sz="8" w:space="0" w:color="auto"/>
              <w:right w:val="nil"/>
            </w:tcBorders>
            <w:shd w:val="clear" w:color="auto" w:fill="auto"/>
            <w:vAlign w:val="center"/>
          </w:tcPr>
          <w:p w14:paraId="4652E67A" w14:textId="1656EAE1" w:rsidR="007672A3" w:rsidRPr="003966DC"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3966DC">
              <w:rPr>
                <w:rFonts w:eastAsia="Times New Roman"/>
                <w:b/>
                <w:bCs/>
                <w:color w:val="000000"/>
                <w:sz w:val="18"/>
                <w:szCs w:val="18"/>
                <w:lang w:val="fr-FR" w:eastAsia="zh-CN"/>
              </w:rPr>
              <w:t>3 133</w:t>
            </w:r>
            <w:r w:rsidR="00C65968" w:rsidRPr="003966DC">
              <w:rPr>
                <w:rFonts w:eastAsia="Times New Roman"/>
                <w:b/>
                <w:bCs/>
                <w:color w:val="000000"/>
                <w:sz w:val="18"/>
                <w:szCs w:val="18"/>
                <w:lang w:val="fr-FR" w:eastAsia="zh-CN"/>
              </w:rPr>
              <w:t>,</w:t>
            </w:r>
            <w:r w:rsidRPr="003966DC">
              <w:rPr>
                <w:rFonts w:eastAsia="Times New Roman"/>
                <w:b/>
                <w:bCs/>
                <w:color w:val="000000"/>
                <w:sz w:val="18"/>
                <w:szCs w:val="18"/>
                <w:lang w:val="fr-FR" w:eastAsia="zh-CN"/>
              </w:rPr>
              <w:t>7</w:t>
            </w:r>
          </w:p>
        </w:tc>
        <w:tc>
          <w:tcPr>
            <w:tcW w:w="1180" w:type="dxa"/>
            <w:tcBorders>
              <w:top w:val="single" w:sz="8" w:space="0" w:color="auto"/>
              <w:left w:val="nil"/>
              <w:bottom w:val="single" w:sz="8" w:space="0" w:color="auto"/>
              <w:right w:val="nil"/>
            </w:tcBorders>
            <w:shd w:val="clear" w:color="auto" w:fill="auto"/>
            <w:vAlign w:val="center"/>
          </w:tcPr>
          <w:p w14:paraId="7560A1FF" w14:textId="2B82D541" w:rsidR="007672A3" w:rsidRPr="003966DC"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3966DC">
              <w:rPr>
                <w:rFonts w:eastAsia="Times New Roman"/>
                <w:b/>
                <w:bCs/>
                <w:color w:val="000000"/>
                <w:sz w:val="18"/>
                <w:szCs w:val="18"/>
                <w:lang w:val="fr-FR" w:eastAsia="zh-CN"/>
              </w:rPr>
              <w:t>6 066</w:t>
            </w:r>
            <w:r w:rsidR="00C65968" w:rsidRPr="003966DC">
              <w:rPr>
                <w:rFonts w:eastAsia="Times New Roman"/>
                <w:b/>
                <w:bCs/>
                <w:color w:val="000000"/>
                <w:sz w:val="18"/>
                <w:szCs w:val="18"/>
                <w:lang w:val="fr-FR" w:eastAsia="zh-CN"/>
              </w:rPr>
              <w:t>,</w:t>
            </w:r>
            <w:r w:rsidRPr="003966DC">
              <w:rPr>
                <w:rFonts w:eastAsia="Times New Roman"/>
                <w:b/>
                <w:bCs/>
                <w:color w:val="000000"/>
                <w:sz w:val="18"/>
                <w:szCs w:val="18"/>
                <w:lang w:val="fr-FR" w:eastAsia="zh-CN"/>
              </w:rPr>
              <w:t>8</w:t>
            </w:r>
          </w:p>
        </w:tc>
      </w:tr>
    </w:tbl>
    <w:p w14:paraId="2CEE75F0" w14:textId="77777777" w:rsidR="00875B4A" w:rsidRPr="003966DC" w:rsidRDefault="00875B4A">
      <w:pPr>
        <w:tabs>
          <w:tab w:val="clear" w:pos="567"/>
          <w:tab w:val="clear" w:pos="1134"/>
          <w:tab w:val="clear" w:pos="1701"/>
          <w:tab w:val="clear" w:pos="2268"/>
        </w:tabs>
        <w:spacing w:after="160" w:line="259" w:lineRule="auto"/>
        <w:jc w:val="left"/>
        <w:rPr>
          <w:lang w:val="fr-FR"/>
        </w:rPr>
      </w:pPr>
    </w:p>
    <w:p w14:paraId="15A0D702" w14:textId="2410A09D" w:rsidR="001F6ADD" w:rsidRPr="003966DC" w:rsidRDefault="001F6ADD">
      <w:pPr>
        <w:tabs>
          <w:tab w:val="clear" w:pos="567"/>
          <w:tab w:val="clear" w:pos="1134"/>
          <w:tab w:val="clear" w:pos="1701"/>
          <w:tab w:val="clear" w:pos="2268"/>
        </w:tabs>
        <w:spacing w:after="160" w:line="259" w:lineRule="auto"/>
        <w:jc w:val="left"/>
        <w:rPr>
          <w:rFonts w:ascii="Times New Roman Bold" w:hAnsi="Times New Roman Bold" w:cs="Times New Roman Bold" w:hint="eastAsia"/>
          <w:bCs/>
          <w:sz w:val="24"/>
          <w:lang w:val="fr-FR"/>
        </w:rPr>
      </w:pPr>
      <w:r w:rsidRPr="003966DC">
        <w:rPr>
          <w:lang w:val="fr-FR"/>
        </w:rPr>
        <w:br w:type="page"/>
      </w:r>
    </w:p>
    <w:p w14:paraId="536BE5CE" w14:textId="181F5F26" w:rsidR="00A30394" w:rsidRPr="003966DC" w:rsidRDefault="00E12AFE" w:rsidP="00A30394">
      <w:pPr>
        <w:pStyle w:val="CBDDesicionAnnex"/>
        <w:rPr>
          <w:rFonts w:hint="eastAsia"/>
          <w:lang w:val="fr-FR"/>
        </w:rPr>
      </w:pPr>
      <w:r w:rsidRPr="003966DC">
        <w:rPr>
          <w:lang w:val="fr-FR"/>
        </w:rPr>
        <w:lastRenderedPageBreak/>
        <w:t>Annex</w:t>
      </w:r>
      <w:r w:rsidR="0075239E" w:rsidRPr="003966DC">
        <w:rPr>
          <w:lang w:val="fr-FR"/>
        </w:rPr>
        <w:t>e</w:t>
      </w:r>
      <w:r w:rsidR="00A77799" w:rsidRPr="003966DC">
        <w:rPr>
          <w:lang w:val="fr-FR"/>
        </w:rPr>
        <w:t xml:space="preserve"> </w:t>
      </w:r>
    </w:p>
    <w:p w14:paraId="64CFD25D" w14:textId="1E5D4FD5" w:rsidR="00E12AFE" w:rsidRPr="003966DC" w:rsidRDefault="00700C28" w:rsidP="00A52B30">
      <w:pPr>
        <w:pStyle w:val="CBDDesicionAnnex"/>
        <w:rPr>
          <w:rFonts w:hint="eastAsia"/>
          <w:lang w:val="fr-FR"/>
        </w:rPr>
      </w:pPr>
      <w:r w:rsidRPr="003966DC">
        <w:rPr>
          <w:lang w:val="fr-FR"/>
        </w:rPr>
        <w:t>C</w:t>
      </w:r>
      <w:r w:rsidR="001F6ADD" w:rsidRPr="003966DC">
        <w:rPr>
          <w:lang w:val="fr-FR"/>
        </w:rPr>
        <w:t>ontribution</w:t>
      </w:r>
      <w:r w:rsidR="00A41449" w:rsidRPr="003966DC">
        <w:rPr>
          <w:lang w:val="fr-FR"/>
        </w:rPr>
        <w:t>s</w:t>
      </w:r>
      <w:r w:rsidRPr="003966DC">
        <w:rPr>
          <w:lang w:val="fr-FR"/>
        </w:rPr>
        <w:t xml:space="preserve"> </w:t>
      </w:r>
      <w:bookmarkStart w:id="7" w:name="_Hlk183618109"/>
      <w:r w:rsidR="00A41449" w:rsidRPr="003966DC">
        <w:rPr>
          <w:lang w:val="fr-FR"/>
        </w:rPr>
        <w:t xml:space="preserve">au </w:t>
      </w:r>
      <w:r w:rsidR="00F05EAE" w:rsidRPr="003966DC">
        <w:rPr>
          <w:rFonts w:asciiTheme="majorBidi" w:hAnsiTheme="majorBidi" w:cstheme="majorBidi"/>
          <w:lang w:val="fr-FR"/>
        </w:rPr>
        <w:t>Fonds général d’affectation spéciale destiné au budget-programme de base pour le Protocole de Cartagena</w:t>
      </w:r>
      <w:r w:rsidR="00C64124" w:rsidRPr="003966DC">
        <w:rPr>
          <w:lang w:val="fr-FR"/>
        </w:rPr>
        <w:t>, 2025</w:t>
      </w:r>
      <w:r w:rsidR="00FB35EB" w:rsidRPr="003966DC">
        <w:rPr>
          <w:lang w:val="fr-FR"/>
        </w:rPr>
        <w:t>-</w:t>
      </w:r>
      <w:r w:rsidR="00C64124" w:rsidRPr="003966DC">
        <w:rPr>
          <w:lang w:val="fr-FR"/>
        </w:rPr>
        <w:t>2026</w:t>
      </w:r>
      <w:bookmarkEnd w:id="7"/>
    </w:p>
    <w:tbl>
      <w:tblPr>
        <w:tblW w:w="9450" w:type="dxa"/>
        <w:tblInd w:w="-95" w:type="dxa"/>
        <w:tblLayout w:type="fixed"/>
        <w:tblLook w:val="04A0" w:firstRow="1" w:lastRow="0" w:firstColumn="1" w:lastColumn="0" w:noHBand="0" w:noVBand="1"/>
      </w:tblPr>
      <w:tblGrid>
        <w:gridCol w:w="2070"/>
        <w:gridCol w:w="1138"/>
        <w:gridCol w:w="2552"/>
        <w:gridCol w:w="1217"/>
        <w:gridCol w:w="1213"/>
        <w:gridCol w:w="1260"/>
      </w:tblGrid>
      <w:tr w:rsidR="00A30394" w:rsidRPr="003966DC" w14:paraId="1A8CFB91" w14:textId="77777777" w:rsidTr="00E77AEE">
        <w:trPr>
          <w:trHeight w:val="404"/>
          <w:tblHeader/>
        </w:trPr>
        <w:tc>
          <w:tcPr>
            <w:tcW w:w="2070" w:type="dxa"/>
            <w:vMerge w:val="restart"/>
            <w:tcBorders>
              <w:top w:val="single" w:sz="4" w:space="0" w:color="auto"/>
              <w:left w:val="single" w:sz="4" w:space="0" w:color="auto"/>
              <w:right w:val="single" w:sz="4" w:space="0" w:color="auto"/>
            </w:tcBorders>
            <w:shd w:val="clear" w:color="auto" w:fill="auto"/>
            <w:noWrap/>
            <w:vAlign w:val="bottom"/>
          </w:tcPr>
          <w:p w14:paraId="3FE5D8BD" w14:textId="22AF491D" w:rsidR="002C564E" w:rsidRPr="003966DC" w:rsidDel="002E11FA" w:rsidRDefault="002C564E" w:rsidP="007243AD">
            <w:pPr>
              <w:jc w:val="left"/>
              <w:rPr>
                <w:rFonts w:eastAsia="Times New Roman"/>
                <w:i/>
                <w:iCs/>
                <w:color w:val="000000" w:themeColor="text1"/>
                <w:sz w:val="18"/>
                <w:szCs w:val="18"/>
                <w:lang w:val="fr-FR" w:eastAsia="en-CA"/>
              </w:rPr>
            </w:pPr>
            <w:r w:rsidRPr="003966DC">
              <w:rPr>
                <w:rFonts w:eastAsia="Times New Roman"/>
                <w:i/>
                <w:iCs/>
                <w:color w:val="000000" w:themeColor="text1"/>
                <w:sz w:val="18"/>
                <w:szCs w:val="18"/>
                <w:lang w:val="fr-FR" w:eastAsia="en-CA"/>
              </w:rPr>
              <w:t>Part</w:t>
            </w:r>
            <w:r w:rsidR="006525FD" w:rsidRPr="003966DC">
              <w:rPr>
                <w:rFonts w:eastAsia="Times New Roman"/>
                <w:i/>
                <w:iCs/>
                <w:color w:val="000000" w:themeColor="text1"/>
                <w:sz w:val="18"/>
                <w:szCs w:val="18"/>
                <w:lang w:val="fr-FR" w:eastAsia="en-CA"/>
              </w:rPr>
              <w:t>ie</w:t>
            </w:r>
          </w:p>
        </w:tc>
        <w:tc>
          <w:tcPr>
            <w:tcW w:w="3690" w:type="dxa"/>
            <w:gridSpan w:val="2"/>
            <w:tcBorders>
              <w:top w:val="single" w:sz="4" w:space="0" w:color="auto"/>
              <w:left w:val="nil"/>
              <w:bottom w:val="single" w:sz="4" w:space="0" w:color="auto"/>
              <w:right w:val="single" w:sz="4" w:space="0" w:color="auto"/>
            </w:tcBorders>
            <w:shd w:val="clear" w:color="auto" w:fill="auto"/>
            <w:vAlign w:val="bottom"/>
          </w:tcPr>
          <w:p w14:paraId="25A0BB15" w14:textId="6079740A" w:rsidR="002C564E" w:rsidRPr="003966DC" w:rsidRDefault="006525FD" w:rsidP="000A5253">
            <w:pPr>
              <w:pStyle w:val="CBDTableNormal"/>
              <w:spacing w:before="0" w:after="0"/>
              <w:jc w:val="center"/>
              <w:rPr>
                <w:i/>
                <w:iCs/>
                <w:color w:val="000000" w:themeColor="text1"/>
                <w:sz w:val="18"/>
                <w:szCs w:val="18"/>
                <w:lang w:val="fr-FR" w:eastAsia="en-CA"/>
              </w:rPr>
            </w:pPr>
            <w:r w:rsidRPr="003966DC">
              <w:rPr>
                <w:i/>
                <w:iCs/>
                <w:color w:val="000000" w:themeColor="text1"/>
                <w:sz w:val="18"/>
                <w:szCs w:val="18"/>
                <w:lang w:val="fr-FR" w:eastAsia="en-CA"/>
              </w:rPr>
              <w:t>Barème des quote</w:t>
            </w:r>
            <w:r w:rsidR="003966DC">
              <w:rPr>
                <w:i/>
                <w:iCs/>
                <w:color w:val="000000" w:themeColor="text1"/>
                <w:sz w:val="18"/>
                <w:szCs w:val="18"/>
                <w:lang w:val="fr-FR" w:eastAsia="en-CA"/>
              </w:rPr>
              <w:t>s</w:t>
            </w:r>
            <w:r w:rsidR="007D7D63">
              <w:rPr>
                <w:i/>
                <w:iCs/>
                <w:color w:val="000000" w:themeColor="text1"/>
                <w:sz w:val="18"/>
                <w:szCs w:val="18"/>
                <w:lang w:val="fr-FR" w:eastAsia="en-CA"/>
              </w:rPr>
              <w:t>-</w:t>
            </w:r>
            <w:r w:rsidRPr="003966DC">
              <w:rPr>
                <w:i/>
                <w:iCs/>
                <w:color w:val="000000" w:themeColor="text1"/>
                <w:sz w:val="18"/>
                <w:szCs w:val="18"/>
                <w:lang w:val="fr-FR" w:eastAsia="en-CA"/>
              </w:rPr>
              <w:t>parts</w:t>
            </w:r>
          </w:p>
          <w:p w14:paraId="1777CC1A" w14:textId="70A9F44F" w:rsidR="002C564E" w:rsidRPr="003966DC" w:rsidRDefault="002C564E" w:rsidP="00A52B30">
            <w:pPr>
              <w:jc w:val="center"/>
              <w:rPr>
                <w:rFonts w:eastAsia="Times New Roman"/>
                <w:i/>
                <w:iCs/>
                <w:color w:val="000000" w:themeColor="text1"/>
                <w:sz w:val="18"/>
                <w:szCs w:val="18"/>
                <w:lang w:val="fr-FR" w:eastAsia="en-CA"/>
              </w:rPr>
            </w:pPr>
            <w:r w:rsidRPr="003966DC">
              <w:rPr>
                <w:i/>
                <w:iCs/>
                <w:color w:val="000000" w:themeColor="text1"/>
                <w:sz w:val="18"/>
                <w:szCs w:val="18"/>
                <w:lang w:val="fr-FR" w:eastAsia="en-CA"/>
              </w:rPr>
              <w:t>(</w:t>
            </w:r>
            <w:r w:rsidR="003F76F9" w:rsidRPr="003966DC">
              <w:rPr>
                <w:i/>
                <w:iCs/>
                <w:color w:val="000000" w:themeColor="text1"/>
                <w:sz w:val="18"/>
                <w:szCs w:val="18"/>
                <w:lang w:val="fr-FR" w:eastAsia="en-CA"/>
              </w:rPr>
              <w:t>%</w:t>
            </w:r>
            <w:r w:rsidRPr="003966DC">
              <w:rPr>
                <w:i/>
                <w:iCs/>
                <w:color w:val="000000" w:themeColor="text1"/>
                <w:sz w:val="18"/>
                <w:szCs w:val="18"/>
                <w:lang w:val="fr-FR" w:eastAsia="en-CA"/>
              </w:rPr>
              <w:t>)</w:t>
            </w:r>
          </w:p>
        </w:tc>
        <w:tc>
          <w:tcPr>
            <w:tcW w:w="3690" w:type="dxa"/>
            <w:gridSpan w:val="3"/>
            <w:tcBorders>
              <w:top w:val="single" w:sz="4" w:space="0" w:color="auto"/>
              <w:left w:val="nil"/>
              <w:bottom w:val="single" w:sz="4" w:space="0" w:color="auto"/>
              <w:right w:val="single" w:sz="4" w:space="0" w:color="auto"/>
            </w:tcBorders>
            <w:shd w:val="clear" w:color="auto" w:fill="auto"/>
            <w:vAlign w:val="bottom"/>
          </w:tcPr>
          <w:p w14:paraId="62150519" w14:textId="77777777" w:rsidR="002C564E" w:rsidRPr="003966DC" w:rsidRDefault="002C564E" w:rsidP="000A5253">
            <w:pPr>
              <w:pStyle w:val="CBDTableNormal"/>
              <w:spacing w:before="0" w:after="0"/>
              <w:jc w:val="center"/>
              <w:rPr>
                <w:i/>
                <w:iCs/>
                <w:color w:val="000000" w:themeColor="text1"/>
                <w:sz w:val="18"/>
                <w:szCs w:val="18"/>
                <w:lang w:val="fr-FR" w:eastAsia="en-CA"/>
              </w:rPr>
            </w:pPr>
            <w:r w:rsidRPr="003966DC">
              <w:rPr>
                <w:i/>
                <w:iCs/>
                <w:color w:val="000000" w:themeColor="text1"/>
                <w:sz w:val="18"/>
                <w:szCs w:val="18"/>
                <w:lang w:val="fr-FR" w:eastAsia="en-CA"/>
              </w:rPr>
              <w:t>Contributions</w:t>
            </w:r>
          </w:p>
          <w:p w14:paraId="144CE1D4" w14:textId="471F1CB4" w:rsidR="002C564E" w:rsidRPr="003966DC" w:rsidRDefault="002C564E" w:rsidP="00A52B30">
            <w:pPr>
              <w:jc w:val="center"/>
              <w:rPr>
                <w:rFonts w:eastAsia="Times New Roman"/>
                <w:i/>
                <w:iCs/>
                <w:color w:val="000000" w:themeColor="text1"/>
                <w:sz w:val="18"/>
                <w:szCs w:val="18"/>
                <w:lang w:val="fr-FR" w:eastAsia="en-CA"/>
              </w:rPr>
            </w:pPr>
            <w:r w:rsidRPr="003966DC">
              <w:rPr>
                <w:i/>
                <w:iCs/>
                <w:color w:val="000000" w:themeColor="text1"/>
                <w:sz w:val="18"/>
                <w:szCs w:val="18"/>
                <w:lang w:val="fr-FR" w:eastAsia="en-CA"/>
              </w:rPr>
              <w:t>(</w:t>
            </w:r>
            <w:r w:rsidR="003F76F9" w:rsidRPr="003966DC">
              <w:rPr>
                <w:i/>
                <w:iCs/>
                <w:color w:val="000000" w:themeColor="text1"/>
                <w:sz w:val="18"/>
                <w:szCs w:val="18"/>
                <w:lang w:val="fr-FR" w:eastAsia="en-CA"/>
              </w:rPr>
              <w:t>d</w:t>
            </w:r>
            <w:r w:rsidR="00387714" w:rsidRPr="003966DC">
              <w:rPr>
                <w:i/>
                <w:iCs/>
                <w:color w:val="000000" w:themeColor="text1"/>
                <w:sz w:val="18"/>
                <w:szCs w:val="18"/>
                <w:lang w:val="fr-FR" w:eastAsia="en-CA"/>
              </w:rPr>
              <w:t>ollars É.-U.</w:t>
            </w:r>
            <w:r w:rsidRPr="003966DC">
              <w:rPr>
                <w:i/>
                <w:iCs/>
                <w:color w:val="000000" w:themeColor="text1"/>
                <w:sz w:val="18"/>
                <w:szCs w:val="18"/>
                <w:lang w:val="fr-FR" w:eastAsia="en-CA"/>
              </w:rPr>
              <w:t>)</w:t>
            </w:r>
          </w:p>
        </w:tc>
      </w:tr>
      <w:tr w:rsidR="00A30394" w:rsidRPr="003966DC" w14:paraId="1552275C" w14:textId="77777777" w:rsidTr="00E77AEE">
        <w:trPr>
          <w:trHeight w:val="701"/>
          <w:tblHeader/>
        </w:trPr>
        <w:tc>
          <w:tcPr>
            <w:tcW w:w="2070" w:type="dxa"/>
            <w:vMerge/>
            <w:tcBorders>
              <w:left w:val="single" w:sz="4" w:space="0" w:color="auto"/>
              <w:bottom w:val="single" w:sz="4" w:space="0" w:color="auto"/>
              <w:right w:val="single" w:sz="4" w:space="0" w:color="auto"/>
            </w:tcBorders>
            <w:shd w:val="clear" w:color="auto" w:fill="auto"/>
            <w:noWrap/>
            <w:vAlign w:val="bottom"/>
            <w:hideMark/>
          </w:tcPr>
          <w:p w14:paraId="5A650940" w14:textId="1172E757" w:rsidR="00447DE3" w:rsidRPr="003966DC" w:rsidRDefault="00447DE3" w:rsidP="007243AD">
            <w:pPr>
              <w:jc w:val="left"/>
              <w:rPr>
                <w:rFonts w:eastAsia="Times New Roman"/>
                <w:i/>
                <w:iCs/>
                <w:color w:val="000000" w:themeColor="text1"/>
                <w:sz w:val="18"/>
                <w:szCs w:val="18"/>
                <w:lang w:val="fr-FR" w:eastAsia="en-CA"/>
              </w:rPr>
            </w:pP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7120CE4A" w14:textId="75E376C2" w:rsidR="00447DE3" w:rsidRPr="003966DC" w:rsidRDefault="00447DE3" w:rsidP="007243AD">
            <w:pPr>
              <w:jc w:val="right"/>
              <w:rPr>
                <w:rFonts w:eastAsia="Times New Roman"/>
                <w:i/>
                <w:iCs/>
                <w:color w:val="000000" w:themeColor="text1"/>
                <w:sz w:val="18"/>
                <w:szCs w:val="18"/>
                <w:lang w:val="fr-FR" w:eastAsia="en-CA"/>
              </w:rPr>
            </w:pPr>
            <w:r w:rsidRPr="003966DC">
              <w:rPr>
                <w:rFonts w:eastAsia="Times New Roman"/>
                <w:i/>
                <w:iCs/>
                <w:color w:val="000000" w:themeColor="text1"/>
                <w:sz w:val="18"/>
                <w:szCs w:val="18"/>
                <w:lang w:val="fr-FR" w:eastAsia="en-CA"/>
              </w:rPr>
              <w:t>2022</w:t>
            </w:r>
            <w:r w:rsidR="003F76F9" w:rsidRPr="003966DC">
              <w:rPr>
                <w:rFonts w:eastAsia="Times New Roman"/>
                <w:i/>
                <w:iCs/>
                <w:color w:val="000000" w:themeColor="text1"/>
                <w:sz w:val="18"/>
                <w:szCs w:val="18"/>
                <w:lang w:val="fr-FR" w:eastAsia="en-CA"/>
              </w:rPr>
              <w:t>-</w:t>
            </w:r>
            <w:r w:rsidRPr="003966DC">
              <w:rPr>
                <w:rFonts w:eastAsia="Times New Roman"/>
                <w:i/>
                <w:iCs/>
                <w:color w:val="000000" w:themeColor="text1"/>
                <w:sz w:val="18"/>
                <w:szCs w:val="18"/>
                <w:lang w:val="fr-FR" w:eastAsia="en-CA"/>
              </w:rPr>
              <w:t>2024</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1296D842" w14:textId="2F2F046D" w:rsidR="00447DE3" w:rsidRPr="003966DC" w:rsidRDefault="00341C6A" w:rsidP="007243AD">
            <w:pPr>
              <w:jc w:val="right"/>
              <w:rPr>
                <w:rFonts w:eastAsia="Times New Roman"/>
                <w:i/>
                <w:iCs/>
                <w:color w:val="000000" w:themeColor="text1"/>
                <w:sz w:val="18"/>
                <w:szCs w:val="18"/>
                <w:lang w:val="fr-FR" w:eastAsia="en-CA"/>
              </w:rPr>
            </w:pPr>
            <w:r w:rsidRPr="003966DC">
              <w:rPr>
                <w:rFonts w:eastAsia="Times New Roman"/>
                <w:i/>
                <w:iCs/>
                <w:color w:val="000000" w:themeColor="text1"/>
                <w:sz w:val="18"/>
                <w:szCs w:val="18"/>
                <w:lang w:val="fr-FR" w:eastAsia="en-CA"/>
              </w:rPr>
              <w:t>Barème assorti d’un plafond de 22</w:t>
            </w:r>
            <w:r w:rsidR="00186D3D">
              <w:rPr>
                <w:rFonts w:eastAsia="Times New Roman"/>
                <w:i/>
                <w:iCs/>
                <w:color w:val="000000" w:themeColor="text1"/>
                <w:sz w:val="18"/>
                <w:szCs w:val="18"/>
                <w:lang w:val="fr-FR" w:eastAsia="en-CA"/>
              </w:rPr>
              <w:t> </w:t>
            </w:r>
            <w:r w:rsidRPr="003966DC">
              <w:rPr>
                <w:rFonts w:eastAsia="Times New Roman"/>
                <w:i/>
                <w:iCs/>
                <w:color w:val="000000" w:themeColor="text1"/>
                <w:sz w:val="18"/>
                <w:szCs w:val="18"/>
                <w:lang w:val="fr-FR" w:eastAsia="en-CA"/>
              </w:rPr>
              <w:t xml:space="preserve">% ; aucun </w:t>
            </w:r>
            <w:r w:rsidR="00854EEA">
              <w:rPr>
                <w:rFonts w:eastAsia="Times New Roman"/>
                <w:i/>
                <w:iCs/>
                <w:color w:val="000000" w:themeColor="text1"/>
                <w:sz w:val="18"/>
                <w:szCs w:val="18"/>
                <w:lang w:val="fr-FR" w:eastAsia="en-CA"/>
              </w:rPr>
              <w:t xml:space="preserve">des </w:t>
            </w:r>
            <w:r w:rsidRPr="003966DC">
              <w:rPr>
                <w:rFonts w:eastAsia="Times New Roman"/>
                <w:i/>
                <w:iCs/>
                <w:color w:val="000000" w:themeColor="text1"/>
                <w:sz w:val="18"/>
                <w:szCs w:val="18"/>
                <w:lang w:val="fr-FR" w:eastAsia="en-CA"/>
              </w:rPr>
              <w:t xml:space="preserve">pays </w:t>
            </w:r>
            <w:r w:rsidR="00854EEA">
              <w:rPr>
                <w:rFonts w:eastAsia="Times New Roman"/>
                <w:i/>
                <w:iCs/>
                <w:color w:val="000000" w:themeColor="text1"/>
                <w:sz w:val="18"/>
                <w:szCs w:val="18"/>
                <w:lang w:val="fr-FR" w:eastAsia="en-CA"/>
              </w:rPr>
              <w:t xml:space="preserve">les </w:t>
            </w:r>
            <w:r w:rsidRPr="003966DC">
              <w:rPr>
                <w:rFonts w:eastAsia="Times New Roman"/>
                <w:i/>
                <w:iCs/>
                <w:color w:val="000000" w:themeColor="text1"/>
                <w:sz w:val="18"/>
                <w:szCs w:val="18"/>
                <w:lang w:val="fr-FR" w:eastAsia="en-CA"/>
              </w:rPr>
              <w:t>moins avancé</w:t>
            </w:r>
            <w:r w:rsidR="00854EEA">
              <w:rPr>
                <w:rFonts w:eastAsia="Times New Roman"/>
                <w:i/>
                <w:iCs/>
                <w:color w:val="000000" w:themeColor="text1"/>
                <w:sz w:val="18"/>
                <w:szCs w:val="18"/>
                <w:lang w:val="fr-FR" w:eastAsia="en-CA"/>
              </w:rPr>
              <w:t>s</w:t>
            </w:r>
            <w:r w:rsidRPr="003966DC">
              <w:rPr>
                <w:rFonts w:eastAsia="Times New Roman"/>
                <w:i/>
                <w:iCs/>
                <w:color w:val="000000" w:themeColor="text1"/>
                <w:sz w:val="18"/>
                <w:szCs w:val="18"/>
                <w:lang w:val="fr-FR" w:eastAsia="en-CA"/>
              </w:rPr>
              <w:t xml:space="preserve"> ne paie plus de 0,01 </w:t>
            </w:r>
            <w:r w:rsidR="00154382" w:rsidRPr="003966DC">
              <w:rPr>
                <w:rFonts w:eastAsia="Times New Roman"/>
                <w:i/>
                <w:iCs/>
                <w:color w:val="000000" w:themeColor="text1"/>
                <w:sz w:val="18"/>
                <w:szCs w:val="18"/>
                <w:lang w:val="fr-FR" w:eastAsia="en-CA"/>
              </w:rPr>
              <w:t>%</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14:paraId="3FF31AB1" w14:textId="515FC2AA" w:rsidR="00447DE3" w:rsidRPr="003966DC" w:rsidRDefault="00447DE3" w:rsidP="007243AD">
            <w:pPr>
              <w:jc w:val="right"/>
              <w:rPr>
                <w:rFonts w:eastAsia="Times New Roman"/>
                <w:i/>
                <w:iCs/>
                <w:color w:val="000000" w:themeColor="text1"/>
                <w:sz w:val="18"/>
                <w:szCs w:val="18"/>
                <w:lang w:val="fr-FR" w:eastAsia="en-CA"/>
              </w:rPr>
            </w:pPr>
            <w:r w:rsidRPr="003966DC">
              <w:rPr>
                <w:rFonts w:eastAsia="Times New Roman"/>
                <w:i/>
                <w:iCs/>
                <w:color w:val="000000" w:themeColor="text1"/>
                <w:sz w:val="18"/>
                <w:szCs w:val="18"/>
                <w:lang w:val="fr-FR" w:eastAsia="en-CA"/>
              </w:rPr>
              <w:t>2025</w:t>
            </w:r>
          </w:p>
        </w:tc>
        <w:tc>
          <w:tcPr>
            <w:tcW w:w="1213" w:type="dxa"/>
            <w:tcBorders>
              <w:top w:val="single" w:sz="4" w:space="0" w:color="auto"/>
              <w:left w:val="nil"/>
              <w:bottom w:val="single" w:sz="4" w:space="0" w:color="auto"/>
              <w:right w:val="single" w:sz="4" w:space="0" w:color="auto"/>
            </w:tcBorders>
            <w:shd w:val="clear" w:color="auto" w:fill="auto"/>
            <w:vAlign w:val="bottom"/>
            <w:hideMark/>
          </w:tcPr>
          <w:p w14:paraId="6C53D369" w14:textId="71D3DC60" w:rsidR="00447DE3" w:rsidRPr="003966DC" w:rsidRDefault="00447DE3" w:rsidP="007243AD">
            <w:pPr>
              <w:jc w:val="right"/>
              <w:rPr>
                <w:rFonts w:eastAsia="Times New Roman"/>
                <w:i/>
                <w:iCs/>
                <w:color w:val="000000" w:themeColor="text1"/>
                <w:sz w:val="18"/>
                <w:szCs w:val="18"/>
                <w:lang w:val="fr-FR" w:eastAsia="en-CA"/>
              </w:rPr>
            </w:pPr>
            <w:r w:rsidRPr="003966DC">
              <w:rPr>
                <w:rFonts w:eastAsia="Times New Roman"/>
                <w:i/>
                <w:iCs/>
                <w:color w:val="000000" w:themeColor="text1"/>
                <w:sz w:val="18"/>
                <w:szCs w:val="18"/>
                <w:lang w:val="fr-FR" w:eastAsia="en-CA"/>
              </w:rPr>
              <w:t>2026</w:t>
            </w:r>
          </w:p>
        </w:tc>
        <w:tc>
          <w:tcPr>
            <w:tcW w:w="1260" w:type="dxa"/>
            <w:tcBorders>
              <w:left w:val="nil"/>
              <w:bottom w:val="single" w:sz="4" w:space="0" w:color="auto"/>
              <w:right w:val="single" w:sz="4" w:space="0" w:color="auto"/>
            </w:tcBorders>
            <w:shd w:val="clear" w:color="auto" w:fill="auto"/>
            <w:vAlign w:val="bottom"/>
            <w:hideMark/>
          </w:tcPr>
          <w:p w14:paraId="66E25E8D" w14:textId="1B62FAB4" w:rsidR="00447DE3" w:rsidRPr="003966DC" w:rsidRDefault="002C564E" w:rsidP="007243AD">
            <w:pPr>
              <w:jc w:val="right"/>
              <w:rPr>
                <w:rFonts w:eastAsia="Times New Roman"/>
                <w:i/>
                <w:iCs/>
                <w:color w:val="000000" w:themeColor="text1"/>
                <w:sz w:val="18"/>
                <w:szCs w:val="18"/>
                <w:lang w:val="fr-FR" w:eastAsia="en-CA"/>
              </w:rPr>
            </w:pPr>
            <w:r w:rsidRPr="003966DC">
              <w:rPr>
                <w:rFonts w:eastAsia="Times New Roman"/>
                <w:i/>
                <w:iCs/>
                <w:color w:val="000000" w:themeColor="text1"/>
                <w:sz w:val="18"/>
                <w:szCs w:val="18"/>
                <w:lang w:val="fr-FR" w:eastAsia="en-CA"/>
              </w:rPr>
              <w:t>2025</w:t>
            </w:r>
            <w:r w:rsidR="003F76F9" w:rsidRPr="003966DC">
              <w:rPr>
                <w:rFonts w:eastAsia="Times New Roman"/>
                <w:i/>
                <w:iCs/>
                <w:color w:val="000000" w:themeColor="text1"/>
                <w:sz w:val="18"/>
                <w:szCs w:val="18"/>
                <w:lang w:val="fr-FR" w:eastAsia="en-CA"/>
              </w:rPr>
              <w:t>-</w:t>
            </w:r>
            <w:r w:rsidRPr="003966DC">
              <w:rPr>
                <w:rFonts w:eastAsia="Times New Roman"/>
                <w:i/>
                <w:iCs/>
                <w:color w:val="000000" w:themeColor="text1"/>
                <w:sz w:val="18"/>
                <w:szCs w:val="18"/>
                <w:lang w:val="fr-FR" w:eastAsia="en-CA"/>
              </w:rPr>
              <w:t>2026</w:t>
            </w:r>
          </w:p>
        </w:tc>
      </w:tr>
      <w:tr w:rsidR="004D10DF" w:rsidRPr="003966DC" w14:paraId="194BFB2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BBCA9A0" w14:textId="53126CC3" w:rsidR="004D10DF" w:rsidRPr="003966DC" w:rsidRDefault="004D10DF" w:rsidP="004D10D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Afghanistan</w:t>
            </w:r>
          </w:p>
        </w:tc>
        <w:tc>
          <w:tcPr>
            <w:tcW w:w="1138" w:type="dxa"/>
            <w:tcBorders>
              <w:top w:val="nil"/>
              <w:left w:val="nil"/>
              <w:bottom w:val="single" w:sz="4" w:space="0" w:color="auto"/>
              <w:right w:val="single" w:sz="4" w:space="0" w:color="auto"/>
            </w:tcBorders>
            <w:shd w:val="clear" w:color="auto" w:fill="auto"/>
            <w:vAlign w:val="bottom"/>
            <w:hideMark/>
          </w:tcPr>
          <w:p w14:paraId="5FC41140" w14:textId="4AAD5760"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006</w:t>
            </w:r>
          </w:p>
        </w:tc>
        <w:tc>
          <w:tcPr>
            <w:tcW w:w="2552" w:type="dxa"/>
            <w:tcBorders>
              <w:top w:val="nil"/>
              <w:left w:val="nil"/>
              <w:bottom w:val="single" w:sz="4" w:space="0" w:color="auto"/>
              <w:right w:val="single" w:sz="4" w:space="0" w:color="auto"/>
            </w:tcBorders>
            <w:shd w:val="clear" w:color="auto" w:fill="auto"/>
            <w:noWrap/>
            <w:vAlign w:val="bottom"/>
            <w:hideMark/>
          </w:tcPr>
          <w:p w14:paraId="7FD6B1F1" w14:textId="05CD3C30"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008</w:t>
            </w:r>
          </w:p>
        </w:tc>
        <w:tc>
          <w:tcPr>
            <w:tcW w:w="1217" w:type="dxa"/>
            <w:tcBorders>
              <w:top w:val="nil"/>
              <w:left w:val="nil"/>
              <w:bottom w:val="single" w:sz="4" w:space="0" w:color="auto"/>
              <w:right w:val="single" w:sz="4" w:space="0" w:color="auto"/>
            </w:tcBorders>
            <w:shd w:val="clear" w:color="auto" w:fill="auto"/>
            <w:noWrap/>
            <w:vAlign w:val="bottom"/>
            <w:hideMark/>
          </w:tcPr>
          <w:p w14:paraId="6A7567C1" w14:textId="7116C868"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248</w:t>
            </w:r>
          </w:p>
        </w:tc>
        <w:tc>
          <w:tcPr>
            <w:tcW w:w="1213" w:type="dxa"/>
            <w:tcBorders>
              <w:top w:val="nil"/>
              <w:left w:val="nil"/>
              <w:bottom w:val="single" w:sz="4" w:space="0" w:color="auto"/>
              <w:right w:val="single" w:sz="4" w:space="0" w:color="auto"/>
            </w:tcBorders>
            <w:shd w:val="clear" w:color="auto" w:fill="auto"/>
            <w:noWrap/>
            <w:vAlign w:val="bottom"/>
            <w:hideMark/>
          </w:tcPr>
          <w:p w14:paraId="351A4509" w14:textId="063829FE"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265</w:t>
            </w:r>
          </w:p>
        </w:tc>
        <w:tc>
          <w:tcPr>
            <w:tcW w:w="1260" w:type="dxa"/>
            <w:tcBorders>
              <w:top w:val="nil"/>
              <w:left w:val="nil"/>
              <w:bottom w:val="single" w:sz="4" w:space="0" w:color="auto"/>
              <w:right w:val="single" w:sz="4" w:space="0" w:color="auto"/>
            </w:tcBorders>
            <w:shd w:val="clear" w:color="auto" w:fill="auto"/>
            <w:noWrap/>
            <w:vAlign w:val="bottom"/>
            <w:hideMark/>
          </w:tcPr>
          <w:p w14:paraId="4BD72FA7" w14:textId="33AF9FAF"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514</w:t>
            </w:r>
          </w:p>
        </w:tc>
      </w:tr>
      <w:tr w:rsidR="00375B52" w:rsidRPr="003966DC" w14:paraId="6275A72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70A7ED5" w14:textId="33BA16F6" w:rsidR="00375B52" w:rsidRPr="003966DC" w:rsidRDefault="00375B52" w:rsidP="00375B5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Afrique du Sud</w:t>
            </w:r>
          </w:p>
        </w:tc>
        <w:tc>
          <w:tcPr>
            <w:tcW w:w="1138" w:type="dxa"/>
            <w:tcBorders>
              <w:top w:val="nil"/>
              <w:left w:val="nil"/>
              <w:bottom w:val="single" w:sz="4" w:space="0" w:color="auto"/>
              <w:right w:val="single" w:sz="4" w:space="0" w:color="auto"/>
            </w:tcBorders>
            <w:shd w:val="clear" w:color="auto" w:fill="auto"/>
            <w:vAlign w:val="bottom"/>
          </w:tcPr>
          <w:p w14:paraId="58B07556" w14:textId="3C4A5756" w:rsidR="00375B52" w:rsidRPr="003966DC" w:rsidRDefault="00375B52" w:rsidP="00375B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244</w:t>
            </w:r>
          </w:p>
        </w:tc>
        <w:tc>
          <w:tcPr>
            <w:tcW w:w="2552" w:type="dxa"/>
            <w:tcBorders>
              <w:top w:val="nil"/>
              <w:left w:val="nil"/>
              <w:bottom w:val="single" w:sz="4" w:space="0" w:color="auto"/>
              <w:right w:val="single" w:sz="4" w:space="0" w:color="auto"/>
            </w:tcBorders>
            <w:shd w:val="clear" w:color="auto" w:fill="auto"/>
            <w:noWrap/>
            <w:vAlign w:val="bottom"/>
          </w:tcPr>
          <w:p w14:paraId="04925AC8" w14:textId="663C38DE" w:rsidR="00375B52" w:rsidRPr="003966DC" w:rsidRDefault="00375B52" w:rsidP="00375B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344</w:t>
            </w:r>
          </w:p>
        </w:tc>
        <w:tc>
          <w:tcPr>
            <w:tcW w:w="1217" w:type="dxa"/>
            <w:tcBorders>
              <w:top w:val="nil"/>
              <w:left w:val="nil"/>
              <w:bottom w:val="single" w:sz="4" w:space="0" w:color="auto"/>
              <w:right w:val="single" w:sz="4" w:space="0" w:color="auto"/>
            </w:tcBorders>
            <w:shd w:val="clear" w:color="auto" w:fill="auto"/>
            <w:noWrap/>
            <w:vAlign w:val="bottom"/>
          </w:tcPr>
          <w:p w14:paraId="7DB16BC4" w14:textId="3B0A53E5" w:rsidR="00375B52" w:rsidRPr="003966DC" w:rsidRDefault="00375B52" w:rsidP="00375B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10 103</w:t>
            </w:r>
          </w:p>
        </w:tc>
        <w:tc>
          <w:tcPr>
            <w:tcW w:w="1213" w:type="dxa"/>
            <w:tcBorders>
              <w:top w:val="nil"/>
              <w:left w:val="nil"/>
              <w:bottom w:val="single" w:sz="4" w:space="0" w:color="auto"/>
              <w:right w:val="single" w:sz="4" w:space="0" w:color="auto"/>
            </w:tcBorders>
            <w:shd w:val="clear" w:color="auto" w:fill="auto"/>
            <w:noWrap/>
            <w:vAlign w:val="bottom"/>
          </w:tcPr>
          <w:p w14:paraId="1A80387D" w14:textId="16415628" w:rsidR="00375B52" w:rsidRPr="003966DC" w:rsidRDefault="00375B52" w:rsidP="00375B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10 795</w:t>
            </w:r>
          </w:p>
        </w:tc>
        <w:tc>
          <w:tcPr>
            <w:tcW w:w="1260" w:type="dxa"/>
            <w:tcBorders>
              <w:top w:val="nil"/>
              <w:left w:val="nil"/>
              <w:bottom w:val="single" w:sz="4" w:space="0" w:color="auto"/>
              <w:right w:val="single" w:sz="4" w:space="0" w:color="auto"/>
            </w:tcBorders>
            <w:shd w:val="clear" w:color="auto" w:fill="auto"/>
            <w:noWrap/>
            <w:vAlign w:val="bottom"/>
          </w:tcPr>
          <w:p w14:paraId="4403D7AB" w14:textId="6392E777" w:rsidR="00375B52" w:rsidRPr="003966DC" w:rsidRDefault="00375B52" w:rsidP="00375B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20 898</w:t>
            </w:r>
          </w:p>
        </w:tc>
      </w:tr>
      <w:tr w:rsidR="004D10DF" w:rsidRPr="003966DC" w14:paraId="5F27CBB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2EEC6B6" w14:textId="1FBB75F8" w:rsidR="004D10DF" w:rsidRPr="003966DC" w:rsidRDefault="004D10DF" w:rsidP="004D10D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 xml:space="preserve">Albanie </w:t>
            </w:r>
          </w:p>
        </w:tc>
        <w:tc>
          <w:tcPr>
            <w:tcW w:w="1138" w:type="dxa"/>
            <w:tcBorders>
              <w:top w:val="nil"/>
              <w:left w:val="nil"/>
              <w:bottom w:val="single" w:sz="4" w:space="0" w:color="auto"/>
              <w:right w:val="single" w:sz="4" w:space="0" w:color="auto"/>
            </w:tcBorders>
            <w:shd w:val="clear" w:color="auto" w:fill="auto"/>
            <w:vAlign w:val="bottom"/>
            <w:hideMark/>
          </w:tcPr>
          <w:p w14:paraId="6D49E8CA" w14:textId="5B582D01"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008</w:t>
            </w:r>
          </w:p>
        </w:tc>
        <w:tc>
          <w:tcPr>
            <w:tcW w:w="2552" w:type="dxa"/>
            <w:tcBorders>
              <w:top w:val="nil"/>
              <w:left w:val="nil"/>
              <w:bottom w:val="single" w:sz="4" w:space="0" w:color="auto"/>
              <w:right w:val="single" w:sz="4" w:space="0" w:color="auto"/>
            </w:tcBorders>
            <w:shd w:val="clear" w:color="auto" w:fill="auto"/>
            <w:noWrap/>
            <w:vAlign w:val="bottom"/>
            <w:hideMark/>
          </w:tcPr>
          <w:p w14:paraId="477481D2" w14:textId="43B4955F"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011</w:t>
            </w:r>
          </w:p>
        </w:tc>
        <w:tc>
          <w:tcPr>
            <w:tcW w:w="1217" w:type="dxa"/>
            <w:tcBorders>
              <w:top w:val="nil"/>
              <w:left w:val="nil"/>
              <w:bottom w:val="single" w:sz="4" w:space="0" w:color="auto"/>
              <w:right w:val="single" w:sz="4" w:space="0" w:color="auto"/>
            </w:tcBorders>
            <w:shd w:val="clear" w:color="auto" w:fill="auto"/>
            <w:noWrap/>
            <w:vAlign w:val="bottom"/>
            <w:hideMark/>
          </w:tcPr>
          <w:p w14:paraId="5BA5399E" w14:textId="224DBEDB"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6CA0448D" w14:textId="559C87CC"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5B72D37A" w14:textId="71128F13"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685</w:t>
            </w:r>
          </w:p>
        </w:tc>
      </w:tr>
      <w:tr w:rsidR="004D10DF" w:rsidRPr="003966DC" w14:paraId="01BB569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4BEB72C" w14:textId="02D39CB5" w:rsidR="004D10DF" w:rsidRPr="003966DC" w:rsidRDefault="004D10DF" w:rsidP="004D10D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 xml:space="preserve">Algérie </w:t>
            </w:r>
          </w:p>
        </w:tc>
        <w:tc>
          <w:tcPr>
            <w:tcW w:w="1138" w:type="dxa"/>
            <w:tcBorders>
              <w:top w:val="nil"/>
              <w:left w:val="nil"/>
              <w:bottom w:val="single" w:sz="4" w:space="0" w:color="auto"/>
              <w:right w:val="single" w:sz="4" w:space="0" w:color="auto"/>
            </w:tcBorders>
            <w:shd w:val="clear" w:color="auto" w:fill="auto"/>
            <w:vAlign w:val="bottom"/>
            <w:hideMark/>
          </w:tcPr>
          <w:p w14:paraId="7385D358" w14:textId="1C86E5D2"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109</w:t>
            </w:r>
          </w:p>
        </w:tc>
        <w:tc>
          <w:tcPr>
            <w:tcW w:w="2552" w:type="dxa"/>
            <w:tcBorders>
              <w:top w:val="nil"/>
              <w:left w:val="nil"/>
              <w:bottom w:val="single" w:sz="4" w:space="0" w:color="auto"/>
              <w:right w:val="single" w:sz="4" w:space="0" w:color="auto"/>
            </w:tcBorders>
            <w:shd w:val="clear" w:color="auto" w:fill="auto"/>
            <w:noWrap/>
            <w:vAlign w:val="bottom"/>
            <w:hideMark/>
          </w:tcPr>
          <w:p w14:paraId="7009D84B" w14:textId="6424CAC0"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154</w:t>
            </w:r>
          </w:p>
        </w:tc>
        <w:tc>
          <w:tcPr>
            <w:tcW w:w="1217" w:type="dxa"/>
            <w:tcBorders>
              <w:top w:val="nil"/>
              <w:left w:val="nil"/>
              <w:bottom w:val="single" w:sz="4" w:space="0" w:color="auto"/>
              <w:right w:val="single" w:sz="4" w:space="0" w:color="auto"/>
            </w:tcBorders>
            <w:shd w:val="clear" w:color="auto" w:fill="auto"/>
            <w:noWrap/>
            <w:vAlign w:val="bottom"/>
            <w:hideMark/>
          </w:tcPr>
          <w:p w14:paraId="44BBA2DE" w14:textId="5474F4D9"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4 513</w:t>
            </w:r>
          </w:p>
        </w:tc>
        <w:tc>
          <w:tcPr>
            <w:tcW w:w="1213" w:type="dxa"/>
            <w:tcBorders>
              <w:top w:val="nil"/>
              <w:left w:val="nil"/>
              <w:bottom w:val="single" w:sz="4" w:space="0" w:color="auto"/>
              <w:right w:val="single" w:sz="4" w:space="0" w:color="auto"/>
            </w:tcBorders>
            <w:shd w:val="clear" w:color="auto" w:fill="auto"/>
            <w:noWrap/>
            <w:vAlign w:val="bottom"/>
            <w:hideMark/>
          </w:tcPr>
          <w:p w14:paraId="6D63EE98" w14:textId="693181CD"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4 822</w:t>
            </w:r>
          </w:p>
        </w:tc>
        <w:tc>
          <w:tcPr>
            <w:tcW w:w="1260" w:type="dxa"/>
            <w:tcBorders>
              <w:top w:val="nil"/>
              <w:left w:val="nil"/>
              <w:bottom w:val="single" w:sz="4" w:space="0" w:color="auto"/>
              <w:right w:val="single" w:sz="4" w:space="0" w:color="auto"/>
            </w:tcBorders>
            <w:shd w:val="clear" w:color="auto" w:fill="auto"/>
            <w:noWrap/>
            <w:vAlign w:val="bottom"/>
            <w:hideMark/>
          </w:tcPr>
          <w:p w14:paraId="2DC53628" w14:textId="5A5FC06C"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9 336</w:t>
            </w:r>
          </w:p>
        </w:tc>
      </w:tr>
      <w:tr w:rsidR="00375B52" w:rsidRPr="003966DC" w14:paraId="7CE4626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FD8A5A9" w14:textId="5BCF55AB" w:rsidR="00375B52" w:rsidRPr="003966DC" w:rsidRDefault="00375B52" w:rsidP="00375B5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Allemagne</w:t>
            </w:r>
          </w:p>
        </w:tc>
        <w:tc>
          <w:tcPr>
            <w:tcW w:w="1138" w:type="dxa"/>
            <w:tcBorders>
              <w:top w:val="nil"/>
              <w:left w:val="nil"/>
              <w:bottom w:val="single" w:sz="4" w:space="0" w:color="auto"/>
              <w:right w:val="single" w:sz="4" w:space="0" w:color="auto"/>
            </w:tcBorders>
            <w:shd w:val="clear" w:color="auto" w:fill="auto"/>
            <w:vAlign w:val="bottom"/>
          </w:tcPr>
          <w:p w14:paraId="2558225B" w14:textId="2A4AA837" w:rsidR="00375B52" w:rsidRPr="003966DC" w:rsidRDefault="00375B52" w:rsidP="00375B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111</w:t>
            </w:r>
          </w:p>
        </w:tc>
        <w:tc>
          <w:tcPr>
            <w:tcW w:w="2552" w:type="dxa"/>
            <w:tcBorders>
              <w:top w:val="nil"/>
              <w:left w:val="nil"/>
              <w:bottom w:val="single" w:sz="4" w:space="0" w:color="auto"/>
              <w:right w:val="single" w:sz="4" w:space="0" w:color="auto"/>
            </w:tcBorders>
            <w:shd w:val="clear" w:color="auto" w:fill="auto"/>
            <w:noWrap/>
            <w:vAlign w:val="bottom"/>
          </w:tcPr>
          <w:p w14:paraId="412ACE5B" w14:textId="3A1438EF" w:rsidR="00375B52" w:rsidRPr="003966DC" w:rsidRDefault="00375B52" w:rsidP="00375B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627</w:t>
            </w:r>
          </w:p>
        </w:tc>
        <w:tc>
          <w:tcPr>
            <w:tcW w:w="1217" w:type="dxa"/>
            <w:tcBorders>
              <w:top w:val="nil"/>
              <w:left w:val="nil"/>
              <w:bottom w:val="single" w:sz="4" w:space="0" w:color="auto"/>
              <w:right w:val="single" w:sz="4" w:space="0" w:color="auto"/>
            </w:tcBorders>
            <w:shd w:val="clear" w:color="auto" w:fill="auto"/>
            <w:noWrap/>
            <w:vAlign w:val="bottom"/>
          </w:tcPr>
          <w:p w14:paraId="223B55F9" w14:textId="65021E22" w:rsidR="00375B52" w:rsidRPr="003966DC" w:rsidRDefault="00375B52" w:rsidP="00375B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253 038</w:t>
            </w:r>
          </w:p>
        </w:tc>
        <w:tc>
          <w:tcPr>
            <w:tcW w:w="1213" w:type="dxa"/>
            <w:tcBorders>
              <w:top w:val="nil"/>
              <w:left w:val="nil"/>
              <w:bottom w:val="single" w:sz="4" w:space="0" w:color="auto"/>
              <w:right w:val="single" w:sz="4" w:space="0" w:color="auto"/>
            </w:tcBorders>
            <w:shd w:val="clear" w:color="auto" w:fill="auto"/>
            <w:noWrap/>
            <w:vAlign w:val="bottom"/>
          </w:tcPr>
          <w:p w14:paraId="595DEDEC" w14:textId="1D4AFC29" w:rsidR="00375B52" w:rsidRPr="003966DC" w:rsidRDefault="00375B52" w:rsidP="00375B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270 351</w:t>
            </w:r>
          </w:p>
        </w:tc>
        <w:tc>
          <w:tcPr>
            <w:tcW w:w="1260" w:type="dxa"/>
            <w:tcBorders>
              <w:top w:val="nil"/>
              <w:left w:val="nil"/>
              <w:bottom w:val="single" w:sz="4" w:space="0" w:color="auto"/>
              <w:right w:val="single" w:sz="4" w:space="0" w:color="auto"/>
            </w:tcBorders>
            <w:shd w:val="clear" w:color="auto" w:fill="auto"/>
            <w:noWrap/>
            <w:vAlign w:val="bottom"/>
          </w:tcPr>
          <w:p w14:paraId="037D66FB" w14:textId="60B86365" w:rsidR="00375B52" w:rsidRPr="003966DC" w:rsidRDefault="00375B52" w:rsidP="00375B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523 389</w:t>
            </w:r>
          </w:p>
        </w:tc>
      </w:tr>
      <w:tr w:rsidR="004D10DF" w:rsidRPr="003966DC" w14:paraId="05FCB73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AF62305" w14:textId="390B4248" w:rsidR="004D10DF" w:rsidRPr="003966DC" w:rsidRDefault="004D10DF" w:rsidP="004D10D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Angola</w:t>
            </w:r>
          </w:p>
        </w:tc>
        <w:tc>
          <w:tcPr>
            <w:tcW w:w="1138" w:type="dxa"/>
            <w:tcBorders>
              <w:top w:val="nil"/>
              <w:left w:val="nil"/>
              <w:bottom w:val="single" w:sz="4" w:space="0" w:color="auto"/>
              <w:right w:val="single" w:sz="4" w:space="0" w:color="auto"/>
            </w:tcBorders>
            <w:shd w:val="clear" w:color="auto" w:fill="auto"/>
            <w:vAlign w:val="bottom"/>
            <w:hideMark/>
          </w:tcPr>
          <w:p w14:paraId="1FAA3ED4" w14:textId="017965C4"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2552" w:type="dxa"/>
            <w:tcBorders>
              <w:top w:val="nil"/>
              <w:left w:val="nil"/>
              <w:bottom w:val="single" w:sz="4" w:space="0" w:color="auto"/>
              <w:right w:val="single" w:sz="4" w:space="0" w:color="auto"/>
            </w:tcBorders>
            <w:shd w:val="clear" w:color="auto" w:fill="auto"/>
            <w:noWrap/>
            <w:vAlign w:val="bottom"/>
            <w:hideMark/>
          </w:tcPr>
          <w:p w14:paraId="61390479" w14:textId="5A16C63B"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hideMark/>
          </w:tcPr>
          <w:p w14:paraId="636D931F" w14:textId="2E211E90"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7DB209D7" w14:textId="1BE4BDD2"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3230676E" w14:textId="3152F50F"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607</w:t>
            </w:r>
          </w:p>
        </w:tc>
      </w:tr>
      <w:tr w:rsidR="004D10DF" w:rsidRPr="003966DC" w14:paraId="0AD4CB2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B0D5AB3" w14:textId="06C092E4" w:rsidR="004D10DF" w:rsidRPr="003966DC" w:rsidRDefault="004D10DF" w:rsidP="004D10D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Antigua</w:t>
            </w:r>
            <w:r w:rsidR="001D6FCA" w:rsidRP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et</w:t>
            </w:r>
            <w:r w:rsidR="001D6FCA" w:rsidRP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Barbuda</w:t>
            </w:r>
          </w:p>
        </w:tc>
        <w:tc>
          <w:tcPr>
            <w:tcW w:w="1138" w:type="dxa"/>
            <w:tcBorders>
              <w:top w:val="nil"/>
              <w:left w:val="nil"/>
              <w:bottom w:val="single" w:sz="4" w:space="0" w:color="auto"/>
              <w:right w:val="single" w:sz="4" w:space="0" w:color="auto"/>
            </w:tcBorders>
            <w:shd w:val="clear" w:color="auto" w:fill="auto"/>
            <w:vAlign w:val="bottom"/>
            <w:hideMark/>
          </w:tcPr>
          <w:p w14:paraId="5A5D54D3" w14:textId="6FA029F6"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002</w:t>
            </w:r>
          </w:p>
        </w:tc>
        <w:tc>
          <w:tcPr>
            <w:tcW w:w="2552" w:type="dxa"/>
            <w:tcBorders>
              <w:top w:val="nil"/>
              <w:left w:val="nil"/>
              <w:bottom w:val="single" w:sz="4" w:space="0" w:color="auto"/>
              <w:right w:val="single" w:sz="4" w:space="0" w:color="auto"/>
            </w:tcBorders>
            <w:shd w:val="clear" w:color="auto" w:fill="auto"/>
            <w:noWrap/>
            <w:vAlign w:val="bottom"/>
            <w:hideMark/>
          </w:tcPr>
          <w:p w14:paraId="498C0DA6" w14:textId="5AA648B8"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1217" w:type="dxa"/>
            <w:tcBorders>
              <w:top w:val="nil"/>
              <w:left w:val="nil"/>
              <w:bottom w:val="single" w:sz="4" w:space="0" w:color="auto"/>
              <w:right w:val="single" w:sz="4" w:space="0" w:color="auto"/>
            </w:tcBorders>
            <w:shd w:val="clear" w:color="auto" w:fill="auto"/>
            <w:noWrap/>
            <w:vAlign w:val="bottom"/>
            <w:hideMark/>
          </w:tcPr>
          <w:p w14:paraId="1CF481D5" w14:textId="71BA95A3"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 xml:space="preserve"> 83</w:t>
            </w:r>
          </w:p>
        </w:tc>
        <w:tc>
          <w:tcPr>
            <w:tcW w:w="1213" w:type="dxa"/>
            <w:tcBorders>
              <w:top w:val="nil"/>
              <w:left w:val="nil"/>
              <w:bottom w:val="single" w:sz="4" w:space="0" w:color="auto"/>
              <w:right w:val="single" w:sz="4" w:space="0" w:color="auto"/>
            </w:tcBorders>
            <w:shd w:val="clear" w:color="auto" w:fill="auto"/>
            <w:noWrap/>
            <w:vAlign w:val="bottom"/>
            <w:hideMark/>
          </w:tcPr>
          <w:p w14:paraId="6B258AC3" w14:textId="1E0B8AD3"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 xml:space="preserve"> 88</w:t>
            </w:r>
          </w:p>
        </w:tc>
        <w:tc>
          <w:tcPr>
            <w:tcW w:w="1260" w:type="dxa"/>
            <w:tcBorders>
              <w:top w:val="nil"/>
              <w:left w:val="nil"/>
              <w:bottom w:val="single" w:sz="4" w:space="0" w:color="auto"/>
              <w:right w:val="single" w:sz="4" w:space="0" w:color="auto"/>
            </w:tcBorders>
            <w:shd w:val="clear" w:color="auto" w:fill="auto"/>
            <w:noWrap/>
            <w:vAlign w:val="bottom"/>
            <w:hideMark/>
          </w:tcPr>
          <w:p w14:paraId="1A49587F" w14:textId="3BD976D3"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171</w:t>
            </w:r>
          </w:p>
        </w:tc>
      </w:tr>
      <w:tr w:rsidR="00A413C7" w:rsidRPr="003966DC" w14:paraId="4961AAB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C12BF1D" w14:textId="66114621" w:rsidR="00A413C7" w:rsidRPr="003966DC" w:rsidRDefault="00A413C7" w:rsidP="00A413C7">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Arabie saoudite</w:t>
            </w:r>
          </w:p>
        </w:tc>
        <w:tc>
          <w:tcPr>
            <w:tcW w:w="1138" w:type="dxa"/>
            <w:tcBorders>
              <w:top w:val="nil"/>
              <w:left w:val="nil"/>
              <w:bottom w:val="single" w:sz="4" w:space="0" w:color="auto"/>
              <w:right w:val="single" w:sz="4" w:space="0" w:color="auto"/>
            </w:tcBorders>
            <w:shd w:val="clear" w:color="auto" w:fill="auto"/>
            <w:vAlign w:val="bottom"/>
          </w:tcPr>
          <w:p w14:paraId="663A8FE7" w14:textId="22BCB66B" w:rsidR="00A413C7" w:rsidRPr="003966DC" w:rsidRDefault="00A413C7" w:rsidP="00A413C7">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184</w:t>
            </w:r>
          </w:p>
        </w:tc>
        <w:tc>
          <w:tcPr>
            <w:tcW w:w="2552" w:type="dxa"/>
            <w:tcBorders>
              <w:top w:val="nil"/>
              <w:left w:val="nil"/>
              <w:bottom w:val="single" w:sz="4" w:space="0" w:color="auto"/>
              <w:right w:val="single" w:sz="4" w:space="0" w:color="auto"/>
            </w:tcBorders>
            <w:shd w:val="clear" w:color="auto" w:fill="auto"/>
            <w:noWrap/>
            <w:vAlign w:val="bottom"/>
          </w:tcPr>
          <w:p w14:paraId="6FAF7EFC" w14:textId="1D1201F4" w:rsidR="00A413C7" w:rsidRPr="003966DC" w:rsidRDefault="00A413C7" w:rsidP="00A413C7">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671</w:t>
            </w:r>
          </w:p>
        </w:tc>
        <w:tc>
          <w:tcPr>
            <w:tcW w:w="1217" w:type="dxa"/>
            <w:tcBorders>
              <w:top w:val="nil"/>
              <w:left w:val="nil"/>
              <w:bottom w:val="single" w:sz="4" w:space="0" w:color="auto"/>
              <w:right w:val="single" w:sz="4" w:space="0" w:color="auto"/>
            </w:tcBorders>
            <w:shd w:val="clear" w:color="auto" w:fill="auto"/>
            <w:noWrap/>
            <w:vAlign w:val="bottom"/>
          </w:tcPr>
          <w:p w14:paraId="3AA7833B" w14:textId="2C230AED" w:rsidR="00A413C7" w:rsidRPr="003966DC" w:rsidRDefault="00A413C7" w:rsidP="00A413C7">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49 026</w:t>
            </w:r>
          </w:p>
        </w:tc>
        <w:tc>
          <w:tcPr>
            <w:tcW w:w="1213" w:type="dxa"/>
            <w:tcBorders>
              <w:top w:val="nil"/>
              <w:left w:val="nil"/>
              <w:bottom w:val="single" w:sz="4" w:space="0" w:color="auto"/>
              <w:right w:val="single" w:sz="4" w:space="0" w:color="auto"/>
            </w:tcBorders>
            <w:shd w:val="clear" w:color="auto" w:fill="auto"/>
            <w:noWrap/>
            <w:vAlign w:val="bottom"/>
          </w:tcPr>
          <w:p w14:paraId="476247AC" w14:textId="5766EE2D" w:rsidR="00A413C7" w:rsidRPr="003966DC" w:rsidRDefault="00A413C7" w:rsidP="00A413C7">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52 380</w:t>
            </w:r>
          </w:p>
        </w:tc>
        <w:tc>
          <w:tcPr>
            <w:tcW w:w="1260" w:type="dxa"/>
            <w:tcBorders>
              <w:top w:val="nil"/>
              <w:left w:val="nil"/>
              <w:bottom w:val="single" w:sz="4" w:space="0" w:color="auto"/>
              <w:right w:val="single" w:sz="4" w:space="0" w:color="auto"/>
            </w:tcBorders>
            <w:shd w:val="clear" w:color="auto" w:fill="auto"/>
            <w:noWrap/>
            <w:vAlign w:val="bottom"/>
          </w:tcPr>
          <w:p w14:paraId="20647823" w14:textId="22CC2A83" w:rsidR="00A413C7" w:rsidRPr="003966DC" w:rsidRDefault="00A413C7" w:rsidP="00A413C7">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101 406</w:t>
            </w:r>
          </w:p>
        </w:tc>
      </w:tr>
      <w:tr w:rsidR="004D10DF" w:rsidRPr="003966DC" w14:paraId="658A762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081F71A" w14:textId="07FD0BE8" w:rsidR="004D10DF" w:rsidRPr="003966DC" w:rsidRDefault="004D10DF" w:rsidP="004D10D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Arménie</w:t>
            </w:r>
          </w:p>
        </w:tc>
        <w:tc>
          <w:tcPr>
            <w:tcW w:w="1138" w:type="dxa"/>
            <w:tcBorders>
              <w:top w:val="nil"/>
              <w:left w:val="nil"/>
              <w:bottom w:val="single" w:sz="4" w:space="0" w:color="auto"/>
              <w:right w:val="single" w:sz="4" w:space="0" w:color="auto"/>
            </w:tcBorders>
            <w:shd w:val="clear" w:color="auto" w:fill="auto"/>
            <w:vAlign w:val="bottom"/>
            <w:hideMark/>
          </w:tcPr>
          <w:p w14:paraId="34F15DD0" w14:textId="28FA4D0E"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2552" w:type="dxa"/>
            <w:tcBorders>
              <w:top w:val="nil"/>
              <w:left w:val="nil"/>
              <w:bottom w:val="single" w:sz="4" w:space="0" w:color="auto"/>
              <w:right w:val="single" w:sz="4" w:space="0" w:color="auto"/>
            </w:tcBorders>
            <w:shd w:val="clear" w:color="auto" w:fill="auto"/>
            <w:noWrap/>
            <w:vAlign w:val="bottom"/>
            <w:hideMark/>
          </w:tcPr>
          <w:p w14:paraId="2AA8C556" w14:textId="0F601200"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hideMark/>
          </w:tcPr>
          <w:p w14:paraId="27A746BD" w14:textId="29D2FBD9"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575199F9" w14:textId="15D3ADED"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708CD313" w14:textId="74C41C2F"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600</w:t>
            </w:r>
          </w:p>
        </w:tc>
      </w:tr>
      <w:tr w:rsidR="004D10DF" w:rsidRPr="003966DC" w14:paraId="435C8E1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BE30ED6" w14:textId="50A59BC1" w:rsidR="004D10DF" w:rsidRPr="003966DC" w:rsidRDefault="004D10DF" w:rsidP="004D10D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Autriche</w:t>
            </w:r>
          </w:p>
        </w:tc>
        <w:tc>
          <w:tcPr>
            <w:tcW w:w="1138" w:type="dxa"/>
            <w:tcBorders>
              <w:top w:val="nil"/>
              <w:left w:val="nil"/>
              <w:bottom w:val="single" w:sz="4" w:space="0" w:color="auto"/>
              <w:right w:val="single" w:sz="4" w:space="0" w:color="auto"/>
            </w:tcBorders>
            <w:shd w:val="clear" w:color="auto" w:fill="auto"/>
            <w:vAlign w:val="bottom"/>
            <w:hideMark/>
          </w:tcPr>
          <w:p w14:paraId="20BCCD5C" w14:textId="408D3167"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679</w:t>
            </w:r>
          </w:p>
        </w:tc>
        <w:tc>
          <w:tcPr>
            <w:tcW w:w="2552" w:type="dxa"/>
            <w:tcBorders>
              <w:top w:val="nil"/>
              <w:left w:val="nil"/>
              <w:bottom w:val="single" w:sz="4" w:space="0" w:color="auto"/>
              <w:right w:val="single" w:sz="4" w:space="0" w:color="auto"/>
            </w:tcBorders>
            <w:shd w:val="clear" w:color="auto" w:fill="auto"/>
            <w:noWrap/>
            <w:vAlign w:val="bottom"/>
            <w:hideMark/>
          </w:tcPr>
          <w:p w14:paraId="061EFCF2" w14:textId="246F1A4D"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959</w:t>
            </w:r>
          </w:p>
        </w:tc>
        <w:tc>
          <w:tcPr>
            <w:tcW w:w="1217" w:type="dxa"/>
            <w:tcBorders>
              <w:top w:val="nil"/>
              <w:left w:val="nil"/>
              <w:bottom w:val="single" w:sz="4" w:space="0" w:color="auto"/>
              <w:right w:val="single" w:sz="4" w:space="0" w:color="auto"/>
            </w:tcBorders>
            <w:shd w:val="clear" w:color="auto" w:fill="auto"/>
            <w:noWrap/>
            <w:vAlign w:val="bottom"/>
            <w:hideMark/>
          </w:tcPr>
          <w:p w14:paraId="6DDA7E11" w14:textId="5754D5C5"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28 115</w:t>
            </w:r>
          </w:p>
        </w:tc>
        <w:tc>
          <w:tcPr>
            <w:tcW w:w="1213" w:type="dxa"/>
            <w:tcBorders>
              <w:top w:val="nil"/>
              <w:left w:val="nil"/>
              <w:bottom w:val="single" w:sz="4" w:space="0" w:color="auto"/>
              <w:right w:val="single" w:sz="4" w:space="0" w:color="auto"/>
            </w:tcBorders>
            <w:shd w:val="clear" w:color="auto" w:fill="auto"/>
            <w:noWrap/>
            <w:vAlign w:val="bottom"/>
            <w:hideMark/>
          </w:tcPr>
          <w:p w14:paraId="72234E2E" w14:textId="2D004610"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30 039</w:t>
            </w:r>
          </w:p>
        </w:tc>
        <w:tc>
          <w:tcPr>
            <w:tcW w:w="1260" w:type="dxa"/>
            <w:tcBorders>
              <w:top w:val="nil"/>
              <w:left w:val="nil"/>
              <w:bottom w:val="single" w:sz="4" w:space="0" w:color="auto"/>
              <w:right w:val="single" w:sz="4" w:space="0" w:color="auto"/>
            </w:tcBorders>
            <w:shd w:val="clear" w:color="auto" w:fill="auto"/>
            <w:noWrap/>
            <w:vAlign w:val="bottom"/>
            <w:hideMark/>
          </w:tcPr>
          <w:p w14:paraId="4F7B2C3A" w14:textId="7350EF78"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58 154</w:t>
            </w:r>
          </w:p>
        </w:tc>
      </w:tr>
      <w:tr w:rsidR="004D10DF" w:rsidRPr="003966DC" w14:paraId="598FBDE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0C45DE6" w14:textId="688D153D" w:rsidR="004D10DF" w:rsidRPr="003966DC" w:rsidRDefault="004D10DF" w:rsidP="004D10D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Azerbaïdjan</w:t>
            </w:r>
          </w:p>
        </w:tc>
        <w:tc>
          <w:tcPr>
            <w:tcW w:w="1138" w:type="dxa"/>
            <w:tcBorders>
              <w:top w:val="nil"/>
              <w:left w:val="nil"/>
              <w:bottom w:val="single" w:sz="4" w:space="0" w:color="auto"/>
              <w:right w:val="single" w:sz="4" w:space="0" w:color="auto"/>
            </w:tcBorders>
            <w:shd w:val="clear" w:color="auto" w:fill="auto"/>
            <w:vAlign w:val="bottom"/>
            <w:hideMark/>
          </w:tcPr>
          <w:p w14:paraId="18533452" w14:textId="18C5A2A2"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030</w:t>
            </w:r>
          </w:p>
        </w:tc>
        <w:tc>
          <w:tcPr>
            <w:tcW w:w="2552" w:type="dxa"/>
            <w:tcBorders>
              <w:top w:val="nil"/>
              <w:left w:val="nil"/>
              <w:bottom w:val="single" w:sz="4" w:space="0" w:color="auto"/>
              <w:right w:val="single" w:sz="4" w:space="0" w:color="auto"/>
            </w:tcBorders>
            <w:shd w:val="clear" w:color="auto" w:fill="auto"/>
            <w:noWrap/>
            <w:vAlign w:val="bottom"/>
            <w:hideMark/>
          </w:tcPr>
          <w:p w14:paraId="4B0AF99E" w14:textId="321941C5"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042</w:t>
            </w:r>
          </w:p>
        </w:tc>
        <w:tc>
          <w:tcPr>
            <w:tcW w:w="1217" w:type="dxa"/>
            <w:tcBorders>
              <w:top w:val="nil"/>
              <w:left w:val="nil"/>
              <w:bottom w:val="single" w:sz="4" w:space="0" w:color="auto"/>
              <w:right w:val="single" w:sz="4" w:space="0" w:color="auto"/>
            </w:tcBorders>
            <w:shd w:val="clear" w:color="auto" w:fill="auto"/>
            <w:noWrap/>
            <w:vAlign w:val="bottom"/>
            <w:hideMark/>
          </w:tcPr>
          <w:p w14:paraId="7F16F557" w14:textId="50214881"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1 242</w:t>
            </w:r>
          </w:p>
        </w:tc>
        <w:tc>
          <w:tcPr>
            <w:tcW w:w="1213" w:type="dxa"/>
            <w:tcBorders>
              <w:top w:val="nil"/>
              <w:left w:val="nil"/>
              <w:bottom w:val="single" w:sz="4" w:space="0" w:color="auto"/>
              <w:right w:val="single" w:sz="4" w:space="0" w:color="auto"/>
            </w:tcBorders>
            <w:shd w:val="clear" w:color="auto" w:fill="auto"/>
            <w:noWrap/>
            <w:vAlign w:val="bottom"/>
            <w:hideMark/>
          </w:tcPr>
          <w:p w14:paraId="2ECF0DBB" w14:textId="73C4A8BA"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1 327</w:t>
            </w:r>
          </w:p>
        </w:tc>
        <w:tc>
          <w:tcPr>
            <w:tcW w:w="1260" w:type="dxa"/>
            <w:tcBorders>
              <w:top w:val="nil"/>
              <w:left w:val="nil"/>
              <w:bottom w:val="single" w:sz="4" w:space="0" w:color="auto"/>
              <w:right w:val="single" w:sz="4" w:space="0" w:color="auto"/>
            </w:tcBorders>
            <w:shd w:val="clear" w:color="auto" w:fill="auto"/>
            <w:noWrap/>
            <w:vAlign w:val="bottom"/>
            <w:hideMark/>
          </w:tcPr>
          <w:p w14:paraId="584E93FA" w14:textId="7850DFE1" w:rsidR="004D10DF" w:rsidRPr="003966DC" w:rsidRDefault="004D10DF" w:rsidP="004D10D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2 569</w:t>
            </w:r>
          </w:p>
        </w:tc>
      </w:tr>
      <w:tr w:rsidR="000A0AF0" w:rsidRPr="003966DC" w14:paraId="47FC75E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A743554" w14:textId="12631E2C"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Bahamas</w:t>
            </w:r>
          </w:p>
        </w:tc>
        <w:tc>
          <w:tcPr>
            <w:tcW w:w="1138" w:type="dxa"/>
            <w:tcBorders>
              <w:top w:val="nil"/>
              <w:left w:val="nil"/>
              <w:bottom w:val="single" w:sz="4" w:space="0" w:color="auto"/>
              <w:right w:val="single" w:sz="4" w:space="0" w:color="auto"/>
            </w:tcBorders>
            <w:shd w:val="clear" w:color="auto" w:fill="auto"/>
            <w:vAlign w:val="bottom"/>
            <w:hideMark/>
          </w:tcPr>
          <w:p w14:paraId="572EDA7D" w14:textId="3C07837D"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019</w:t>
            </w:r>
          </w:p>
        </w:tc>
        <w:tc>
          <w:tcPr>
            <w:tcW w:w="2552" w:type="dxa"/>
            <w:tcBorders>
              <w:top w:val="nil"/>
              <w:left w:val="nil"/>
              <w:bottom w:val="single" w:sz="4" w:space="0" w:color="auto"/>
              <w:right w:val="single" w:sz="4" w:space="0" w:color="auto"/>
            </w:tcBorders>
            <w:shd w:val="clear" w:color="auto" w:fill="auto"/>
            <w:noWrap/>
            <w:vAlign w:val="bottom"/>
            <w:hideMark/>
          </w:tcPr>
          <w:p w14:paraId="3B80DABB" w14:textId="1210907E"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027</w:t>
            </w:r>
          </w:p>
        </w:tc>
        <w:tc>
          <w:tcPr>
            <w:tcW w:w="1217" w:type="dxa"/>
            <w:tcBorders>
              <w:top w:val="nil"/>
              <w:left w:val="nil"/>
              <w:bottom w:val="single" w:sz="4" w:space="0" w:color="auto"/>
              <w:right w:val="single" w:sz="4" w:space="0" w:color="auto"/>
            </w:tcBorders>
            <w:shd w:val="clear" w:color="auto" w:fill="auto"/>
            <w:noWrap/>
            <w:vAlign w:val="bottom"/>
            <w:hideMark/>
          </w:tcPr>
          <w:p w14:paraId="5954124C" w14:textId="76AF2A4B"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094EC9B3" w14:textId="6228603F"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2E9C9492" w14:textId="43D37C18"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1 627</w:t>
            </w:r>
          </w:p>
        </w:tc>
      </w:tr>
      <w:tr w:rsidR="000A0AF0" w:rsidRPr="003966DC" w14:paraId="76F4F61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B435EEE" w14:textId="4BEDF38B"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Bahreïn</w:t>
            </w:r>
          </w:p>
        </w:tc>
        <w:tc>
          <w:tcPr>
            <w:tcW w:w="1138" w:type="dxa"/>
            <w:tcBorders>
              <w:top w:val="nil"/>
              <w:left w:val="nil"/>
              <w:bottom w:val="single" w:sz="4" w:space="0" w:color="auto"/>
              <w:right w:val="single" w:sz="4" w:space="0" w:color="auto"/>
            </w:tcBorders>
            <w:shd w:val="clear" w:color="auto" w:fill="auto"/>
            <w:vAlign w:val="bottom"/>
            <w:hideMark/>
          </w:tcPr>
          <w:p w14:paraId="229DA5A8" w14:textId="7F1598E2"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054</w:t>
            </w:r>
          </w:p>
        </w:tc>
        <w:tc>
          <w:tcPr>
            <w:tcW w:w="2552" w:type="dxa"/>
            <w:tcBorders>
              <w:top w:val="nil"/>
              <w:left w:val="nil"/>
              <w:bottom w:val="single" w:sz="4" w:space="0" w:color="auto"/>
              <w:right w:val="single" w:sz="4" w:space="0" w:color="auto"/>
            </w:tcBorders>
            <w:shd w:val="clear" w:color="auto" w:fill="auto"/>
            <w:noWrap/>
            <w:vAlign w:val="bottom"/>
            <w:hideMark/>
          </w:tcPr>
          <w:p w14:paraId="14E8E5AA" w14:textId="11FD378D"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076</w:t>
            </w:r>
          </w:p>
        </w:tc>
        <w:tc>
          <w:tcPr>
            <w:tcW w:w="1217" w:type="dxa"/>
            <w:tcBorders>
              <w:top w:val="nil"/>
              <w:left w:val="nil"/>
              <w:bottom w:val="single" w:sz="4" w:space="0" w:color="auto"/>
              <w:right w:val="single" w:sz="4" w:space="0" w:color="auto"/>
            </w:tcBorders>
            <w:shd w:val="clear" w:color="auto" w:fill="auto"/>
            <w:noWrap/>
            <w:vAlign w:val="bottom"/>
            <w:hideMark/>
          </w:tcPr>
          <w:p w14:paraId="45BF771C" w14:textId="37BDE374"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2 236</w:t>
            </w:r>
          </w:p>
        </w:tc>
        <w:tc>
          <w:tcPr>
            <w:tcW w:w="1213" w:type="dxa"/>
            <w:tcBorders>
              <w:top w:val="nil"/>
              <w:left w:val="nil"/>
              <w:bottom w:val="single" w:sz="4" w:space="0" w:color="auto"/>
              <w:right w:val="single" w:sz="4" w:space="0" w:color="auto"/>
            </w:tcBorders>
            <w:shd w:val="clear" w:color="auto" w:fill="auto"/>
            <w:noWrap/>
            <w:vAlign w:val="bottom"/>
            <w:hideMark/>
          </w:tcPr>
          <w:p w14:paraId="5D494A88" w14:textId="432DFDE6"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2 389</w:t>
            </w:r>
          </w:p>
        </w:tc>
        <w:tc>
          <w:tcPr>
            <w:tcW w:w="1260" w:type="dxa"/>
            <w:tcBorders>
              <w:top w:val="nil"/>
              <w:left w:val="nil"/>
              <w:bottom w:val="single" w:sz="4" w:space="0" w:color="auto"/>
              <w:right w:val="single" w:sz="4" w:space="0" w:color="auto"/>
            </w:tcBorders>
            <w:shd w:val="clear" w:color="auto" w:fill="auto"/>
            <w:noWrap/>
            <w:vAlign w:val="bottom"/>
            <w:hideMark/>
          </w:tcPr>
          <w:p w14:paraId="5FBD29AF" w14:textId="783C9A97"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4 625</w:t>
            </w:r>
          </w:p>
        </w:tc>
      </w:tr>
      <w:tr w:rsidR="000A0AF0" w:rsidRPr="003966DC" w14:paraId="1531966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E91B031" w14:textId="0EA0E7B1"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Bangladesh</w:t>
            </w:r>
          </w:p>
        </w:tc>
        <w:tc>
          <w:tcPr>
            <w:tcW w:w="1138" w:type="dxa"/>
            <w:tcBorders>
              <w:top w:val="nil"/>
              <w:left w:val="nil"/>
              <w:bottom w:val="single" w:sz="4" w:space="0" w:color="auto"/>
              <w:right w:val="single" w:sz="4" w:space="0" w:color="auto"/>
            </w:tcBorders>
            <w:shd w:val="clear" w:color="auto" w:fill="auto"/>
            <w:vAlign w:val="bottom"/>
            <w:hideMark/>
          </w:tcPr>
          <w:p w14:paraId="26210791" w14:textId="16CD9245"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2552" w:type="dxa"/>
            <w:tcBorders>
              <w:top w:val="nil"/>
              <w:left w:val="nil"/>
              <w:bottom w:val="single" w:sz="4" w:space="0" w:color="auto"/>
              <w:right w:val="single" w:sz="4" w:space="0" w:color="auto"/>
            </w:tcBorders>
            <w:shd w:val="clear" w:color="auto" w:fill="auto"/>
            <w:noWrap/>
            <w:vAlign w:val="bottom"/>
            <w:hideMark/>
          </w:tcPr>
          <w:p w14:paraId="5C2C0F41" w14:textId="7AEB4A9C"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hideMark/>
          </w:tcPr>
          <w:p w14:paraId="215218B1" w14:textId="4D66CA06"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6589FD3D" w14:textId="59FDF8FE"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79C4FD2D" w14:textId="7F461A3C"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607</w:t>
            </w:r>
          </w:p>
        </w:tc>
      </w:tr>
      <w:tr w:rsidR="000A0AF0" w:rsidRPr="003966DC" w14:paraId="165E1FD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A635BA9" w14:textId="6BBDC396"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Barbade</w:t>
            </w:r>
          </w:p>
        </w:tc>
        <w:tc>
          <w:tcPr>
            <w:tcW w:w="1138" w:type="dxa"/>
            <w:tcBorders>
              <w:top w:val="nil"/>
              <w:left w:val="nil"/>
              <w:bottom w:val="single" w:sz="4" w:space="0" w:color="auto"/>
              <w:right w:val="single" w:sz="4" w:space="0" w:color="auto"/>
            </w:tcBorders>
            <w:shd w:val="clear" w:color="auto" w:fill="auto"/>
            <w:vAlign w:val="bottom"/>
            <w:hideMark/>
          </w:tcPr>
          <w:p w14:paraId="40C03A5C" w14:textId="4ABCABDD"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008</w:t>
            </w:r>
          </w:p>
        </w:tc>
        <w:tc>
          <w:tcPr>
            <w:tcW w:w="2552" w:type="dxa"/>
            <w:tcBorders>
              <w:top w:val="nil"/>
              <w:left w:val="nil"/>
              <w:bottom w:val="single" w:sz="4" w:space="0" w:color="auto"/>
              <w:right w:val="single" w:sz="4" w:space="0" w:color="auto"/>
            </w:tcBorders>
            <w:shd w:val="clear" w:color="auto" w:fill="auto"/>
            <w:noWrap/>
            <w:vAlign w:val="bottom"/>
            <w:hideMark/>
          </w:tcPr>
          <w:p w14:paraId="298BBEB4" w14:textId="5D5A3CC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011</w:t>
            </w:r>
          </w:p>
        </w:tc>
        <w:tc>
          <w:tcPr>
            <w:tcW w:w="1217" w:type="dxa"/>
            <w:tcBorders>
              <w:top w:val="nil"/>
              <w:left w:val="nil"/>
              <w:bottom w:val="single" w:sz="4" w:space="0" w:color="auto"/>
              <w:right w:val="single" w:sz="4" w:space="0" w:color="auto"/>
            </w:tcBorders>
            <w:shd w:val="clear" w:color="auto" w:fill="auto"/>
            <w:noWrap/>
            <w:vAlign w:val="bottom"/>
            <w:hideMark/>
          </w:tcPr>
          <w:p w14:paraId="711FCCB7" w14:textId="4C8FCF7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6BFD73B3" w14:textId="13C49831"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754C9788" w14:textId="780F5DB9"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685</w:t>
            </w:r>
          </w:p>
        </w:tc>
      </w:tr>
      <w:tr w:rsidR="000A0AF0" w:rsidRPr="003966DC" w14:paraId="71F0A7E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3F83015" w14:textId="6513F9C3"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Bélarus</w:t>
            </w:r>
          </w:p>
        </w:tc>
        <w:tc>
          <w:tcPr>
            <w:tcW w:w="1138" w:type="dxa"/>
            <w:tcBorders>
              <w:top w:val="nil"/>
              <w:left w:val="nil"/>
              <w:bottom w:val="single" w:sz="4" w:space="0" w:color="auto"/>
              <w:right w:val="single" w:sz="4" w:space="0" w:color="auto"/>
            </w:tcBorders>
            <w:shd w:val="clear" w:color="auto" w:fill="auto"/>
            <w:vAlign w:val="bottom"/>
            <w:hideMark/>
          </w:tcPr>
          <w:p w14:paraId="53595937" w14:textId="559F6A6A"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041</w:t>
            </w:r>
          </w:p>
        </w:tc>
        <w:tc>
          <w:tcPr>
            <w:tcW w:w="2552" w:type="dxa"/>
            <w:tcBorders>
              <w:top w:val="nil"/>
              <w:left w:val="nil"/>
              <w:bottom w:val="single" w:sz="4" w:space="0" w:color="auto"/>
              <w:right w:val="single" w:sz="4" w:space="0" w:color="auto"/>
            </w:tcBorders>
            <w:shd w:val="clear" w:color="auto" w:fill="auto"/>
            <w:noWrap/>
            <w:vAlign w:val="bottom"/>
            <w:hideMark/>
          </w:tcPr>
          <w:p w14:paraId="25C066AD" w14:textId="3A5488B4"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058</w:t>
            </w:r>
          </w:p>
        </w:tc>
        <w:tc>
          <w:tcPr>
            <w:tcW w:w="1217" w:type="dxa"/>
            <w:tcBorders>
              <w:top w:val="nil"/>
              <w:left w:val="nil"/>
              <w:bottom w:val="single" w:sz="4" w:space="0" w:color="auto"/>
              <w:right w:val="single" w:sz="4" w:space="0" w:color="auto"/>
            </w:tcBorders>
            <w:shd w:val="clear" w:color="auto" w:fill="auto"/>
            <w:noWrap/>
            <w:vAlign w:val="bottom"/>
            <w:hideMark/>
          </w:tcPr>
          <w:p w14:paraId="612FD090" w14:textId="0F4B3B5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1 698</w:t>
            </w:r>
          </w:p>
        </w:tc>
        <w:tc>
          <w:tcPr>
            <w:tcW w:w="1213" w:type="dxa"/>
            <w:tcBorders>
              <w:top w:val="nil"/>
              <w:left w:val="nil"/>
              <w:bottom w:val="single" w:sz="4" w:space="0" w:color="auto"/>
              <w:right w:val="single" w:sz="4" w:space="0" w:color="auto"/>
            </w:tcBorders>
            <w:shd w:val="clear" w:color="auto" w:fill="auto"/>
            <w:noWrap/>
            <w:vAlign w:val="bottom"/>
            <w:hideMark/>
          </w:tcPr>
          <w:p w14:paraId="02611CBA" w14:textId="2DE28DEE"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1 814</w:t>
            </w:r>
          </w:p>
        </w:tc>
        <w:tc>
          <w:tcPr>
            <w:tcW w:w="1260" w:type="dxa"/>
            <w:tcBorders>
              <w:top w:val="nil"/>
              <w:left w:val="nil"/>
              <w:bottom w:val="single" w:sz="4" w:space="0" w:color="auto"/>
              <w:right w:val="single" w:sz="4" w:space="0" w:color="auto"/>
            </w:tcBorders>
            <w:shd w:val="clear" w:color="auto" w:fill="auto"/>
            <w:noWrap/>
            <w:vAlign w:val="bottom"/>
            <w:hideMark/>
          </w:tcPr>
          <w:p w14:paraId="6297BB13" w14:textId="26D7B7DC"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3 512</w:t>
            </w:r>
          </w:p>
        </w:tc>
      </w:tr>
      <w:tr w:rsidR="000A0AF0" w:rsidRPr="003966DC" w14:paraId="2EE52A0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8659418" w14:textId="1DCC6B49"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Belgique</w:t>
            </w:r>
          </w:p>
        </w:tc>
        <w:tc>
          <w:tcPr>
            <w:tcW w:w="1138" w:type="dxa"/>
            <w:tcBorders>
              <w:top w:val="nil"/>
              <w:left w:val="nil"/>
              <w:bottom w:val="single" w:sz="4" w:space="0" w:color="auto"/>
              <w:right w:val="single" w:sz="4" w:space="0" w:color="auto"/>
            </w:tcBorders>
            <w:shd w:val="clear" w:color="auto" w:fill="auto"/>
            <w:vAlign w:val="bottom"/>
            <w:hideMark/>
          </w:tcPr>
          <w:p w14:paraId="2BEF3476" w14:textId="0C41D3A8"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828</w:t>
            </w:r>
          </w:p>
        </w:tc>
        <w:tc>
          <w:tcPr>
            <w:tcW w:w="2552" w:type="dxa"/>
            <w:tcBorders>
              <w:top w:val="nil"/>
              <w:left w:val="nil"/>
              <w:bottom w:val="single" w:sz="4" w:space="0" w:color="auto"/>
              <w:right w:val="single" w:sz="4" w:space="0" w:color="auto"/>
            </w:tcBorders>
            <w:shd w:val="clear" w:color="auto" w:fill="auto"/>
            <w:noWrap/>
            <w:vAlign w:val="bottom"/>
            <w:hideMark/>
          </w:tcPr>
          <w:p w14:paraId="12BC613F" w14:textId="3BD7C09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169</w:t>
            </w:r>
          </w:p>
        </w:tc>
        <w:tc>
          <w:tcPr>
            <w:tcW w:w="1217" w:type="dxa"/>
            <w:tcBorders>
              <w:top w:val="nil"/>
              <w:left w:val="nil"/>
              <w:bottom w:val="single" w:sz="4" w:space="0" w:color="auto"/>
              <w:right w:val="single" w:sz="4" w:space="0" w:color="auto"/>
            </w:tcBorders>
            <w:shd w:val="clear" w:color="auto" w:fill="auto"/>
            <w:noWrap/>
            <w:vAlign w:val="bottom"/>
            <w:hideMark/>
          </w:tcPr>
          <w:p w14:paraId="5FEB6136" w14:textId="2FC6AF71"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34 285</w:t>
            </w:r>
          </w:p>
        </w:tc>
        <w:tc>
          <w:tcPr>
            <w:tcW w:w="1213" w:type="dxa"/>
            <w:tcBorders>
              <w:top w:val="nil"/>
              <w:left w:val="nil"/>
              <w:bottom w:val="single" w:sz="4" w:space="0" w:color="auto"/>
              <w:right w:val="single" w:sz="4" w:space="0" w:color="auto"/>
            </w:tcBorders>
            <w:shd w:val="clear" w:color="auto" w:fill="auto"/>
            <w:noWrap/>
            <w:vAlign w:val="bottom"/>
            <w:hideMark/>
          </w:tcPr>
          <w:p w14:paraId="63FD3EB7" w14:textId="200ED79A"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36 631</w:t>
            </w:r>
          </w:p>
        </w:tc>
        <w:tc>
          <w:tcPr>
            <w:tcW w:w="1260" w:type="dxa"/>
            <w:tcBorders>
              <w:top w:val="nil"/>
              <w:left w:val="nil"/>
              <w:bottom w:val="single" w:sz="4" w:space="0" w:color="auto"/>
              <w:right w:val="single" w:sz="4" w:space="0" w:color="auto"/>
            </w:tcBorders>
            <w:shd w:val="clear" w:color="auto" w:fill="auto"/>
            <w:noWrap/>
            <w:vAlign w:val="bottom"/>
            <w:hideMark/>
          </w:tcPr>
          <w:p w14:paraId="055BD41E" w14:textId="539A31C8"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70 916</w:t>
            </w:r>
          </w:p>
        </w:tc>
      </w:tr>
      <w:tr w:rsidR="000A0AF0" w:rsidRPr="003966DC" w14:paraId="1D6ACEF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88987E3" w14:textId="1DDB7B62"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Belize</w:t>
            </w:r>
          </w:p>
        </w:tc>
        <w:tc>
          <w:tcPr>
            <w:tcW w:w="1138" w:type="dxa"/>
            <w:tcBorders>
              <w:top w:val="nil"/>
              <w:left w:val="nil"/>
              <w:bottom w:val="single" w:sz="4" w:space="0" w:color="auto"/>
              <w:right w:val="single" w:sz="4" w:space="0" w:color="auto"/>
            </w:tcBorders>
            <w:shd w:val="clear" w:color="auto" w:fill="auto"/>
            <w:vAlign w:val="bottom"/>
            <w:hideMark/>
          </w:tcPr>
          <w:p w14:paraId="3F2EDE4A" w14:textId="191F738E"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04129A06" w14:textId="44C25DA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58AB8330" w14:textId="5D1AA83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 xml:space="preserve"> 41</w:t>
            </w:r>
          </w:p>
        </w:tc>
        <w:tc>
          <w:tcPr>
            <w:tcW w:w="1213" w:type="dxa"/>
            <w:tcBorders>
              <w:top w:val="nil"/>
              <w:left w:val="nil"/>
              <w:bottom w:val="single" w:sz="4" w:space="0" w:color="auto"/>
              <w:right w:val="single" w:sz="4" w:space="0" w:color="auto"/>
            </w:tcBorders>
            <w:shd w:val="clear" w:color="auto" w:fill="auto"/>
            <w:noWrap/>
            <w:vAlign w:val="bottom"/>
            <w:hideMark/>
          </w:tcPr>
          <w:p w14:paraId="46D4AC51" w14:textId="62B32435"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 xml:space="preserve"> 44</w:t>
            </w:r>
          </w:p>
        </w:tc>
        <w:tc>
          <w:tcPr>
            <w:tcW w:w="1260" w:type="dxa"/>
            <w:tcBorders>
              <w:top w:val="nil"/>
              <w:left w:val="nil"/>
              <w:bottom w:val="single" w:sz="4" w:space="0" w:color="auto"/>
              <w:right w:val="single" w:sz="4" w:space="0" w:color="auto"/>
            </w:tcBorders>
            <w:shd w:val="clear" w:color="auto" w:fill="auto"/>
            <w:noWrap/>
            <w:vAlign w:val="bottom"/>
            <w:hideMark/>
          </w:tcPr>
          <w:p w14:paraId="67E37E22" w14:textId="0D80FF3E"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0A0AF0" w:rsidRPr="003966DC" w14:paraId="46A5C10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592DA29" w14:textId="489A4F9D"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Bénin</w:t>
            </w:r>
          </w:p>
        </w:tc>
        <w:tc>
          <w:tcPr>
            <w:tcW w:w="1138" w:type="dxa"/>
            <w:tcBorders>
              <w:top w:val="nil"/>
              <w:left w:val="nil"/>
              <w:bottom w:val="single" w:sz="4" w:space="0" w:color="auto"/>
              <w:right w:val="single" w:sz="4" w:space="0" w:color="auto"/>
            </w:tcBorders>
            <w:shd w:val="clear" w:color="auto" w:fill="auto"/>
            <w:vAlign w:val="bottom"/>
            <w:hideMark/>
          </w:tcPr>
          <w:p w14:paraId="0DC8171D" w14:textId="4CA72739"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005</w:t>
            </w:r>
          </w:p>
        </w:tc>
        <w:tc>
          <w:tcPr>
            <w:tcW w:w="2552" w:type="dxa"/>
            <w:tcBorders>
              <w:top w:val="nil"/>
              <w:left w:val="nil"/>
              <w:bottom w:val="single" w:sz="4" w:space="0" w:color="auto"/>
              <w:right w:val="single" w:sz="4" w:space="0" w:color="auto"/>
            </w:tcBorders>
            <w:shd w:val="clear" w:color="auto" w:fill="auto"/>
            <w:noWrap/>
            <w:vAlign w:val="bottom"/>
            <w:hideMark/>
          </w:tcPr>
          <w:p w14:paraId="502B5A33" w14:textId="4DC50B2C"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1217" w:type="dxa"/>
            <w:tcBorders>
              <w:top w:val="nil"/>
              <w:left w:val="nil"/>
              <w:bottom w:val="single" w:sz="4" w:space="0" w:color="auto"/>
              <w:right w:val="single" w:sz="4" w:space="0" w:color="auto"/>
            </w:tcBorders>
            <w:shd w:val="clear" w:color="auto" w:fill="auto"/>
            <w:noWrap/>
            <w:vAlign w:val="bottom"/>
            <w:hideMark/>
          </w:tcPr>
          <w:p w14:paraId="2A3025E1" w14:textId="4B9FE1D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1429E9EE" w14:textId="4AD60297"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270003FD" w14:textId="0F2E3D17"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428</w:t>
            </w:r>
          </w:p>
        </w:tc>
      </w:tr>
      <w:tr w:rsidR="000A0AF0" w:rsidRPr="003966DC" w14:paraId="6557FEC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FEBD5C7" w14:textId="3C2329EB"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Bhoutan</w:t>
            </w:r>
          </w:p>
        </w:tc>
        <w:tc>
          <w:tcPr>
            <w:tcW w:w="1138" w:type="dxa"/>
            <w:tcBorders>
              <w:top w:val="nil"/>
              <w:left w:val="nil"/>
              <w:bottom w:val="single" w:sz="4" w:space="0" w:color="auto"/>
              <w:right w:val="single" w:sz="4" w:space="0" w:color="auto"/>
            </w:tcBorders>
            <w:shd w:val="clear" w:color="auto" w:fill="auto"/>
            <w:vAlign w:val="bottom"/>
            <w:hideMark/>
          </w:tcPr>
          <w:p w14:paraId="75752D20" w14:textId="0FDD3717"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2B510BCE" w14:textId="24382409"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5F3E95F5" w14:textId="735869DC"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F0BB3B6" w14:textId="77D52534"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EFA59E7" w14:textId="47012F21"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0A0AF0" w:rsidRPr="003966DC" w14:paraId="1A917ED9" w14:textId="77777777" w:rsidTr="00E77AEE">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905E158" w14:textId="77777777" w:rsidR="00AD3B10" w:rsidRDefault="000A0AF0" w:rsidP="000A0AF0">
            <w:pPr>
              <w:pStyle w:val="CBDTableNormal"/>
              <w:tabs>
                <w:tab w:val="clear" w:pos="567"/>
                <w:tab w:val="left" w:pos="178"/>
              </w:tabs>
              <w:spacing w:before="0" w:after="0"/>
              <w:ind w:left="144" w:hanging="144"/>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Bolivie (État</w:t>
            </w:r>
          </w:p>
          <w:p w14:paraId="7BD729D5" w14:textId="61A2A7E5" w:rsidR="000A0AF0" w:rsidRPr="003966DC" w:rsidRDefault="000A0AF0" w:rsidP="000A0AF0">
            <w:pPr>
              <w:pStyle w:val="CBDTableNormal"/>
              <w:tabs>
                <w:tab w:val="clear" w:pos="567"/>
                <w:tab w:val="left" w:pos="178"/>
              </w:tabs>
              <w:spacing w:before="0" w:after="0"/>
              <w:ind w:left="144" w:hanging="144"/>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plurinational de)</w:t>
            </w:r>
          </w:p>
        </w:tc>
        <w:tc>
          <w:tcPr>
            <w:tcW w:w="1138" w:type="dxa"/>
            <w:tcBorders>
              <w:top w:val="nil"/>
              <w:left w:val="nil"/>
              <w:bottom w:val="single" w:sz="4" w:space="0" w:color="auto"/>
              <w:right w:val="single" w:sz="4" w:space="0" w:color="auto"/>
            </w:tcBorders>
            <w:shd w:val="clear" w:color="auto" w:fill="auto"/>
            <w:vAlign w:val="bottom"/>
            <w:hideMark/>
          </w:tcPr>
          <w:p w14:paraId="086CBA08" w14:textId="483D5CD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019</w:t>
            </w:r>
          </w:p>
        </w:tc>
        <w:tc>
          <w:tcPr>
            <w:tcW w:w="2552" w:type="dxa"/>
            <w:tcBorders>
              <w:top w:val="nil"/>
              <w:left w:val="nil"/>
              <w:bottom w:val="single" w:sz="4" w:space="0" w:color="auto"/>
              <w:right w:val="single" w:sz="4" w:space="0" w:color="auto"/>
            </w:tcBorders>
            <w:shd w:val="clear" w:color="auto" w:fill="auto"/>
            <w:noWrap/>
            <w:vAlign w:val="bottom"/>
            <w:hideMark/>
          </w:tcPr>
          <w:p w14:paraId="4E297CE1" w14:textId="2995A94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027</w:t>
            </w:r>
          </w:p>
        </w:tc>
        <w:tc>
          <w:tcPr>
            <w:tcW w:w="1217" w:type="dxa"/>
            <w:tcBorders>
              <w:top w:val="nil"/>
              <w:left w:val="nil"/>
              <w:bottom w:val="single" w:sz="4" w:space="0" w:color="auto"/>
              <w:right w:val="single" w:sz="4" w:space="0" w:color="auto"/>
            </w:tcBorders>
            <w:shd w:val="clear" w:color="auto" w:fill="auto"/>
            <w:noWrap/>
            <w:vAlign w:val="bottom"/>
            <w:hideMark/>
          </w:tcPr>
          <w:p w14:paraId="28A89184" w14:textId="4782A46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65E33D42" w14:textId="726B1BDC"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59B1F1AE" w14:textId="580411C1"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1 627</w:t>
            </w:r>
          </w:p>
        </w:tc>
      </w:tr>
      <w:tr w:rsidR="000A0AF0" w:rsidRPr="003966DC" w14:paraId="4BF47A0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ABC0E1E" w14:textId="5F724ADA"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Bosnie</w:t>
            </w:r>
            <w:r w:rsidR="00791A14" w:rsidRP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Herzégovine</w:t>
            </w:r>
          </w:p>
        </w:tc>
        <w:tc>
          <w:tcPr>
            <w:tcW w:w="1138" w:type="dxa"/>
            <w:tcBorders>
              <w:top w:val="nil"/>
              <w:left w:val="nil"/>
              <w:bottom w:val="single" w:sz="4" w:space="0" w:color="auto"/>
              <w:right w:val="single" w:sz="4" w:space="0" w:color="auto"/>
            </w:tcBorders>
            <w:shd w:val="clear" w:color="auto" w:fill="auto"/>
            <w:vAlign w:val="bottom"/>
            <w:hideMark/>
          </w:tcPr>
          <w:p w14:paraId="7B767314" w14:textId="7FA92007"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012</w:t>
            </w:r>
          </w:p>
        </w:tc>
        <w:tc>
          <w:tcPr>
            <w:tcW w:w="2552" w:type="dxa"/>
            <w:tcBorders>
              <w:top w:val="nil"/>
              <w:left w:val="nil"/>
              <w:bottom w:val="single" w:sz="4" w:space="0" w:color="auto"/>
              <w:right w:val="single" w:sz="4" w:space="0" w:color="auto"/>
            </w:tcBorders>
            <w:shd w:val="clear" w:color="auto" w:fill="auto"/>
            <w:noWrap/>
            <w:vAlign w:val="bottom"/>
            <w:hideMark/>
          </w:tcPr>
          <w:p w14:paraId="0A29D2D6" w14:textId="7CF772D2"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017</w:t>
            </w:r>
          </w:p>
        </w:tc>
        <w:tc>
          <w:tcPr>
            <w:tcW w:w="1217" w:type="dxa"/>
            <w:tcBorders>
              <w:top w:val="nil"/>
              <w:left w:val="nil"/>
              <w:bottom w:val="single" w:sz="4" w:space="0" w:color="auto"/>
              <w:right w:val="single" w:sz="4" w:space="0" w:color="auto"/>
            </w:tcBorders>
            <w:shd w:val="clear" w:color="auto" w:fill="auto"/>
            <w:noWrap/>
            <w:vAlign w:val="bottom"/>
            <w:hideMark/>
          </w:tcPr>
          <w:p w14:paraId="018A05EE" w14:textId="7A7C483A"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497</w:t>
            </w:r>
          </w:p>
        </w:tc>
        <w:tc>
          <w:tcPr>
            <w:tcW w:w="1213" w:type="dxa"/>
            <w:tcBorders>
              <w:top w:val="nil"/>
              <w:left w:val="nil"/>
              <w:bottom w:val="single" w:sz="4" w:space="0" w:color="auto"/>
              <w:right w:val="single" w:sz="4" w:space="0" w:color="auto"/>
            </w:tcBorders>
            <w:shd w:val="clear" w:color="auto" w:fill="auto"/>
            <w:noWrap/>
            <w:vAlign w:val="bottom"/>
            <w:hideMark/>
          </w:tcPr>
          <w:p w14:paraId="2712390E" w14:textId="4F1502F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531</w:t>
            </w:r>
          </w:p>
        </w:tc>
        <w:tc>
          <w:tcPr>
            <w:tcW w:w="1260" w:type="dxa"/>
            <w:tcBorders>
              <w:top w:val="nil"/>
              <w:left w:val="nil"/>
              <w:bottom w:val="single" w:sz="4" w:space="0" w:color="auto"/>
              <w:right w:val="single" w:sz="4" w:space="0" w:color="auto"/>
            </w:tcBorders>
            <w:shd w:val="clear" w:color="auto" w:fill="auto"/>
            <w:noWrap/>
            <w:vAlign w:val="bottom"/>
            <w:hideMark/>
          </w:tcPr>
          <w:p w14:paraId="01238D68" w14:textId="52E7FBCB"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1 028</w:t>
            </w:r>
          </w:p>
        </w:tc>
      </w:tr>
      <w:tr w:rsidR="000A0AF0" w:rsidRPr="003966DC" w14:paraId="50EEB93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CFB2DCF" w14:textId="3B949BB4"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Botswana</w:t>
            </w:r>
          </w:p>
        </w:tc>
        <w:tc>
          <w:tcPr>
            <w:tcW w:w="1138" w:type="dxa"/>
            <w:tcBorders>
              <w:top w:val="nil"/>
              <w:left w:val="nil"/>
              <w:bottom w:val="single" w:sz="4" w:space="0" w:color="auto"/>
              <w:right w:val="single" w:sz="4" w:space="0" w:color="auto"/>
            </w:tcBorders>
            <w:shd w:val="clear" w:color="auto" w:fill="auto"/>
            <w:vAlign w:val="bottom"/>
            <w:hideMark/>
          </w:tcPr>
          <w:p w14:paraId="4B194D2B" w14:textId="6EF17472"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015</w:t>
            </w:r>
          </w:p>
        </w:tc>
        <w:tc>
          <w:tcPr>
            <w:tcW w:w="2552" w:type="dxa"/>
            <w:tcBorders>
              <w:top w:val="nil"/>
              <w:left w:val="nil"/>
              <w:bottom w:val="single" w:sz="4" w:space="0" w:color="auto"/>
              <w:right w:val="single" w:sz="4" w:space="0" w:color="auto"/>
            </w:tcBorders>
            <w:shd w:val="clear" w:color="auto" w:fill="auto"/>
            <w:noWrap/>
            <w:vAlign w:val="bottom"/>
            <w:hideMark/>
          </w:tcPr>
          <w:p w14:paraId="24B244E9" w14:textId="56AA513F"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021</w:t>
            </w:r>
          </w:p>
        </w:tc>
        <w:tc>
          <w:tcPr>
            <w:tcW w:w="1217" w:type="dxa"/>
            <w:tcBorders>
              <w:top w:val="nil"/>
              <w:left w:val="nil"/>
              <w:bottom w:val="single" w:sz="4" w:space="0" w:color="auto"/>
              <w:right w:val="single" w:sz="4" w:space="0" w:color="auto"/>
            </w:tcBorders>
            <w:shd w:val="clear" w:color="auto" w:fill="auto"/>
            <w:noWrap/>
            <w:vAlign w:val="bottom"/>
            <w:hideMark/>
          </w:tcPr>
          <w:p w14:paraId="660A73C3" w14:textId="52D8B73E"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621</w:t>
            </w:r>
          </w:p>
        </w:tc>
        <w:tc>
          <w:tcPr>
            <w:tcW w:w="1213" w:type="dxa"/>
            <w:tcBorders>
              <w:top w:val="nil"/>
              <w:left w:val="nil"/>
              <w:bottom w:val="single" w:sz="4" w:space="0" w:color="auto"/>
              <w:right w:val="single" w:sz="4" w:space="0" w:color="auto"/>
            </w:tcBorders>
            <w:shd w:val="clear" w:color="auto" w:fill="auto"/>
            <w:noWrap/>
            <w:vAlign w:val="bottom"/>
            <w:hideMark/>
          </w:tcPr>
          <w:p w14:paraId="3A07E6DE" w14:textId="50337F49"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664</w:t>
            </w:r>
          </w:p>
        </w:tc>
        <w:tc>
          <w:tcPr>
            <w:tcW w:w="1260" w:type="dxa"/>
            <w:tcBorders>
              <w:top w:val="nil"/>
              <w:left w:val="nil"/>
              <w:bottom w:val="single" w:sz="4" w:space="0" w:color="auto"/>
              <w:right w:val="single" w:sz="4" w:space="0" w:color="auto"/>
            </w:tcBorders>
            <w:shd w:val="clear" w:color="auto" w:fill="auto"/>
            <w:noWrap/>
            <w:vAlign w:val="bottom"/>
            <w:hideMark/>
          </w:tcPr>
          <w:p w14:paraId="5C30A31F" w14:textId="28B36D3E"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1 285</w:t>
            </w:r>
          </w:p>
        </w:tc>
      </w:tr>
      <w:tr w:rsidR="000A0AF0" w:rsidRPr="003966DC" w14:paraId="35EA59AE"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1458FAF" w14:textId="0629D588"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Brésil</w:t>
            </w:r>
          </w:p>
        </w:tc>
        <w:tc>
          <w:tcPr>
            <w:tcW w:w="1138" w:type="dxa"/>
            <w:tcBorders>
              <w:top w:val="nil"/>
              <w:left w:val="nil"/>
              <w:bottom w:val="single" w:sz="4" w:space="0" w:color="auto"/>
              <w:right w:val="single" w:sz="4" w:space="0" w:color="auto"/>
            </w:tcBorders>
            <w:shd w:val="clear" w:color="auto" w:fill="auto"/>
            <w:vAlign w:val="bottom"/>
            <w:hideMark/>
          </w:tcPr>
          <w:p w14:paraId="14A618B3" w14:textId="7914D421"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013</w:t>
            </w:r>
          </w:p>
        </w:tc>
        <w:tc>
          <w:tcPr>
            <w:tcW w:w="2552" w:type="dxa"/>
            <w:tcBorders>
              <w:top w:val="nil"/>
              <w:left w:val="nil"/>
              <w:bottom w:val="single" w:sz="4" w:space="0" w:color="auto"/>
              <w:right w:val="single" w:sz="4" w:space="0" w:color="auto"/>
            </w:tcBorders>
            <w:shd w:val="clear" w:color="auto" w:fill="auto"/>
            <w:noWrap/>
            <w:vAlign w:val="bottom"/>
            <w:hideMark/>
          </w:tcPr>
          <w:p w14:paraId="430E42B3" w14:textId="35C005DD"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842</w:t>
            </w:r>
          </w:p>
        </w:tc>
        <w:tc>
          <w:tcPr>
            <w:tcW w:w="1217" w:type="dxa"/>
            <w:tcBorders>
              <w:top w:val="nil"/>
              <w:left w:val="nil"/>
              <w:bottom w:val="single" w:sz="4" w:space="0" w:color="auto"/>
              <w:right w:val="single" w:sz="4" w:space="0" w:color="auto"/>
            </w:tcBorders>
            <w:shd w:val="clear" w:color="auto" w:fill="auto"/>
            <w:noWrap/>
            <w:vAlign w:val="bottom"/>
            <w:hideMark/>
          </w:tcPr>
          <w:p w14:paraId="1521A54C" w14:textId="0672BCD8"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83 352</w:t>
            </w:r>
          </w:p>
        </w:tc>
        <w:tc>
          <w:tcPr>
            <w:tcW w:w="1213" w:type="dxa"/>
            <w:tcBorders>
              <w:top w:val="nil"/>
              <w:left w:val="nil"/>
              <w:bottom w:val="single" w:sz="4" w:space="0" w:color="auto"/>
              <w:right w:val="single" w:sz="4" w:space="0" w:color="auto"/>
            </w:tcBorders>
            <w:shd w:val="clear" w:color="auto" w:fill="auto"/>
            <w:noWrap/>
            <w:vAlign w:val="bottom"/>
            <w:hideMark/>
          </w:tcPr>
          <w:p w14:paraId="46CF0709" w14:textId="7AC34B5C"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89 055</w:t>
            </w:r>
          </w:p>
        </w:tc>
        <w:tc>
          <w:tcPr>
            <w:tcW w:w="1260" w:type="dxa"/>
            <w:tcBorders>
              <w:top w:val="nil"/>
              <w:left w:val="nil"/>
              <w:bottom w:val="single" w:sz="4" w:space="0" w:color="auto"/>
              <w:right w:val="single" w:sz="4" w:space="0" w:color="auto"/>
            </w:tcBorders>
            <w:shd w:val="clear" w:color="auto" w:fill="auto"/>
            <w:noWrap/>
            <w:vAlign w:val="bottom"/>
            <w:hideMark/>
          </w:tcPr>
          <w:p w14:paraId="0F4DC77A" w14:textId="312EFEA9"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172 408</w:t>
            </w:r>
          </w:p>
        </w:tc>
      </w:tr>
      <w:tr w:rsidR="000A0AF0" w:rsidRPr="003966DC" w14:paraId="115C506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A7F3130" w14:textId="0197E40C"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Bulgarie</w:t>
            </w:r>
          </w:p>
        </w:tc>
        <w:tc>
          <w:tcPr>
            <w:tcW w:w="1138" w:type="dxa"/>
            <w:tcBorders>
              <w:top w:val="nil"/>
              <w:left w:val="nil"/>
              <w:bottom w:val="single" w:sz="4" w:space="0" w:color="auto"/>
              <w:right w:val="single" w:sz="4" w:space="0" w:color="auto"/>
            </w:tcBorders>
            <w:shd w:val="clear" w:color="auto" w:fill="auto"/>
            <w:vAlign w:val="bottom"/>
            <w:hideMark/>
          </w:tcPr>
          <w:p w14:paraId="7C8EFB7D" w14:textId="015FB2E9"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056</w:t>
            </w:r>
          </w:p>
        </w:tc>
        <w:tc>
          <w:tcPr>
            <w:tcW w:w="2552" w:type="dxa"/>
            <w:tcBorders>
              <w:top w:val="nil"/>
              <w:left w:val="nil"/>
              <w:bottom w:val="single" w:sz="4" w:space="0" w:color="auto"/>
              <w:right w:val="single" w:sz="4" w:space="0" w:color="auto"/>
            </w:tcBorders>
            <w:shd w:val="clear" w:color="auto" w:fill="auto"/>
            <w:noWrap/>
            <w:vAlign w:val="bottom"/>
            <w:hideMark/>
          </w:tcPr>
          <w:p w14:paraId="1452F0C2" w14:textId="168C715C"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079</w:t>
            </w:r>
          </w:p>
        </w:tc>
        <w:tc>
          <w:tcPr>
            <w:tcW w:w="1217" w:type="dxa"/>
            <w:tcBorders>
              <w:top w:val="nil"/>
              <w:left w:val="nil"/>
              <w:bottom w:val="single" w:sz="4" w:space="0" w:color="auto"/>
              <w:right w:val="single" w:sz="4" w:space="0" w:color="auto"/>
            </w:tcBorders>
            <w:shd w:val="clear" w:color="auto" w:fill="auto"/>
            <w:noWrap/>
            <w:vAlign w:val="bottom"/>
            <w:hideMark/>
          </w:tcPr>
          <w:p w14:paraId="4CEB102D" w14:textId="72EC6525"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2 319</w:t>
            </w:r>
          </w:p>
        </w:tc>
        <w:tc>
          <w:tcPr>
            <w:tcW w:w="1213" w:type="dxa"/>
            <w:tcBorders>
              <w:top w:val="nil"/>
              <w:left w:val="nil"/>
              <w:bottom w:val="single" w:sz="4" w:space="0" w:color="auto"/>
              <w:right w:val="single" w:sz="4" w:space="0" w:color="auto"/>
            </w:tcBorders>
            <w:shd w:val="clear" w:color="auto" w:fill="auto"/>
            <w:noWrap/>
            <w:vAlign w:val="bottom"/>
            <w:hideMark/>
          </w:tcPr>
          <w:p w14:paraId="70D8760C" w14:textId="71F12EC7"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2 477</w:t>
            </w:r>
          </w:p>
        </w:tc>
        <w:tc>
          <w:tcPr>
            <w:tcW w:w="1260" w:type="dxa"/>
            <w:tcBorders>
              <w:top w:val="nil"/>
              <w:left w:val="nil"/>
              <w:bottom w:val="single" w:sz="4" w:space="0" w:color="auto"/>
              <w:right w:val="single" w:sz="4" w:space="0" w:color="auto"/>
            </w:tcBorders>
            <w:shd w:val="clear" w:color="auto" w:fill="auto"/>
            <w:noWrap/>
            <w:vAlign w:val="bottom"/>
            <w:hideMark/>
          </w:tcPr>
          <w:p w14:paraId="3B35932F" w14:textId="4C9C8FB0"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4 796</w:t>
            </w:r>
          </w:p>
        </w:tc>
      </w:tr>
      <w:tr w:rsidR="000A0AF0" w:rsidRPr="003966DC" w14:paraId="489C24F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D8599EC" w14:textId="15D86ACE"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Burkina Faso</w:t>
            </w:r>
          </w:p>
        </w:tc>
        <w:tc>
          <w:tcPr>
            <w:tcW w:w="1138" w:type="dxa"/>
            <w:tcBorders>
              <w:top w:val="nil"/>
              <w:left w:val="nil"/>
              <w:bottom w:val="single" w:sz="4" w:space="0" w:color="auto"/>
              <w:right w:val="single" w:sz="4" w:space="0" w:color="auto"/>
            </w:tcBorders>
            <w:shd w:val="clear" w:color="auto" w:fill="auto"/>
            <w:vAlign w:val="bottom"/>
            <w:hideMark/>
          </w:tcPr>
          <w:p w14:paraId="296EBB0B" w14:textId="14F38DB6"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2552" w:type="dxa"/>
            <w:tcBorders>
              <w:top w:val="nil"/>
              <w:left w:val="nil"/>
              <w:bottom w:val="single" w:sz="4" w:space="0" w:color="auto"/>
              <w:right w:val="single" w:sz="4" w:space="0" w:color="auto"/>
            </w:tcBorders>
            <w:shd w:val="clear" w:color="auto" w:fill="auto"/>
            <w:noWrap/>
            <w:vAlign w:val="bottom"/>
            <w:hideMark/>
          </w:tcPr>
          <w:p w14:paraId="180A5357" w14:textId="6027DDE7"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006</w:t>
            </w:r>
          </w:p>
        </w:tc>
        <w:tc>
          <w:tcPr>
            <w:tcW w:w="1217" w:type="dxa"/>
            <w:tcBorders>
              <w:top w:val="nil"/>
              <w:left w:val="nil"/>
              <w:bottom w:val="single" w:sz="4" w:space="0" w:color="auto"/>
              <w:right w:val="single" w:sz="4" w:space="0" w:color="auto"/>
            </w:tcBorders>
            <w:shd w:val="clear" w:color="auto" w:fill="auto"/>
            <w:noWrap/>
            <w:vAlign w:val="bottom"/>
            <w:hideMark/>
          </w:tcPr>
          <w:p w14:paraId="5F2BE8E0" w14:textId="68682BAB"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3291C306" w14:textId="26BB4F3F"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1CF39B5E" w14:textId="7ADBE00D"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343</w:t>
            </w:r>
          </w:p>
        </w:tc>
      </w:tr>
      <w:tr w:rsidR="000A0AF0" w:rsidRPr="003966DC" w14:paraId="4B7206D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943CE76" w14:textId="7846EA62" w:rsidR="000A0AF0" w:rsidRPr="003966DC" w:rsidRDefault="000A0AF0" w:rsidP="000A0AF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Burundi</w:t>
            </w:r>
          </w:p>
        </w:tc>
        <w:tc>
          <w:tcPr>
            <w:tcW w:w="1138" w:type="dxa"/>
            <w:tcBorders>
              <w:top w:val="nil"/>
              <w:left w:val="nil"/>
              <w:bottom w:val="single" w:sz="4" w:space="0" w:color="auto"/>
              <w:right w:val="single" w:sz="4" w:space="0" w:color="auto"/>
            </w:tcBorders>
            <w:shd w:val="clear" w:color="auto" w:fill="auto"/>
            <w:vAlign w:val="bottom"/>
            <w:hideMark/>
          </w:tcPr>
          <w:p w14:paraId="29544276" w14:textId="590E928F"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2086682F" w14:textId="2B96EAB5"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5F579935" w14:textId="58FA2FAD"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E9D60B1" w14:textId="602F93A7"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3693495B" w14:textId="1C4060FC" w:rsidR="000A0AF0" w:rsidRPr="003966DC" w:rsidRDefault="000A0AF0" w:rsidP="000A0AF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211E7A" w:rsidRPr="003966DC" w14:paraId="628BBB9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07D5DB0" w14:textId="45BA2C0F" w:rsidR="00211E7A" w:rsidRPr="003966DC" w:rsidRDefault="00211E7A" w:rsidP="00211E7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Cabo Verde</w:t>
            </w:r>
          </w:p>
        </w:tc>
        <w:tc>
          <w:tcPr>
            <w:tcW w:w="1138" w:type="dxa"/>
            <w:tcBorders>
              <w:top w:val="nil"/>
              <w:left w:val="nil"/>
              <w:bottom w:val="single" w:sz="4" w:space="0" w:color="auto"/>
              <w:right w:val="single" w:sz="4" w:space="0" w:color="auto"/>
            </w:tcBorders>
            <w:shd w:val="clear" w:color="auto" w:fill="auto"/>
            <w:vAlign w:val="bottom"/>
            <w:hideMark/>
          </w:tcPr>
          <w:p w14:paraId="1480253F" w14:textId="217D0C4A"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1321A28E" w14:textId="0F743EAE"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0C65CBB3" w14:textId="3C74E729"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84448A7" w14:textId="619928A8"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2EA3F21B" w14:textId="4BB9AA72"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211E7A" w:rsidRPr="003966DC" w14:paraId="5759D28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5A787A3" w14:textId="32D00B1C" w:rsidR="00211E7A" w:rsidRPr="003966DC" w:rsidRDefault="00211E7A" w:rsidP="00211E7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Cambodge</w:t>
            </w:r>
          </w:p>
        </w:tc>
        <w:tc>
          <w:tcPr>
            <w:tcW w:w="1138" w:type="dxa"/>
            <w:tcBorders>
              <w:top w:val="nil"/>
              <w:left w:val="nil"/>
              <w:bottom w:val="single" w:sz="4" w:space="0" w:color="auto"/>
              <w:right w:val="single" w:sz="4" w:space="0" w:color="auto"/>
            </w:tcBorders>
            <w:shd w:val="clear" w:color="auto" w:fill="auto"/>
            <w:vAlign w:val="bottom"/>
            <w:hideMark/>
          </w:tcPr>
          <w:p w14:paraId="270B4984" w14:textId="6E419DE7"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2552" w:type="dxa"/>
            <w:tcBorders>
              <w:top w:val="nil"/>
              <w:left w:val="nil"/>
              <w:bottom w:val="single" w:sz="4" w:space="0" w:color="auto"/>
              <w:right w:val="single" w:sz="4" w:space="0" w:color="auto"/>
            </w:tcBorders>
            <w:shd w:val="clear" w:color="auto" w:fill="auto"/>
            <w:noWrap/>
            <w:vAlign w:val="bottom"/>
            <w:hideMark/>
          </w:tcPr>
          <w:p w14:paraId="7710037F" w14:textId="2F81C191"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hideMark/>
          </w:tcPr>
          <w:p w14:paraId="3C632855" w14:textId="419994BA"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430F0ED5" w14:textId="55E3438C"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33B8E5EF" w14:textId="0AA32B07"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600</w:t>
            </w:r>
          </w:p>
        </w:tc>
      </w:tr>
      <w:tr w:rsidR="00211E7A" w:rsidRPr="003966DC" w14:paraId="0F38E02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BEE2A35" w14:textId="2656B39D" w:rsidR="00211E7A" w:rsidRPr="003966DC" w:rsidRDefault="00211E7A" w:rsidP="00211E7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Cameroun</w:t>
            </w:r>
          </w:p>
        </w:tc>
        <w:tc>
          <w:tcPr>
            <w:tcW w:w="1138" w:type="dxa"/>
            <w:tcBorders>
              <w:top w:val="nil"/>
              <w:left w:val="nil"/>
              <w:bottom w:val="single" w:sz="4" w:space="0" w:color="auto"/>
              <w:right w:val="single" w:sz="4" w:space="0" w:color="auto"/>
            </w:tcBorders>
            <w:shd w:val="clear" w:color="auto" w:fill="auto"/>
            <w:vAlign w:val="bottom"/>
            <w:hideMark/>
          </w:tcPr>
          <w:p w14:paraId="6AD610B0" w14:textId="2C76AF9F"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013</w:t>
            </w:r>
          </w:p>
        </w:tc>
        <w:tc>
          <w:tcPr>
            <w:tcW w:w="2552" w:type="dxa"/>
            <w:tcBorders>
              <w:top w:val="nil"/>
              <w:left w:val="nil"/>
              <w:bottom w:val="single" w:sz="4" w:space="0" w:color="auto"/>
              <w:right w:val="single" w:sz="4" w:space="0" w:color="auto"/>
            </w:tcBorders>
            <w:shd w:val="clear" w:color="auto" w:fill="auto"/>
            <w:noWrap/>
            <w:vAlign w:val="bottom"/>
            <w:hideMark/>
          </w:tcPr>
          <w:p w14:paraId="314B1D2F" w14:textId="02C382E8"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018</w:t>
            </w:r>
          </w:p>
        </w:tc>
        <w:tc>
          <w:tcPr>
            <w:tcW w:w="1217" w:type="dxa"/>
            <w:tcBorders>
              <w:top w:val="nil"/>
              <w:left w:val="nil"/>
              <w:bottom w:val="single" w:sz="4" w:space="0" w:color="auto"/>
              <w:right w:val="single" w:sz="4" w:space="0" w:color="auto"/>
            </w:tcBorders>
            <w:shd w:val="clear" w:color="auto" w:fill="auto"/>
            <w:noWrap/>
            <w:vAlign w:val="bottom"/>
            <w:hideMark/>
          </w:tcPr>
          <w:p w14:paraId="29AB679F" w14:textId="505B1C45"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2FB3068B" w14:textId="25948390"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020EDCCA" w14:textId="2D413578"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1 113</w:t>
            </w:r>
          </w:p>
        </w:tc>
      </w:tr>
      <w:tr w:rsidR="00211E7A" w:rsidRPr="003966DC" w14:paraId="728EC80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4AFBFBA" w14:textId="2602142E" w:rsidR="00211E7A" w:rsidRPr="003966DC" w:rsidRDefault="00211E7A" w:rsidP="00211E7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Chine</w:t>
            </w:r>
          </w:p>
        </w:tc>
        <w:tc>
          <w:tcPr>
            <w:tcW w:w="1138" w:type="dxa"/>
            <w:tcBorders>
              <w:top w:val="nil"/>
              <w:left w:val="nil"/>
              <w:bottom w:val="single" w:sz="4" w:space="0" w:color="auto"/>
              <w:right w:val="single" w:sz="4" w:space="0" w:color="auto"/>
            </w:tcBorders>
            <w:shd w:val="clear" w:color="auto" w:fill="auto"/>
            <w:vAlign w:val="bottom"/>
            <w:hideMark/>
          </w:tcPr>
          <w:p w14:paraId="055AFE24" w14:textId="060362DF"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15</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254</w:t>
            </w:r>
          </w:p>
        </w:tc>
        <w:tc>
          <w:tcPr>
            <w:tcW w:w="2552" w:type="dxa"/>
            <w:tcBorders>
              <w:top w:val="nil"/>
              <w:left w:val="nil"/>
              <w:bottom w:val="single" w:sz="4" w:space="0" w:color="auto"/>
              <w:right w:val="single" w:sz="4" w:space="0" w:color="auto"/>
            </w:tcBorders>
            <w:shd w:val="clear" w:color="auto" w:fill="auto"/>
            <w:noWrap/>
            <w:vAlign w:val="bottom"/>
            <w:hideMark/>
          </w:tcPr>
          <w:p w14:paraId="0ED46E11" w14:textId="2B16D0E9"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535</w:t>
            </w:r>
          </w:p>
        </w:tc>
        <w:tc>
          <w:tcPr>
            <w:tcW w:w="1217" w:type="dxa"/>
            <w:tcBorders>
              <w:top w:val="nil"/>
              <w:left w:val="nil"/>
              <w:bottom w:val="single" w:sz="4" w:space="0" w:color="auto"/>
              <w:right w:val="single" w:sz="4" w:space="0" w:color="auto"/>
            </w:tcBorders>
            <w:shd w:val="clear" w:color="auto" w:fill="auto"/>
            <w:noWrap/>
            <w:vAlign w:val="bottom"/>
            <w:hideMark/>
          </w:tcPr>
          <w:p w14:paraId="068F447E" w14:textId="39AD10F7"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631 622</w:t>
            </w:r>
          </w:p>
        </w:tc>
        <w:tc>
          <w:tcPr>
            <w:tcW w:w="1213" w:type="dxa"/>
            <w:tcBorders>
              <w:top w:val="nil"/>
              <w:left w:val="nil"/>
              <w:bottom w:val="single" w:sz="4" w:space="0" w:color="auto"/>
              <w:right w:val="single" w:sz="4" w:space="0" w:color="auto"/>
            </w:tcBorders>
            <w:shd w:val="clear" w:color="auto" w:fill="auto"/>
            <w:noWrap/>
            <w:vAlign w:val="bottom"/>
            <w:hideMark/>
          </w:tcPr>
          <w:p w14:paraId="41433FBC" w14:textId="3F709B70"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674 839</w:t>
            </w:r>
          </w:p>
        </w:tc>
        <w:tc>
          <w:tcPr>
            <w:tcW w:w="1260" w:type="dxa"/>
            <w:tcBorders>
              <w:top w:val="nil"/>
              <w:left w:val="nil"/>
              <w:bottom w:val="single" w:sz="4" w:space="0" w:color="auto"/>
              <w:right w:val="single" w:sz="4" w:space="0" w:color="auto"/>
            </w:tcBorders>
            <w:shd w:val="clear" w:color="auto" w:fill="auto"/>
            <w:noWrap/>
            <w:vAlign w:val="bottom"/>
            <w:hideMark/>
          </w:tcPr>
          <w:p w14:paraId="4BF0DE59" w14:textId="70CF84F7"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1 306 461</w:t>
            </w:r>
          </w:p>
        </w:tc>
      </w:tr>
      <w:tr w:rsidR="00141852" w:rsidRPr="003966DC" w14:paraId="2849AB4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8159DF1" w14:textId="626ADDC1" w:rsidR="00141852" w:rsidRPr="003966DC" w:rsidRDefault="00141852" w:rsidP="0014185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Chypre</w:t>
            </w:r>
          </w:p>
        </w:tc>
        <w:tc>
          <w:tcPr>
            <w:tcW w:w="1138" w:type="dxa"/>
            <w:tcBorders>
              <w:top w:val="nil"/>
              <w:left w:val="nil"/>
              <w:bottom w:val="single" w:sz="4" w:space="0" w:color="auto"/>
              <w:right w:val="single" w:sz="4" w:space="0" w:color="auto"/>
            </w:tcBorders>
            <w:shd w:val="clear" w:color="auto" w:fill="auto"/>
            <w:vAlign w:val="bottom"/>
          </w:tcPr>
          <w:p w14:paraId="6058DD2C" w14:textId="6A9E5DAC"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036</w:t>
            </w:r>
          </w:p>
        </w:tc>
        <w:tc>
          <w:tcPr>
            <w:tcW w:w="2552" w:type="dxa"/>
            <w:tcBorders>
              <w:top w:val="nil"/>
              <w:left w:val="nil"/>
              <w:bottom w:val="single" w:sz="4" w:space="0" w:color="auto"/>
              <w:right w:val="single" w:sz="4" w:space="0" w:color="auto"/>
            </w:tcBorders>
            <w:shd w:val="clear" w:color="auto" w:fill="auto"/>
            <w:noWrap/>
            <w:vAlign w:val="bottom"/>
          </w:tcPr>
          <w:p w14:paraId="4C29CAC8" w14:textId="39AD5222"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051</w:t>
            </w:r>
          </w:p>
        </w:tc>
        <w:tc>
          <w:tcPr>
            <w:tcW w:w="1217" w:type="dxa"/>
            <w:tcBorders>
              <w:top w:val="nil"/>
              <w:left w:val="nil"/>
              <w:bottom w:val="single" w:sz="4" w:space="0" w:color="auto"/>
              <w:right w:val="single" w:sz="4" w:space="0" w:color="auto"/>
            </w:tcBorders>
            <w:shd w:val="clear" w:color="auto" w:fill="auto"/>
            <w:noWrap/>
            <w:vAlign w:val="bottom"/>
          </w:tcPr>
          <w:p w14:paraId="7A5546C6" w14:textId="34CA4A60"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1 491</w:t>
            </w:r>
          </w:p>
        </w:tc>
        <w:tc>
          <w:tcPr>
            <w:tcW w:w="1213" w:type="dxa"/>
            <w:tcBorders>
              <w:top w:val="nil"/>
              <w:left w:val="nil"/>
              <w:bottom w:val="single" w:sz="4" w:space="0" w:color="auto"/>
              <w:right w:val="single" w:sz="4" w:space="0" w:color="auto"/>
            </w:tcBorders>
            <w:shd w:val="clear" w:color="auto" w:fill="auto"/>
            <w:noWrap/>
            <w:vAlign w:val="bottom"/>
          </w:tcPr>
          <w:p w14:paraId="34891E41" w14:textId="4F941A38"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1 593</w:t>
            </w:r>
          </w:p>
        </w:tc>
        <w:tc>
          <w:tcPr>
            <w:tcW w:w="1260" w:type="dxa"/>
            <w:tcBorders>
              <w:top w:val="nil"/>
              <w:left w:val="nil"/>
              <w:bottom w:val="single" w:sz="4" w:space="0" w:color="auto"/>
              <w:right w:val="single" w:sz="4" w:space="0" w:color="auto"/>
            </w:tcBorders>
            <w:shd w:val="clear" w:color="auto" w:fill="auto"/>
            <w:noWrap/>
            <w:vAlign w:val="bottom"/>
          </w:tcPr>
          <w:p w14:paraId="0B5A7510" w14:textId="7FBEABE9"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3 083</w:t>
            </w:r>
          </w:p>
        </w:tc>
      </w:tr>
      <w:tr w:rsidR="00211E7A" w:rsidRPr="003966DC" w14:paraId="5392EB7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A9BE019" w14:textId="2A525F22" w:rsidR="00211E7A" w:rsidRPr="003966DC" w:rsidRDefault="00211E7A" w:rsidP="00211E7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Colombie</w:t>
            </w:r>
          </w:p>
        </w:tc>
        <w:tc>
          <w:tcPr>
            <w:tcW w:w="1138" w:type="dxa"/>
            <w:tcBorders>
              <w:top w:val="nil"/>
              <w:left w:val="nil"/>
              <w:bottom w:val="single" w:sz="4" w:space="0" w:color="auto"/>
              <w:right w:val="single" w:sz="4" w:space="0" w:color="auto"/>
            </w:tcBorders>
            <w:shd w:val="clear" w:color="auto" w:fill="auto"/>
            <w:vAlign w:val="bottom"/>
            <w:hideMark/>
          </w:tcPr>
          <w:p w14:paraId="78F10428" w14:textId="05FF42AB"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246</w:t>
            </w:r>
          </w:p>
        </w:tc>
        <w:tc>
          <w:tcPr>
            <w:tcW w:w="2552" w:type="dxa"/>
            <w:tcBorders>
              <w:top w:val="nil"/>
              <w:left w:val="nil"/>
              <w:bottom w:val="single" w:sz="4" w:space="0" w:color="auto"/>
              <w:right w:val="single" w:sz="4" w:space="0" w:color="auto"/>
            </w:tcBorders>
            <w:shd w:val="clear" w:color="auto" w:fill="auto"/>
            <w:noWrap/>
            <w:vAlign w:val="bottom"/>
            <w:hideMark/>
          </w:tcPr>
          <w:p w14:paraId="51397402" w14:textId="0F363BE1"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347</w:t>
            </w:r>
          </w:p>
        </w:tc>
        <w:tc>
          <w:tcPr>
            <w:tcW w:w="1217" w:type="dxa"/>
            <w:tcBorders>
              <w:top w:val="nil"/>
              <w:left w:val="nil"/>
              <w:bottom w:val="single" w:sz="4" w:space="0" w:color="auto"/>
              <w:right w:val="single" w:sz="4" w:space="0" w:color="auto"/>
            </w:tcBorders>
            <w:shd w:val="clear" w:color="auto" w:fill="auto"/>
            <w:noWrap/>
            <w:vAlign w:val="bottom"/>
            <w:hideMark/>
          </w:tcPr>
          <w:p w14:paraId="242445C6" w14:textId="642CDE61"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10 186</w:t>
            </w:r>
          </w:p>
        </w:tc>
        <w:tc>
          <w:tcPr>
            <w:tcW w:w="1213" w:type="dxa"/>
            <w:tcBorders>
              <w:top w:val="nil"/>
              <w:left w:val="nil"/>
              <w:bottom w:val="single" w:sz="4" w:space="0" w:color="auto"/>
              <w:right w:val="single" w:sz="4" w:space="0" w:color="auto"/>
            </w:tcBorders>
            <w:shd w:val="clear" w:color="auto" w:fill="auto"/>
            <w:noWrap/>
            <w:vAlign w:val="bottom"/>
            <w:hideMark/>
          </w:tcPr>
          <w:p w14:paraId="1E9576A0" w14:textId="285C29BF"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10 883</w:t>
            </w:r>
          </w:p>
        </w:tc>
        <w:tc>
          <w:tcPr>
            <w:tcW w:w="1260" w:type="dxa"/>
            <w:tcBorders>
              <w:top w:val="nil"/>
              <w:left w:val="nil"/>
              <w:bottom w:val="single" w:sz="4" w:space="0" w:color="auto"/>
              <w:right w:val="single" w:sz="4" w:space="0" w:color="auto"/>
            </w:tcBorders>
            <w:shd w:val="clear" w:color="auto" w:fill="auto"/>
            <w:noWrap/>
            <w:vAlign w:val="bottom"/>
            <w:hideMark/>
          </w:tcPr>
          <w:p w14:paraId="66F4ACB8" w14:textId="72BA5D8C"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21 069</w:t>
            </w:r>
          </w:p>
        </w:tc>
      </w:tr>
      <w:tr w:rsidR="00211E7A" w:rsidRPr="003966DC" w14:paraId="428F42E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65FAE76" w14:textId="015B43C5" w:rsidR="00211E7A" w:rsidRPr="003966DC" w:rsidRDefault="00211E7A" w:rsidP="00211E7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Comores</w:t>
            </w:r>
          </w:p>
        </w:tc>
        <w:tc>
          <w:tcPr>
            <w:tcW w:w="1138" w:type="dxa"/>
            <w:tcBorders>
              <w:top w:val="nil"/>
              <w:left w:val="nil"/>
              <w:bottom w:val="single" w:sz="4" w:space="0" w:color="auto"/>
              <w:right w:val="single" w:sz="4" w:space="0" w:color="auto"/>
            </w:tcBorders>
            <w:shd w:val="clear" w:color="auto" w:fill="auto"/>
            <w:vAlign w:val="bottom"/>
            <w:hideMark/>
          </w:tcPr>
          <w:p w14:paraId="5FB4BF3B" w14:textId="5EF181E9"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34191686" w14:textId="2A97D645"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4181CF39" w14:textId="327C7579"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BF78E8E" w14:textId="5D8E4963"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324B70D" w14:textId="36A23EB2"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211E7A" w:rsidRPr="003966DC" w14:paraId="346D134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D06F902" w14:textId="298A03BC" w:rsidR="00211E7A" w:rsidRPr="003966DC" w:rsidRDefault="00211E7A" w:rsidP="00211E7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Congo</w:t>
            </w:r>
          </w:p>
        </w:tc>
        <w:tc>
          <w:tcPr>
            <w:tcW w:w="1138" w:type="dxa"/>
            <w:tcBorders>
              <w:top w:val="nil"/>
              <w:left w:val="nil"/>
              <w:bottom w:val="single" w:sz="4" w:space="0" w:color="auto"/>
              <w:right w:val="single" w:sz="4" w:space="0" w:color="auto"/>
            </w:tcBorders>
            <w:shd w:val="clear" w:color="auto" w:fill="auto"/>
            <w:vAlign w:val="bottom"/>
            <w:hideMark/>
          </w:tcPr>
          <w:p w14:paraId="5F8B67B7" w14:textId="16E897DB"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005</w:t>
            </w:r>
          </w:p>
        </w:tc>
        <w:tc>
          <w:tcPr>
            <w:tcW w:w="2552" w:type="dxa"/>
            <w:tcBorders>
              <w:top w:val="nil"/>
              <w:left w:val="nil"/>
              <w:bottom w:val="single" w:sz="4" w:space="0" w:color="auto"/>
              <w:right w:val="single" w:sz="4" w:space="0" w:color="auto"/>
            </w:tcBorders>
            <w:shd w:val="clear" w:color="auto" w:fill="auto"/>
            <w:noWrap/>
            <w:vAlign w:val="bottom"/>
            <w:hideMark/>
          </w:tcPr>
          <w:p w14:paraId="0216B4D8" w14:textId="18B1537B"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1217" w:type="dxa"/>
            <w:tcBorders>
              <w:top w:val="nil"/>
              <w:left w:val="nil"/>
              <w:bottom w:val="single" w:sz="4" w:space="0" w:color="auto"/>
              <w:right w:val="single" w:sz="4" w:space="0" w:color="auto"/>
            </w:tcBorders>
            <w:shd w:val="clear" w:color="auto" w:fill="auto"/>
            <w:noWrap/>
            <w:vAlign w:val="bottom"/>
            <w:hideMark/>
          </w:tcPr>
          <w:p w14:paraId="3C248262" w14:textId="01BC8E65"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5FAAC11E" w14:textId="170C9F5F"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34BF92BC" w14:textId="5A4ABBC1"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428</w:t>
            </w:r>
          </w:p>
        </w:tc>
      </w:tr>
      <w:tr w:rsidR="00211E7A" w:rsidRPr="003966DC" w14:paraId="4BEFAC0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899AF4" w14:textId="4C21E3F6" w:rsidR="00211E7A" w:rsidRPr="003966DC" w:rsidRDefault="00211E7A" w:rsidP="00211E7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Costa Rica</w:t>
            </w:r>
          </w:p>
        </w:tc>
        <w:tc>
          <w:tcPr>
            <w:tcW w:w="1138" w:type="dxa"/>
            <w:tcBorders>
              <w:top w:val="nil"/>
              <w:left w:val="nil"/>
              <w:bottom w:val="single" w:sz="4" w:space="0" w:color="auto"/>
              <w:right w:val="single" w:sz="4" w:space="0" w:color="auto"/>
            </w:tcBorders>
            <w:shd w:val="clear" w:color="auto" w:fill="auto"/>
            <w:vAlign w:val="bottom"/>
            <w:hideMark/>
          </w:tcPr>
          <w:p w14:paraId="550A6EC3" w14:textId="4F627665"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069</w:t>
            </w:r>
          </w:p>
        </w:tc>
        <w:tc>
          <w:tcPr>
            <w:tcW w:w="2552" w:type="dxa"/>
            <w:tcBorders>
              <w:top w:val="nil"/>
              <w:left w:val="nil"/>
              <w:bottom w:val="single" w:sz="4" w:space="0" w:color="auto"/>
              <w:right w:val="single" w:sz="4" w:space="0" w:color="auto"/>
            </w:tcBorders>
            <w:shd w:val="clear" w:color="auto" w:fill="auto"/>
            <w:noWrap/>
            <w:vAlign w:val="bottom"/>
            <w:hideMark/>
          </w:tcPr>
          <w:p w14:paraId="0C480CCE" w14:textId="295A3983"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097</w:t>
            </w:r>
          </w:p>
        </w:tc>
        <w:tc>
          <w:tcPr>
            <w:tcW w:w="1217" w:type="dxa"/>
            <w:tcBorders>
              <w:top w:val="nil"/>
              <w:left w:val="nil"/>
              <w:bottom w:val="single" w:sz="4" w:space="0" w:color="auto"/>
              <w:right w:val="single" w:sz="4" w:space="0" w:color="auto"/>
            </w:tcBorders>
            <w:shd w:val="clear" w:color="auto" w:fill="auto"/>
            <w:noWrap/>
            <w:vAlign w:val="bottom"/>
            <w:hideMark/>
          </w:tcPr>
          <w:p w14:paraId="431FE5C5" w14:textId="72A3C9E7"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2 857</w:t>
            </w:r>
          </w:p>
        </w:tc>
        <w:tc>
          <w:tcPr>
            <w:tcW w:w="1213" w:type="dxa"/>
            <w:tcBorders>
              <w:top w:val="nil"/>
              <w:left w:val="nil"/>
              <w:bottom w:val="single" w:sz="4" w:space="0" w:color="auto"/>
              <w:right w:val="single" w:sz="4" w:space="0" w:color="auto"/>
            </w:tcBorders>
            <w:shd w:val="clear" w:color="auto" w:fill="auto"/>
            <w:noWrap/>
            <w:vAlign w:val="bottom"/>
            <w:hideMark/>
          </w:tcPr>
          <w:p w14:paraId="39BE937A" w14:textId="1085A17A"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3 053</w:t>
            </w:r>
          </w:p>
        </w:tc>
        <w:tc>
          <w:tcPr>
            <w:tcW w:w="1260" w:type="dxa"/>
            <w:tcBorders>
              <w:top w:val="nil"/>
              <w:left w:val="nil"/>
              <w:bottom w:val="single" w:sz="4" w:space="0" w:color="auto"/>
              <w:right w:val="single" w:sz="4" w:space="0" w:color="auto"/>
            </w:tcBorders>
            <w:shd w:val="clear" w:color="auto" w:fill="auto"/>
            <w:noWrap/>
            <w:vAlign w:val="bottom"/>
            <w:hideMark/>
          </w:tcPr>
          <w:p w14:paraId="5F2C9226" w14:textId="719070DA"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5 910</w:t>
            </w:r>
          </w:p>
        </w:tc>
      </w:tr>
      <w:tr w:rsidR="00211E7A" w:rsidRPr="003966DC" w14:paraId="1B4BBD4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4A825F2" w14:textId="08BDC395" w:rsidR="00211E7A" w:rsidRPr="003966DC" w:rsidRDefault="00211E7A" w:rsidP="00211E7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Côte d’Ivoire</w:t>
            </w:r>
          </w:p>
        </w:tc>
        <w:tc>
          <w:tcPr>
            <w:tcW w:w="1138" w:type="dxa"/>
            <w:tcBorders>
              <w:top w:val="nil"/>
              <w:left w:val="nil"/>
              <w:bottom w:val="single" w:sz="4" w:space="0" w:color="auto"/>
              <w:right w:val="single" w:sz="4" w:space="0" w:color="auto"/>
            </w:tcBorders>
            <w:shd w:val="clear" w:color="auto" w:fill="auto"/>
            <w:vAlign w:val="bottom"/>
            <w:hideMark/>
          </w:tcPr>
          <w:p w14:paraId="01C489BD" w14:textId="62DE4038"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022</w:t>
            </w:r>
          </w:p>
        </w:tc>
        <w:tc>
          <w:tcPr>
            <w:tcW w:w="2552" w:type="dxa"/>
            <w:tcBorders>
              <w:top w:val="nil"/>
              <w:left w:val="nil"/>
              <w:bottom w:val="single" w:sz="4" w:space="0" w:color="auto"/>
              <w:right w:val="single" w:sz="4" w:space="0" w:color="auto"/>
            </w:tcBorders>
            <w:shd w:val="clear" w:color="auto" w:fill="auto"/>
            <w:noWrap/>
            <w:vAlign w:val="bottom"/>
            <w:hideMark/>
          </w:tcPr>
          <w:p w14:paraId="6BE4BC73" w14:textId="0F88D9B2"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031</w:t>
            </w:r>
          </w:p>
        </w:tc>
        <w:tc>
          <w:tcPr>
            <w:tcW w:w="1217" w:type="dxa"/>
            <w:tcBorders>
              <w:top w:val="nil"/>
              <w:left w:val="nil"/>
              <w:bottom w:val="single" w:sz="4" w:space="0" w:color="auto"/>
              <w:right w:val="single" w:sz="4" w:space="0" w:color="auto"/>
            </w:tcBorders>
            <w:shd w:val="clear" w:color="auto" w:fill="auto"/>
            <w:noWrap/>
            <w:vAlign w:val="bottom"/>
            <w:hideMark/>
          </w:tcPr>
          <w:p w14:paraId="411E68BD" w14:textId="64763390"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911</w:t>
            </w:r>
          </w:p>
        </w:tc>
        <w:tc>
          <w:tcPr>
            <w:tcW w:w="1213" w:type="dxa"/>
            <w:tcBorders>
              <w:top w:val="nil"/>
              <w:left w:val="nil"/>
              <w:bottom w:val="single" w:sz="4" w:space="0" w:color="auto"/>
              <w:right w:val="single" w:sz="4" w:space="0" w:color="auto"/>
            </w:tcBorders>
            <w:shd w:val="clear" w:color="auto" w:fill="auto"/>
            <w:noWrap/>
            <w:vAlign w:val="bottom"/>
            <w:hideMark/>
          </w:tcPr>
          <w:p w14:paraId="46A4E6DD" w14:textId="4929139E"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973</w:t>
            </w:r>
          </w:p>
        </w:tc>
        <w:tc>
          <w:tcPr>
            <w:tcW w:w="1260" w:type="dxa"/>
            <w:tcBorders>
              <w:top w:val="nil"/>
              <w:left w:val="nil"/>
              <w:bottom w:val="single" w:sz="4" w:space="0" w:color="auto"/>
              <w:right w:val="single" w:sz="4" w:space="0" w:color="auto"/>
            </w:tcBorders>
            <w:shd w:val="clear" w:color="auto" w:fill="auto"/>
            <w:noWrap/>
            <w:vAlign w:val="bottom"/>
            <w:hideMark/>
          </w:tcPr>
          <w:p w14:paraId="3F397BB6" w14:textId="2EE9C218"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1 884</w:t>
            </w:r>
          </w:p>
        </w:tc>
      </w:tr>
      <w:tr w:rsidR="00211E7A" w:rsidRPr="003966DC" w14:paraId="011258B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3A8FD32" w14:textId="1C52B831" w:rsidR="00211E7A" w:rsidRPr="003966DC" w:rsidRDefault="00211E7A" w:rsidP="00211E7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Croatie</w:t>
            </w:r>
          </w:p>
        </w:tc>
        <w:tc>
          <w:tcPr>
            <w:tcW w:w="1138" w:type="dxa"/>
            <w:tcBorders>
              <w:top w:val="nil"/>
              <w:left w:val="nil"/>
              <w:bottom w:val="single" w:sz="4" w:space="0" w:color="auto"/>
              <w:right w:val="single" w:sz="4" w:space="0" w:color="auto"/>
            </w:tcBorders>
            <w:shd w:val="clear" w:color="auto" w:fill="auto"/>
            <w:vAlign w:val="bottom"/>
            <w:hideMark/>
          </w:tcPr>
          <w:p w14:paraId="45064E0A" w14:textId="74F96FB6"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091</w:t>
            </w:r>
          </w:p>
        </w:tc>
        <w:tc>
          <w:tcPr>
            <w:tcW w:w="2552" w:type="dxa"/>
            <w:tcBorders>
              <w:top w:val="nil"/>
              <w:left w:val="nil"/>
              <w:bottom w:val="single" w:sz="4" w:space="0" w:color="auto"/>
              <w:right w:val="single" w:sz="4" w:space="0" w:color="auto"/>
            </w:tcBorders>
            <w:shd w:val="clear" w:color="auto" w:fill="auto"/>
            <w:noWrap/>
            <w:vAlign w:val="bottom"/>
            <w:hideMark/>
          </w:tcPr>
          <w:p w14:paraId="1DECBE89" w14:textId="42BE9267"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128</w:t>
            </w:r>
          </w:p>
        </w:tc>
        <w:tc>
          <w:tcPr>
            <w:tcW w:w="1217" w:type="dxa"/>
            <w:tcBorders>
              <w:top w:val="nil"/>
              <w:left w:val="nil"/>
              <w:bottom w:val="single" w:sz="4" w:space="0" w:color="auto"/>
              <w:right w:val="single" w:sz="4" w:space="0" w:color="auto"/>
            </w:tcBorders>
            <w:shd w:val="clear" w:color="auto" w:fill="auto"/>
            <w:noWrap/>
            <w:vAlign w:val="bottom"/>
            <w:hideMark/>
          </w:tcPr>
          <w:p w14:paraId="1E564CA3" w14:textId="58C7D421"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3 768</w:t>
            </w:r>
          </w:p>
        </w:tc>
        <w:tc>
          <w:tcPr>
            <w:tcW w:w="1213" w:type="dxa"/>
            <w:tcBorders>
              <w:top w:val="nil"/>
              <w:left w:val="nil"/>
              <w:bottom w:val="single" w:sz="4" w:space="0" w:color="auto"/>
              <w:right w:val="single" w:sz="4" w:space="0" w:color="auto"/>
            </w:tcBorders>
            <w:shd w:val="clear" w:color="auto" w:fill="auto"/>
            <w:noWrap/>
            <w:vAlign w:val="bottom"/>
            <w:hideMark/>
          </w:tcPr>
          <w:p w14:paraId="6FC6CBE6" w14:textId="0521E5C9"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4 026</w:t>
            </w:r>
          </w:p>
        </w:tc>
        <w:tc>
          <w:tcPr>
            <w:tcW w:w="1260" w:type="dxa"/>
            <w:tcBorders>
              <w:top w:val="nil"/>
              <w:left w:val="nil"/>
              <w:bottom w:val="single" w:sz="4" w:space="0" w:color="auto"/>
              <w:right w:val="single" w:sz="4" w:space="0" w:color="auto"/>
            </w:tcBorders>
            <w:shd w:val="clear" w:color="auto" w:fill="auto"/>
            <w:noWrap/>
            <w:vAlign w:val="bottom"/>
            <w:hideMark/>
          </w:tcPr>
          <w:p w14:paraId="388929B8" w14:textId="007903CD"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7 794</w:t>
            </w:r>
          </w:p>
        </w:tc>
      </w:tr>
      <w:tr w:rsidR="00211E7A" w:rsidRPr="003966DC" w14:paraId="7C0817F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7E2AC17" w14:textId="02A662A4" w:rsidR="00211E7A" w:rsidRPr="003966DC" w:rsidRDefault="00211E7A" w:rsidP="00211E7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Cuba</w:t>
            </w:r>
          </w:p>
        </w:tc>
        <w:tc>
          <w:tcPr>
            <w:tcW w:w="1138" w:type="dxa"/>
            <w:tcBorders>
              <w:top w:val="nil"/>
              <w:left w:val="nil"/>
              <w:bottom w:val="single" w:sz="4" w:space="0" w:color="auto"/>
              <w:right w:val="single" w:sz="4" w:space="0" w:color="auto"/>
            </w:tcBorders>
            <w:shd w:val="clear" w:color="auto" w:fill="auto"/>
            <w:vAlign w:val="bottom"/>
            <w:hideMark/>
          </w:tcPr>
          <w:p w14:paraId="0DF0C401" w14:textId="2C509729"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095</w:t>
            </w:r>
          </w:p>
        </w:tc>
        <w:tc>
          <w:tcPr>
            <w:tcW w:w="2552" w:type="dxa"/>
            <w:tcBorders>
              <w:top w:val="nil"/>
              <w:left w:val="nil"/>
              <w:bottom w:val="single" w:sz="4" w:space="0" w:color="auto"/>
              <w:right w:val="single" w:sz="4" w:space="0" w:color="auto"/>
            </w:tcBorders>
            <w:shd w:val="clear" w:color="auto" w:fill="auto"/>
            <w:noWrap/>
            <w:vAlign w:val="bottom"/>
            <w:hideMark/>
          </w:tcPr>
          <w:p w14:paraId="689C0A8A" w14:textId="36933253"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134</w:t>
            </w:r>
          </w:p>
        </w:tc>
        <w:tc>
          <w:tcPr>
            <w:tcW w:w="1217" w:type="dxa"/>
            <w:tcBorders>
              <w:top w:val="nil"/>
              <w:left w:val="nil"/>
              <w:bottom w:val="single" w:sz="4" w:space="0" w:color="auto"/>
              <w:right w:val="single" w:sz="4" w:space="0" w:color="auto"/>
            </w:tcBorders>
            <w:shd w:val="clear" w:color="auto" w:fill="auto"/>
            <w:noWrap/>
            <w:vAlign w:val="bottom"/>
            <w:hideMark/>
          </w:tcPr>
          <w:p w14:paraId="454D4878" w14:textId="3D93704B"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3 934</w:t>
            </w:r>
          </w:p>
        </w:tc>
        <w:tc>
          <w:tcPr>
            <w:tcW w:w="1213" w:type="dxa"/>
            <w:tcBorders>
              <w:top w:val="nil"/>
              <w:left w:val="nil"/>
              <w:bottom w:val="single" w:sz="4" w:space="0" w:color="auto"/>
              <w:right w:val="single" w:sz="4" w:space="0" w:color="auto"/>
            </w:tcBorders>
            <w:shd w:val="clear" w:color="auto" w:fill="auto"/>
            <w:noWrap/>
            <w:vAlign w:val="bottom"/>
            <w:hideMark/>
          </w:tcPr>
          <w:p w14:paraId="40E1F27E" w14:textId="5C47B627"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4 203</w:t>
            </w:r>
          </w:p>
        </w:tc>
        <w:tc>
          <w:tcPr>
            <w:tcW w:w="1260" w:type="dxa"/>
            <w:tcBorders>
              <w:top w:val="nil"/>
              <w:left w:val="nil"/>
              <w:bottom w:val="single" w:sz="4" w:space="0" w:color="auto"/>
              <w:right w:val="single" w:sz="4" w:space="0" w:color="auto"/>
            </w:tcBorders>
            <w:shd w:val="clear" w:color="auto" w:fill="auto"/>
            <w:noWrap/>
            <w:vAlign w:val="bottom"/>
            <w:hideMark/>
          </w:tcPr>
          <w:p w14:paraId="3720AFE1" w14:textId="4623D15B" w:rsidR="00211E7A" w:rsidRPr="003966DC" w:rsidRDefault="00211E7A" w:rsidP="00211E7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8 136</w:t>
            </w:r>
          </w:p>
        </w:tc>
      </w:tr>
      <w:tr w:rsidR="00C52EAA" w:rsidRPr="003966DC" w14:paraId="2613694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AAEBB68" w14:textId="1C0902AA" w:rsidR="00C52EAA" w:rsidRPr="003966DC" w:rsidRDefault="00C52EAA" w:rsidP="00C52EA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Danemark</w:t>
            </w:r>
          </w:p>
        </w:tc>
        <w:tc>
          <w:tcPr>
            <w:tcW w:w="1138" w:type="dxa"/>
            <w:tcBorders>
              <w:top w:val="nil"/>
              <w:left w:val="nil"/>
              <w:bottom w:val="single" w:sz="4" w:space="0" w:color="auto"/>
              <w:right w:val="single" w:sz="4" w:space="0" w:color="auto"/>
            </w:tcBorders>
            <w:shd w:val="clear" w:color="auto" w:fill="auto"/>
            <w:vAlign w:val="bottom"/>
            <w:hideMark/>
          </w:tcPr>
          <w:p w14:paraId="2C5865D1" w14:textId="048CED4A"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553</w:t>
            </w:r>
          </w:p>
        </w:tc>
        <w:tc>
          <w:tcPr>
            <w:tcW w:w="2552" w:type="dxa"/>
            <w:tcBorders>
              <w:top w:val="nil"/>
              <w:left w:val="nil"/>
              <w:bottom w:val="single" w:sz="4" w:space="0" w:color="auto"/>
              <w:right w:val="single" w:sz="4" w:space="0" w:color="auto"/>
            </w:tcBorders>
            <w:shd w:val="clear" w:color="auto" w:fill="auto"/>
            <w:noWrap/>
            <w:vAlign w:val="bottom"/>
            <w:hideMark/>
          </w:tcPr>
          <w:p w14:paraId="5646BF04" w14:textId="6C59E695"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781</w:t>
            </w:r>
          </w:p>
        </w:tc>
        <w:tc>
          <w:tcPr>
            <w:tcW w:w="1217" w:type="dxa"/>
            <w:tcBorders>
              <w:top w:val="nil"/>
              <w:left w:val="nil"/>
              <w:bottom w:val="single" w:sz="4" w:space="0" w:color="auto"/>
              <w:right w:val="single" w:sz="4" w:space="0" w:color="auto"/>
            </w:tcBorders>
            <w:shd w:val="clear" w:color="auto" w:fill="auto"/>
            <w:noWrap/>
            <w:vAlign w:val="bottom"/>
            <w:hideMark/>
          </w:tcPr>
          <w:p w14:paraId="731AF037" w14:textId="78DF2822"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22 898</w:t>
            </w:r>
          </w:p>
        </w:tc>
        <w:tc>
          <w:tcPr>
            <w:tcW w:w="1213" w:type="dxa"/>
            <w:tcBorders>
              <w:top w:val="nil"/>
              <w:left w:val="nil"/>
              <w:bottom w:val="single" w:sz="4" w:space="0" w:color="auto"/>
              <w:right w:val="single" w:sz="4" w:space="0" w:color="auto"/>
            </w:tcBorders>
            <w:shd w:val="clear" w:color="auto" w:fill="auto"/>
            <w:noWrap/>
            <w:vAlign w:val="bottom"/>
            <w:hideMark/>
          </w:tcPr>
          <w:p w14:paraId="6B7E602B" w14:textId="24139DC9"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24 465</w:t>
            </w:r>
          </w:p>
        </w:tc>
        <w:tc>
          <w:tcPr>
            <w:tcW w:w="1260" w:type="dxa"/>
            <w:tcBorders>
              <w:top w:val="nil"/>
              <w:left w:val="nil"/>
              <w:bottom w:val="single" w:sz="4" w:space="0" w:color="auto"/>
              <w:right w:val="single" w:sz="4" w:space="0" w:color="auto"/>
            </w:tcBorders>
            <w:shd w:val="clear" w:color="auto" w:fill="auto"/>
            <w:noWrap/>
            <w:vAlign w:val="bottom"/>
            <w:hideMark/>
          </w:tcPr>
          <w:p w14:paraId="6A3C4AEE" w14:textId="1F98DE32"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47 363</w:t>
            </w:r>
          </w:p>
        </w:tc>
      </w:tr>
      <w:tr w:rsidR="00C52EAA" w:rsidRPr="003966DC" w14:paraId="2C0C59A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1BB6479" w14:textId="4ED1E50E" w:rsidR="00C52EAA" w:rsidRPr="003966DC" w:rsidRDefault="00C52EAA" w:rsidP="00C52EA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Djibouti</w:t>
            </w:r>
          </w:p>
        </w:tc>
        <w:tc>
          <w:tcPr>
            <w:tcW w:w="1138" w:type="dxa"/>
            <w:tcBorders>
              <w:top w:val="nil"/>
              <w:left w:val="nil"/>
              <w:bottom w:val="single" w:sz="4" w:space="0" w:color="auto"/>
              <w:right w:val="single" w:sz="4" w:space="0" w:color="auto"/>
            </w:tcBorders>
            <w:shd w:val="clear" w:color="auto" w:fill="auto"/>
            <w:vAlign w:val="bottom"/>
            <w:hideMark/>
          </w:tcPr>
          <w:p w14:paraId="1D0A43F6" w14:textId="3D806E98"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2DDDEB37" w14:textId="6CF317A1"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35957552" w14:textId="2145E48D"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1C2AA8C" w14:textId="5508DF90"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4159BF1" w14:textId="50758442"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C52EAA" w:rsidRPr="003966DC" w14:paraId="5EA9179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0D7FAC3" w14:textId="5EFD0383" w:rsidR="00C52EAA" w:rsidRPr="003966DC" w:rsidRDefault="00C52EAA" w:rsidP="00C52EA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Dominique</w:t>
            </w:r>
          </w:p>
        </w:tc>
        <w:tc>
          <w:tcPr>
            <w:tcW w:w="1138" w:type="dxa"/>
            <w:tcBorders>
              <w:top w:val="nil"/>
              <w:left w:val="nil"/>
              <w:bottom w:val="single" w:sz="4" w:space="0" w:color="auto"/>
              <w:right w:val="single" w:sz="4" w:space="0" w:color="auto"/>
            </w:tcBorders>
            <w:shd w:val="clear" w:color="auto" w:fill="auto"/>
            <w:vAlign w:val="bottom"/>
            <w:hideMark/>
          </w:tcPr>
          <w:p w14:paraId="28BBF34B" w14:textId="23A41BED"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4D713FD0" w14:textId="70E5F58A"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0CA9F7EA" w14:textId="0B52E7A3"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6F988E51" w14:textId="6A292C70"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A98B01D" w14:textId="489ABDFF"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C52EAA" w:rsidRPr="003966DC" w14:paraId="236174C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16AE7A7" w14:textId="6B62BD51" w:rsidR="00C52EAA" w:rsidRPr="003966DC" w:rsidRDefault="00C52EAA" w:rsidP="00C52EA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Égypte</w:t>
            </w:r>
          </w:p>
        </w:tc>
        <w:tc>
          <w:tcPr>
            <w:tcW w:w="1138" w:type="dxa"/>
            <w:tcBorders>
              <w:top w:val="nil"/>
              <w:left w:val="nil"/>
              <w:bottom w:val="single" w:sz="4" w:space="0" w:color="auto"/>
              <w:right w:val="single" w:sz="4" w:space="0" w:color="auto"/>
            </w:tcBorders>
            <w:shd w:val="clear" w:color="auto" w:fill="auto"/>
            <w:vAlign w:val="bottom"/>
            <w:hideMark/>
          </w:tcPr>
          <w:p w14:paraId="6D45CB81" w14:textId="2AB53222"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139</w:t>
            </w:r>
          </w:p>
        </w:tc>
        <w:tc>
          <w:tcPr>
            <w:tcW w:w="2552" w:type="dxa"/>
            <w:tcBorders>
              <w:top w:val="nil"/>
              <w:left w:val="nil"/>
              <w:bottom w:val="single" w:sz="4" w:space="0" w:color="auto"/>
              <w:right w:val="single" w:sz="4" w:space="0" w:color="auto"/>
            </w:tcBorders>
            <w:shd w:val="clear" w:color="auto" w:fill="auto"/>
            <w:noWrap/>
            <w:vAlign w:val="bottom"/>
            <w:hideMark/>
          </w:tcPr>
          <w:p w14:paraId="299D0BE6" w14:textId="33AE1843"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196</w:t>
            </w:r>
          </w:p>
        </w:tc>
        <w:tc>
          <w:tcPr>
            <w:tcW w:w="1217" w:type="dxa"/>
            <w:tcBorders>
              <w:top w:val="nil"/>
              <w:left w:val="nil"/>
              <w:bottom w:val="single" w:sz="4" w:space="0" w:color="auto"/>
              <w:right w:val="single" w:sz="4" w:space="0" w:color="auto"/>
            </w:tcBorders>
            <w:shd w:val="clear" w:color="auto" w:fill="auto"/>
            <w:noWrap/>
            <w:vAlign w:val="bottom"/>
            <w:hideMark/>
          </w:tcPr>
          <w:p w14:paraId="08DE5019" w14:textId="41F070DF"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5 756</w:t>
            </w:r>
          </w:p>
        </w:tc>
        <w:tc>
          <w:tcPr>
            <w:tcW w:w="1213" w:type="dxa"/>
            <w:tcBorders>
              <w:top w:val="nil"/>
              <w:left w:val="nil"/>
              <w:bottom w:val="single" w:sz="4" w:space="0" w:color="auto"/>
              <w:right w:val="single" w:sz="4" w:space="0" w:color="auto"/>
            </w:tcBorders>
            <w:shd w:val="clear" w:color="auto" w:fill="auto"/>
            <w:noWrap/>
            <w:vAlign w:val="bottom"/>
            <w:hideMark/>
          </w:tcPr>
          <w:p w14:paraId="53B384E1" w14:textId="4026FBBF"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6 149</w:t>
            </w:r>
          </w:p>
        </w:tc>
        <w:tc>
          <w:tcPr>
            <w:tcW w:w="1260" w:type="dxa"/>
            <w:tcBorders>
              <w:top w:val="nil"/>
              <w:left w:val="nil"/>
              <w:bottom w:val="single" w:sz="4" w:space="0" w:color="auto"/>
              <w:right w:val="single" w:sz="4" w:space="0" w:color="auto"/>
            </w:tcBorders>
            <w:shd w:val="clear" w:color="auto" w:fill="auto"/>
            <w:noWrap/>
            <w:vAlign w:val="bottom"/>
            <w:hideMark/>
          </w:tcPr>
          <w:p w14:paraId="28FD959D" w14:textId="329494F8"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11 905</w:t>
            </w:r>
          </w:p>
        </w:tc>
      </w:tr>
      <w:tr w:rsidR="00C52EAA" w:rsidRPr="003966DC" w14:paraId="5721281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CC936AD" w14:textId="62F06334" w:rsidR="00C52EAA" w:rsidRPr="003966DC" w:rsidRDefault="00C52EAA" w:rsidP="00C52EA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El Salvador</w:t>
            </w:r>
          </w:p>
        </w:tc>
        <w:tc>
          <w:tcPr>
            <w:tcW w:w="1138" w:type="dxa"/>
            <w:tcBorders>
              <w:top w:val="nil"/>
              <w:left w:val="nil"/>
              <w:bottom w:val="single" w:sz="4" w:space="0" w:color="auto"/>
              <w:right w:val="single" w:sz="4" w:space="0" w:color="auto"/>
            </w:tcBorders>
            <w:shd w:val="clear" w:color="auto" w:fill="auto"/>
            <w:vAlign w:val="bottom"/>
            <w:hideMark/>
          </w:tcPr>
          <w:p w14:paraId="7E4382E1" w14:textId="5AFBCA03"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013</w:t>
            </w:r>
          </w:p>
        </w:tc>
        <w:tc>
          <w:tcPr>
            <w:tcW w:w="2552" w:type="dxa"/>
            <w:tcBorders>
              <w:top w:val="nil"/>
              <w:left w:val="nil"/>
              <w:bottom w:val="single" w:sz="4" w:space="0" w:color="auto"/>
              <w:right w:val="single" w:sz="4" w:space="0" w:color="auto"/>
            </w:tcBorders>
            <w:shd w:val="clear" w:color="auto" w:fill="auto"/>
            <w:noWrap/>
            <w:vAlign w:val="bottom"/>
            <w:hideMark/>
          </w:tcPr>
          <w:p w14:paraId="7F00F1A3" w14:textId="7400BC88"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018</w:t>
            </w:r>
          </w:p>
        </w:tc>
        <w:tc>
          <w:tcPr>
            <w:tcW w:w="1217" w:type="dxa"/>
            <w:tcBorders>
              <w:top w:val="nil"/>
              <w:left w:val="nil"/>
              <w:bottom w:val="single" w:sz="4" w:space="0" w:color="auto"/>
              <w:right w:val="single" w:sz="4" w:space="0" w:color="auto"/>
            </w:tcBorders>
            <w:shd w:val="clear" w:color="auto" w:fill="auto"/>
            <w:noWrap/>
            <w:vAlign w:val="bottom"/>
            <w:hideMark/>
          </w:tcPr>
          <w:p w14:paraId="6242FCD0" w14:textId="5ADEDE69"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3EE9A87B" w14:textId="37E86078"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24F14642" w14:textId="0923CBFC"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1 113</w:t>
            </w:r>
          </w:p>
        </w:tc>
      </w:tr>
      <w:tr w:rsidR="00286944" w:rsidRPr="003966DC" w14:paraId="7B371ECC" w14:textId="77777777" w:rsidTr="001A2514">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E0B0911" w14:textId="0F277882" w:rsidR="00286944" w:rsidRPr="003966DC" w:rsidRDefault="00286944" w:rsidP="0028694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lastRenderedPageBreak/>
              <w:t>Émirats arabes unis</w:t>
            </w:r>
          </w:p>
        </w:tc>
        <w:tc>
          <w:tcPr>
            <w:tcW w:w="1138" w:type="dxa"/>
            <w:tcBorders>
              <w:top w:val="nil"/>
              <w:left w:val="nil"/>
              <w:bottom w:val="single" w:sz="4" w:space="0" w:color="auto"/>
              <w:right w:val="single" w:sz="4" w:space="0" w:color="auto"/>
            </w:tcBorders>
            <w:shd w:val="clear" w:color="auto" w:fill="auto"/>
            <w:vAlign w:val="bottom"/>
          </w:tcPr>
          <w:p w14:paraId="7867926F" w14:textId="4E51E81C"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635</w:t>
            </w:r>
          </w:p>
        </w:tc>
        <w:tc>
          <w:tcPr>
            <w:tcW w:w="2552" w:type="dxa"/>
            <w:tcBorders>
              <w:top w:val="nil"/>
              <w:left w:val="nil"/>
              <w:bottom w:val="single" w:sz="4" w:space="0" w:color="auto"/>
              <w:right w:val="single" w:sz="4" w:space="0" w:color="auto"/>
            </w:tcBorders>
            <w:shd w:val="clear" w:color="auto" w:fill="auto"/>
            <w:noWrap/>
            <w:vAlign w:val="bottom"/>
          </w:tcPr>
          <w:p w14:paraId="3869B48B" w14:textId="085B54B8"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896</w:t>
            </w:r>
          </w:p>
        </w:tc>
        <w:tc>
          <w:tcPr>
            <w:tcW w:w="1217" w:type="dxa"/>
            <w:tcBorders>
              <w:top w:val="nil"/>
              <w:left w:val="nil"/>
              <w:bottom w:val="single" w:sz="4" w:space="0" w:color="auto"/>
              <w:right w:val="single" w:sz="4" w:space="0" w:color="auto"/>
            </w:tcBorders>
            <w:shd w:val="clear" w:color="auto" w:fill="auto"/>
            <w:noWrap/>
            <w:vAlign w:val="bottom"/>
          </w:tcPr>
          <w:p w14:paraId="4A401B07" w14:textId="79FCA798"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26 293</w:t>
            </w:r>
          </w:p>
        </w:tc>
        <w:tc>
          <w:tcPr>
            <w:tcW w:w="1213" w:type="dxa"/>
            <w:tcBorders>
              <w:top w:val="nil"/>
              <w:left w:val="nil"/>
              <w:bottom w:val="single" w:sz="4" w:space="0" w:color="auto"/>
              <w:right w:val="single" w:sz="4" w:space="0" w:color="auto"/>
            </w:tcBorders>
            <w:shd w:val="clear" w:color="auto" w:fill="auto"/>
            <w:noWrap/>
            <w:vAlign w:val="bottom"/>
          </w:tcPr>
          <w:p w14:paraId="1859AFEA" w14:textId="6CB6592B"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28 092</w:t>
            </w:r>
          </w:p>
        </w:tc>
        <w:tc>
          <w:tcPr>
            <w:tcW w:w="1260" w:type="dxa"/>
            <w:tcBorders>
              <w:top w:val="nil"/>
              <w:left w:val="nil"/>
              <w:bottom w:val="single" w:sz="4" w:space="0" w:color="auto"/>
              <w:right w:val="single" w:sz="4" w:space="0" w:color="auto"/>
            </w:tcBorders>
            <w:shd w:val="clear" w:color="auto" w:fill="auto"/>
            <w:noWrap/>
            <w:vAlign w:val="bottom"/>
          </w:tcPr>
          <w:p w14:paraId="43BE6BB7" w14:textId="2A87B6A4"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54 386</w:t>
            </w:r>
          </w:p>
        </w:tc>
      </w:tr>
      <w:tr w:rsidR="00286944" w:rsidRPr="003966DC" w14:paraId="71A8657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1221CC5" w14:textId="4D4D4A28" w:rsidR="00286944" w:rsidRPr="003966DC" w:rsidRDefault="00286944" w:rsidP="0028694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Équateur</w:t>
            </w:r>
          </w:p>
        </w:tc>
        <w:tc>
          <w:tcPr>
            <w:tcW w:w="1138" w:type="dxa"/>
            <w:tcBorders>
              <w:top w:val="nil"/>
              <w:left w:val="nil"/>
              <w:bottom w:val="single" w:sz="4" w:space="0" w:color="auto"/>
              <w:right w:val="single" w:sz="4" w:space="0" w:color="auto"/>
            </w:tcBorders>
            <w:shd w:val="clear" w:color="auto" w:fill="auto"/>
            <w:vAlign w:val="bottom"/>
          </w:tcPr>
          <w:p w14:paraId="34B66A70" w14:textId="1DC8C717"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077</w:t>
            </w:r>
          </w:p>
        </w:tc>
        <w:tc>
          <w:tcPr>
            <w:tcW w:w="2552" w:type="dxa"/>
            <w:tcBorders>
              <w:top w:val="nil"/>
              <w:left w:val="nil"/>
              <w:bottom w:val="single" w:sz="4" w:space="0" w:color="auto"/>
              <w:right w:val="single" w:sz="4" w:space="0" w:color="auto"/>
            </w:tcBorders>
            <w:shd w:val="clear" w:color="auto" w:fill="auto"/>
            <w:noWrap/>
            <w:vAlign w:val="bottom"/>
          </w:tcPr>
          <w:p w14:paraId="551E1F5B" w14:textId="6E6A7247"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109</w:t>
            </w:r>
          </w:p>
        </w:tc>
        <w:tc>
          <w:tcPr>
            <w:tcW w:w="1217" w:type="dxa"/>
            <w:tcBorders>
              <w:top w:val="nil"/>
              <w:left w:val="nil"/>
              <w:bottom w:val="single" w:sz="4" w:space="0" w:color="auto"/>
              <w:right w:val="single" w:sz="4" w:space="0" w:color="auto"/>
            </w:tcBorders>
            <w:shd w:val="clear" w:color="auto" w:fill="auto"/>
            <w:noWrap/>
            <w:vAlign w:val="bottom"/>
          </w:tcPr>
          <w:p w14:paraId="7FA5C9A2" w14:textId="01B79ADD"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3 188</w:t>
            </w:r>
          </w:p>
        </w:tc>
        <w:tc>
          <w:tcPr>
            <w:tcW w:w="1213" w:type="dxa"/>
            <w:tcBorders>
              <w:top w:val="nil"/>
              <w:left w:val="nil"/>
              <w:bottom w:val="single" w:sz="4" w:space="0" w:color="auto"/>
              <w:right w:val="single" w:sz="4" w:space="0" w:color="auto"/>
            </w:tcBorders>
            <w:shd w:val="clear" w:color="auto" w:fill="auto"/>
            <w:noWrap/>
            <w:vAlign w:val="bottom"/>
          </w:tcPr>
          <w:p w14:paraId="16355B6B" w14:textId="7BBCC362"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3 406</w:t>
            </w:r>
          </w:p>
        </w:tc>
        <w:tc>
          <w:tcPr>
            <w:tcW w:w="1260" w:type="dxa"/>
            <w:tcBorders>
              <w:top w:val="nil"/>
              <w:left w:val="nil"/>
              <w:bottom w:val="single" w:sz="4" w:space="0" w:color="auto"/>
              <w:right w:val="single" w:sz="4" w:space="0" w:color="auto"/>
            </w:tcBorders>
            <w:shd w:val="clear" w:color="auto" w:fill="auto"/>
            <w:noWrap/>
            <w:vAlign w:val="bottom"/>
          </w:tcPr>
          <w:p w14:paraId="1800CC40" w14:textId="13A0822A"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6 595</w:t>
            </w:r>
          </w:p>
        </w:tc>
      </w:tr>
      <w:tr w:rsidR="001A2514" w:rsidRPr="003966DC" w14:paraId="784DF86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12E8433C" w14:textId="2E8A256F" w:rsidR="001A2514" w:rsidRPr="003966DC" w:rsidRDefault="001A2514" w:rsidP="001A251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Érythrée</w:t>
            </w:r>
          </w:p>
        </w:tc>
        <w:tc>
          <w:tcPr>
            <w:tcW w:w="1138" w:type="dxa"/>
            <w:tcBorders>
              <w:top w:val="nil"/>
              <w:left w:val="nil"/>
              <w:bottom w:val="single" w:sz="4" w:space="0" w:color="auto"/>
              <w:right w:val="single" w:sz="4" w:space="0" w:color="auto"/>
            </w:tcBorders>
            <w:shd w:val="clear" w:color="auto" w:fill="auto"/>
            <w:vAlign w:val="bottom"/>
          </w:tcPr>
          <w:p w14:paraId="736814DC" w14:textId="494BB1BC" w:rsidR="001A2514" w:rsidRPr="003966DC" w:rsidRDefault="001A2514" w:rsidP="001A251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tcPr>
          <w:p w14:paraId="7AF5215F" w14:textId="0AD8EFD5" w:rsidR="001A2514" w:rsidRPr="003966DC" w:rsidRDefault="001A2514" w:rsidP="001A251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tcPr>
          <w:p w14:paraId="290E379E" w14:textId="5A263560" w:rsidR="001A2514" w:rsidRPr="003966DC" w:rsidRDefault="001A2514" w:rsidP="001A251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tcPr>
          <w:p w14:paraId="217876DA" w14:textId="06DA7720" w:rsidR="001A2514" w:rsidRPr="003966DC" w:rsidRDefault="001A2514" w:rsidP="001A251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tcPr>
          <w:p w14:paraId="2574437E" w14:textId="0618B289" w:rsidR="001A2514" w:rsidRPr="003966DC" w:rsidRDefault="001A2514" w:rsidP="001A251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855DEB" w:rsidRPr="003966DC" w14:paraId="09C28D8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BA9B3F1" w14:textId="2CC240FE" w:rsidR="00855DEB" w:rsidRPr="003966DC" w:rsidRDefault="00855DEB" w:rsidP="00855DEB">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Espagne</w:t>
            </w:r>
          </w:p>
        </w:tc>
        <w:tc>
          <w:tcPr>
            <w:tcW w:w="1138" w:type="dxa"/>
            <w:tcBorders>
              <w:top w:val="nil"/>
              <w:left w:val="nil"/>
              <w:bottom w:val="single" w:sz="4" w:space="0" w:color="auto"/>
              <w:right w:val="single" w:sz="4" w:space="0" w:color="auto"/>
            </w:tcBorders>
            <w:shd w:val="clear" w:color="auto" w:fill="auto"/>
            <w:vAlign w:val="bottom"/>
          </w:tcPr>
          <w:p w14:paraId="7868F8EB" w14:textId="194CDCD6" w:rsidR="00855DEB" w:rsidRPr="003966DC" w:rsidRDefault="00855DEB" w:rsidP="00855DE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134</w:t>
            </w:r>
          </w:p>
        </w:tc>
        <w:tc>
          <w:tcPr>
            <w:tcW w:w="2552" w:type="dxa"/>
            <w:tcBorders>
              <w:top w:val="nil"/>
              <w:left w:val="nil"/>
              <w:bottom w:val="single" w:sz="4" w:space="0" w:color="auto"/>
              <w:right w:val="single" w:sz="4" w:space="0" w:color="auto"/>
            </w:tcBorders>
            <w:shd w:val="clear" w:color="auto" w:fill="auto"/>
            <w:noWrap/>
            <w:vAlign w:val="bottom"/>
          </w:tcPr>
          <w:p w14:paraId="6E223D70" w14:textId="5EA38B4A" w:rsidR="00855DEB" w:rsidRPr="003966DC" w:rsidRDefault="00855DEB" w:rsidP="00855DE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013</w:t>
            </w:r>
          </w:p>
        </w:tc>
        <w:tc>
          <w:tcPr>
            <w:tcW w:w="1217" w:type="dxa"/>
            <w:tcBorders>
              <w:top w:val="nil"/>
              <w:left w:val="nil"/>
              <w:bottom w:val="single" w:sz="4" w:space="0" w:color="auto"/>
              <w:right w:val="single" w:sz="4" w:space="0" w:color="auto"/>
            </w:tcBorders>
            <w:shd w:val="clear" w:color="auto" w:fill="auto"/>
            <w:noWrap/>
            <w:vAlign w:val="bottom"/>
          </w:tcPr>
          <w:p w14:paraId="329BEB72" w14:textId="059A4DA2" w:rsidR="00855DEB" w:rsidRPr="003966DC" w:rsidRDefault="00855DEB" w:rsidP="00855DE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88 362</w:t>
            </w:r>
          </w:p>
        </w:tc>
        <w:tc>
          <w:tcPr>
            <w:tcW w:w="1213" w:type="dxa"/>
            <w:tcBorders>
              <w:top w:val="nil"/>
              <w:left w:val="nil"/>
              <w:bottom w:val="single" w:sz="4" w:space="0" w:color="auto"/>
              <w:right w:val="single" w:sz="4" w:space="0" w:color="auto"/>
            </w:tcBorders>
            <w:shd w:val="clear" w:color="auto" w:fill="auto"/>
            <w:noWrap/>
            <w:vAlign w:val="bottom"/>
          </w:tcPr>
          <w:p w14:paraId="22A454B3" w14:textId="0BA0E458" w:rsidR="00855DEB" w:rsidRPr="003966DC" w:rsidRDefault="00855DEB" w:rsidP="00855DE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94 408</w:t>
            </w:r>
          </w:p>
        </w:tc>
        <w:tc>
          <w:tcPr>
            <w:tcW w:w="1260" w:type="dxa"/>
            <w:tcBorders>
              <w:top w:val="nil"/>
              <w:left w:val="nil"/>
              <w:bottom w:val="single" w:sz="4" w:space="0" w:color="auto"/>
              <w:right w:val="single" w:sz="4" w:space="0" w:color="auto"/>
            </w:tcBorders>
            <w:shd w:val="clear" w:color="auto" w:fill="auto"/>
            <w:noWrap/>
            <w:vAlign w:val="bottom"/>
          </w:tcPr>
          <w:p w14:paraId="15521A2B" w14:textId="3664C90E" w:rsidR="00855DEB" w:rsidRPr="003966DC" w:rsidRDefault="00855DEB" w:rsidP="00855DE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182 771</w:t>
            </w:r>
          </w:p>
        </w:tc>
      </w:tr>
      <w:tr w:rsidR="00C52EAA" w:rsidRPr="003966DC" w14:paraId="0B0D09B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CA577B7" w14:textId="4B4F6C0F" w:rsidR="00C52EAA" w:rsidRPr="003966DC" w:rsidRDefault="00C52EAA" w:rsidP="00C52EA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Estonie</w:t>
            </w:r>
          </w:p>
        </w:tc>
        <w:tc>
          <w:tcPr>
            <w:tcW w:w="1138" w:type="dxa"/>
            <w:tcBorders>
              <w:top w:val="nil"/>
              <w:left w:val="nil"/>
              <w:bottom w:val="single" w:sz="4" w:space="0" w:color="auto"/>
              <w:right w:val="single" w:sz="4" w:space="0" w:color="auto"/>
            </w:tcBorders>
            <w:shd w:val="clear" w:color="auto" w:fill="auto"/>
            <w:vAlign w:val="bottom"/>
            <w:hideMark/>
          </w:tcPr>
          <w:p w14:paraId="42EE67D8" w14:textId="467864B7"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044</w:t>
            </w:r>
          </w:p>
        </w:tc>
        <w:tc>
          <w:tcPr>
            <w:tcW w:w="2552" w:type="dxa"/>
            <w:tcBorders>
              <w:top w:val="nil"/>
              <w:left w:val="nil"/>
              <w:bottom w:val="single" w:sz="4" w:space="0" w:color="auto"/>
              <w:right w:val="single" w:sz="4" w:space="0" w:color="auto"/>
            </w:tcBorders>
            <w:shd w:val="clear" w:color="auto" w:fill="auto"/>
            <w:noWrap/>
            <w:vAlign w:val="bottom"/>
            <w:hideMark/>
          </w:tcPr>
          <w:p w14:paraId="4F12A46E" w14:textId="48646BD6"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062</w:t>
            </w:r>
          </w:p>
        </w:tc>
        <w:tc>
          <w:tcPr>
            <w:tcW w:w="1217" w:type="dxa"/>
            <w:tcBorders>
              <w:top w:val="nil"/>
              <w:left w:val="nil"/>
              <w:bottom w:val="single" w:sz="4" w:space="0" w:color="auto"/>
              <w:right w:val="single" w:sz="4" w:space="0" w:color="auto"/>
            </w:tcBorders>
            <w:shd w:val="clear" w:color="auto" w:fill="auto"/>
            <w:noWrap/>
            <w:vAlign w:val="bottom"/>
            <w:hideMark/>
          </w:tcPr>
          <w:p w14:paraId="193AFD6F" w14:textId="3D552683"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1 822</w:t>
            </w:r>
          </w:p>
        </w:tc>
        <w:tc>
          <w:tcPr>
            <w:tcW w:w="1213" w:type="dxa"/>
            <w:tcBorders>
              <w:top w:val="nil"/>
              <w:left w:val="nil"/>
              <w:bottom w:val="single" w:sz="4" w:space="0" w:color="auto"/>
              <w:right w:val="single" w:sz="4" w:space="0" w:color="auto"/>
            </w:tcBorders>
            <w:shd w:val="clear" w:color="auto" w:fill="auto"/>
            <w:noWrap/>
            <w:vAlign w:val="bottom"/>
            <w:hideMark/>
          </w:tcPr>
          <w:p w14:paraId="07194D44" w14:textId="06B350A0"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1 947</w:t>
            </w:r>
          </w:p>
        </w:tc>
        <w:tc>
          <w:tcPr>
            <w:tcW w:w="1260" w:type="dxa"/>
            <w:tcBorders>
              <w:top w:val="nil"/>
              <w:left w:val="nil"/>
              <w:bottom w:val="single" w:sz="4" w:space="0" w:color="auto"/>
              <w:right w:val="single" w:sz="4" w:space="0" w:color="auto"/>
            </w:tcBorders>
            <w:shd w:val="clear" w:color="auto" w:fill="auto"/>
            <w:noWrap/>
            <w:vAlign w:val="bottom"/>
            <w:hideMark/>
          </w:tcPr>
          <w:p w14:paraId="70B5D72F" w14:textId="2828C638"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3 768</w:t>
            </w:r>
          </w:p>
        </w:tc>
      </w:tr>
      <w:tr w:rsidR="00C52EAA" w:rsidRPr="003966DC" w14:paraId="13295ED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E3B14E4" w14:textId="062DE060" w:rsidR="00C52EAA" w:rsidRPr="003966DC" w:rsidRDefault="00C52EAA" w:rsidP="00C52EA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Eswatini</w:t>
            </w:r>
          </w:p>
        </w:tc>
        <w:tc>
          <w:tcPr>
            <w:tcW w:w="1138" w:type="dxa"/>
            <w:tcBorders>
              <w:top w:val="nil"/>
              <w:left w:val="nil"/>
              <w:bottom w:val="single" w:sz="4" w:space="0" w:color="auto"/>
              <w:right w:val="single" w:sz="4" w:space="0" w:color="auto"/>
            </w:tcBorders>
            <w:shd w:val="clear" w:color="auto" w:fill="auto"/>
            <w:vAlign w:val="bottom"/>
            <w:hideMark/>
          </w:tcPr>
          <w:p w14:paraId="0B9D2D06" w14:textId="7483C3EB"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002</w:t>
            </w:r>
          </w:p>
        </w:tc>
        <w:tc>
          <w:tcPr>
            <w:tcW w:w="2552" w:type="dxa"/>
            <w:tcBorders>
              <w:top w:val="nil"/>
              <w:left w:val="nil"/>
              <w:bottom w:val="single" w:sz="4" w:space="0" w:color="auto"/>
              <w:right w:val="single" w:sz="4" w:space="0" w:color="auto"/>
            </w:tcBorders>
            <w:shd w:val="clear" w:color="auto" w:fill="auto"/>
            <w:noWrap/>
            <w:vAlign w:val="bottom"/>
            <w:hideMark/>
          </w:tcPr>
          <w:p w14:paraId="27D4E984" w14:textId="61E2FEAB"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1217" w:type="dxa"/>
            <w:tcBorders>
              <w:top w:val="nil"/>
              <w:left w:val="nil"/>
              <w:bottom w:val="single" w:sz="4" w:space="0" w:color="auto"/>
              <w:right w:val="single" w:sz="4" w:space="0" w:color="auto"/>
            </w:tcBorders>
            <w:shd w:val="clear" w:color="auto" w:fill="auto"/>
            <w:noWrap/>
            <w:vAlign w:val="bottom"/>
            <w:hideMark/>
          </w:tcPr>
          <w:p w14:paraId="2E0F387B" w14:textId="486F1B01"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18F6A41F" w14:textId="6896E873"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49030025" w14:textId="006060B1"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171</w:t>
            </w:r>
          </w:p>
        </w:tc>
      </w:tr>
      <w:tr w:rsidR="00855DEB" w:rsidRPr="003966DC" w14:paraId="48980AA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930D34D" w14:textId="65C464E3" w:rsidR="00855DEB" w:rsidRPr="003966DC" w:rsidRDefault="00855DEB" w:rsidP="00855DEB">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État de Palestine</w:t>
            </w:r>
          </w:p>
        </w:tc>
        <w:tc>
          <w:tcPr>
            <w:tcW w:w="1138" w:type="dxa"/>
            <w:tcBorders>
              <w:top w:val="nil"/>
              <w:left w:val="nil"/>
              <w:bottom w:val="single" w:sz="4" w:space="0" w:color="auto"/>
              <w:right w:val="single" w:sz="4" w:space="0" w:color="auto"/>
            </w:tcBorders>
            <w:shd w:val="clear" w:color="auto" w:fill="auto"/>
            <w:vAlign w:val="bottom"/>
          </w:tcPr>
          <w:p w14:paraId="2126FD07" w14:textId="213D0DE7" w:rsidR="00855DEB" w:rsidRPr="003966DC" w:rsidRDefault="00855DEB" w:rsidP="00855DE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011</w:t>
            </w:r>
          </w:p>
        </w:tc>
        <w:tc>
          <w:tcPr>
            <w:tcW w:w="2552" w:type="dxa"/>
            <w:tcBorders>
              <w:top w:val="nil"/>
              <w:left w:val="nil"/>
              <w:bottom w:val="single" w:sz="4" w:space="0" w:color="auto"/>
              <w:right w:val="single" w:sz="4" w:space="0" w:color="auto"/>
            </w:tcBorders>
            <w:shd w:val="clear" w:color="auto" w:fill="auto"/>
            <w:noWrap/>
            <w:vAlign w:val="bottom"/>
          </w:tcPr>
          <w:p w14:paraId="6FC5B707" w14:textId="630531E4" w:rsidR="00855DEB" w:rsidRPr="003966DC" w:rsidRDefault="00855DEB" w:rsidP="00855DE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016</w:t>
            </w:r>
          </w:p>
        </w:tc>
        <w:tc>
          <w:tcPr>
            <w:tcW w:w="1217" w:type="dxa"/>
            <w:tcBorders>
              <w:top w:val="nil"/>
              <w:left w:val="nil"/>
              <w:bottom w:val="single" w:sz="4" w:space="0" w:color="auto"/>
              <w:right w:val="single" w:sz="4" w:space="0" w:color="auto"/>
            </w:tcBorders>
            <w:shd w:val="clear" w:color="auto" w:fill="auto"/>
            <w:noWrap/>
            <w:vAlign w:val="bottom"/>
          </w:tcPr>
          <w:p w14:paraId="0F0B7E4F" w14:textId="41216582" w:rsidR="00855DEB" w:rsidRPr="003966DC" w:rsidRDefault="00855DEB" w:rsidP="00855DE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455</w:t>
            </w:r>
          </w:p>
        </w:tc>
        <w:tc>
          <w:tcPr>
            <w:tcW w:w="1213" w:type="dxa"/>
            <w:tcBorders>
              <w:top w:val="nil"/>
              <w:left w:val="nil"/>
              <w:bottom w:val="single" w:sz="4" w:space="0" w:color="auto"/>
              <w:right w:val="single" w:sz="4" w:space="0" w:color="auto"/>
            </w:tcBorders>
            <w:shd w:val="clear" w:color="auto" w:fill="auto"/>
            <w:noWrap/>
            <w:vAlign w:val="bottom"/>
          </w:tcPr>
          <w:p w14:paraId="46F94C6E" w14:textId="393FF9EE" w:rsidR="00855DEB" w:rsidRPr="003966DC" w:rsidRDefault="00855DEB" w:rsidP="00855DE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487</w:t>
            </w:r>
          </w:p>
        </w:tc>
        <w:tc>
          <w:tcPr>
            <w:tcW w:w="1260" w:type="dxa"/>
            <w:tcBorders>
              <w:top w:val="nil"/>
              <w:left w:val="nil"/>
              <w:bottom w:val="single" w:sz="4" w:space="0" w:color="auto"/>
              <w:right w:val="single" w:sz="4" w:space="0" w:color="auto"/>
            </w:tcBorders>
            <w:shd w:val="clear" w:color="auto" w:fill="auto"/>
            <w:noWrap/>
            <w:vAlign w:val="bottom"/>
          </w:tcPr>
          <w:p w14:paraId="64F5E67C" w14:textId="6663E0CC" w:rsidR="00855DEB" w:rsidRPr="003966DC" w:rsidRDefault="00855DEB" w:rsidP="00855DE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942</w:t>
            </w:r>
          </w:p>
        </w:tc>
      </w:tr>
      <w:tr w:rsidR="00C52EAA" w:rsidRPr="003966DC" w14:paraId="27529CE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52817F3" w14:textId="53ADF471" w:rsidR="00C52EAA" w:rsidRPr="003966DC" w:rsidRDefault="00C52EAA" w:rsidP="00C52EA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Éthiopie</w:t>
            </w:r>
          </w:p>
        </w:tc>
        <w:tc>
          <w:tcPr>
            <w:tcW w:w="1138" w:type="dxa"/>
            <w:tcBorders>
              <w:top w:val="nil"/>
              <w:left w:val="nil"/>
              <w:bottom w:val="single" w:sz="4" w:space="0" w:color="auto"/>
              <w:right w:val="single" w:sz="4" w:space="0" w:color="auto"/>
            </w:tcBorders>
            <w:shd w:val="clear" w:color="auto" w:fill="auto"/>
            <w:vAlign w:val="bottom"/>
            <w:hideMark/>
          </w:tcPr>
          <w:p w14:paraId="5E2BA7CE" w14:textId="1D12B0C1"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2552" w:type="dxa"/>
            <w:tcBorders>
              <w:top w:val="nil"/>
              <w:left w:val="nil"/>
              <w:bottom w:val="single" w:sz="4" w:space="0" w:color="auto"/>
              <w:right w:val="single" w:sz="4" w:space="0" w:color="auto"/>
            </w:tcBorders>
            <w:shd w:val="clear" w:color="auto" w:fill="auto"/>
            <w:noWrap/>
            <w:vAlign w:val="bottom"/>
            <w:hideMark/>
          </w:tcPr>
          <w:p w14:paraId="4BD18491" w14:textId="1AC27421"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hideMark/>
          </w:tcPr>
          <w:p w14:paraId="3FD79CBF" w14:textId="39A56661"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4DA51EB5" w14:textId="7A1CE942"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5297DEFE" w14:textId="422D8834" w:rsidR="00C52EAA" w:rsidRPr="003966DC" w:rsidRDefault="00C52EAA" w:rsidP="00C52EA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607</w:t>
            </w:r>
          </w:p>
        </w:tc>
      </w:tr>
      <w:tr w:rsidR="007F650C" w:rsidRPr="003966DC" w14:paraId="42329AD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C4AFE7F" w14:textId="1269109B"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Fidji</w:t>
            </w:r>
          </w:p>
        </w:tc>
        <w:tc>
          <w:tcPr>
            <w:tcW w:w="1138" w:type="dxa"/>
            <w:tcBorders>
              <w:top w:val="nil"/>
              <w:left w:val="nil"/>
              <w:bottom w:val="single" w:sz="4" w:space="0" w:color="auto"/>
              <w:right w:val="single" w:sz="4" w:space="0" w:color="auto"/>
            </w:tcBorders>
            <w:shd w:val="clear" w:color="auto" w:fill="auto"/>
            <w:vAlign w:val="bottom"/>
            <w:hideMark/>
          </w:tcPr>
          <w:p w14:paraId="24122EDF" w14:textId="2D11AF02"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2552" w:type="dxa"/>
            <w:tcBorders>
              <w:top w:val="nil"/>
              <w:left w:val="nil"/>
              <w:bottom w:val="single" w:sz="4" w:space="0" w:color="auto"/>
              <w:right w:val="single" w:sz="4" w:space="0" w:color="auto"/>
            </w:tcBorders>
            <w:shd w:val="clear" w:color="auto" w:fill="auto"/>
            <w:noWrap/>
            <w:vAlign w:val="bottom"/>
            <w:hideMark/>
          </w:tcPr>
          <w:p w14:paraId="689CE798" w14:textId="62249E0E"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006</w:t>
            </w:r>
          </w:p>
        </w:tc>
        <w:tc>
          <w:tcPr>
            <w:tcW w:w="1217" w:type="dxa"/>
            <w:tcBorders>
              <w:top w:val="nil"/>
              <w:left w:val="nil"/>
              <w:bottom w:val="single" w:sz="4" w:space="0" w:color="auto"/>
              <w:right w:val="single" w:sz="4" w:space="0" w:color="auto"/>
            </w:tcBorders>
            <w:shd w:val="clear" w:color="auto" w:fill="auto"/>
            <w:noWrap/>
            <w:vAlign w:val="bottom"/>
            <w:hideMark/>
          </w:tcPr>
          <w:p w14:paraId="666D901A" w14:textId="65CD8209"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143E2624" w14:textId="327F218F"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2F49EDC0" w14:textId="52372ACA"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343</w:t>
            </w:r>
          </w:p>
        </w:tc>
      </w:tr>
      <w:tr w:rsidR="007F650C" w:rsidRPr="003966DC" w14:paraId="0240C05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A6B1DDF" w14:textId="425A5231"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Finlande</w:t>
            </w:r>
          </w:p>
        </w:tc>
        <w:tc>
          <w:tcPr>
            <w:tcW w:w="1138" w:type="dxa"/>
            <w:tcBorders>
              <w:top w:val="nil"/>
              <w:left w:val="nil"/>
              <w:bottom w:val="single" w:sz="4" w:space="0" w:color="auto"/>
              <w:right w:val="single" w:sz="4" w:space="0" w:color="auto"/>
            </w:tcBorders>
            <w:shd w:val="clear" w:color="auto" w:fill="auto"/>
            <w:vAlign w:val="bottom"/>
            <w:hideMark/>
          </w:tcPr>
          <w:p w14:paraId="6A65BFD6" w14:textId="25BE966C"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417</w:t>
            </w:r>
          </w:p>
        </w:tc>
        <w:tc>
          <w:tcPr>
            <w:tcW w:w="2552" w:type="dxa"/>
            <w:tcBorders>
              <w:top w:val="nil"/>
              <w:left w:val="nil"/>
              <w:bottom w:val="single" w:sz="4" w:space="0" w:color="auto"/>
              <w:right w:val="single" w:sz="4" w:space="0" w:color="auto"/>
            </w:tcBorders>
            <w:shd w:val="clear" w:color="auto" w:fill="auto"/>
            <w:noWrap/>
            <w:vAlign w:val="bottom"/>
            <w:hideMark/>
          </w:tcPr>
          <w:p w14:paraId="5C7D6E0D" w14:textId="7FA53702"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589</w:t>
            </w:r>
          </w:p>
        </w:tc>
        <w:tc>
          <w:tcPr>
            <w:tcW w:w="1217" w:type="dxa"/>
            <w:tcBorders>
              <w:top w:val="nil"/>
              <w:left w:val="nil"/>
              <w:bottom w:val="single" w:sz="4" w:space="0" w:color="auto"/>
              <w:right w:val="single" w:sz="4" w:space="0" w:color="auto"/>
            </w:tcBorders>
            <w:shd w:val="clear" w:color="auto" w:fill="auto"/>
            <w:noWrap/>
            <w:vAlign w:val="bottom"/>
            <w:hideMark/>
          </w:tcPr>
          <w:p w14:paraId="52F3C57C" w14:textId="3860CEEF"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17 267</w:t>
            </w:r>
          </w:p>
        </w:tc>
        <w:tc>
          <w:tcPr>
            <w:tcW w:w="1213" w:type="dxa"/>
            <w:tcBorders>
              <w:top w:val="nil"/>
              <w:left w:val="nil"/>
              <w:bottom w:val="single" w:sz="4" w:space="0" w:color="auto"/>
              <w:right w:val="single" w:sz="4" w:space="0" w:color="auto"/>
            </w:tcBorders>
            <w:shd w:val="clear" w:color="auto" w:fill="auto"/>
            <w:noWrap/>
            <w:vAlign w:val="bottom"/>
            <w:hideMark/>
          </w:tcPr>
          <w:p w14:paraId="6CEBFAF0" w14:textId="74EF82C2"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18 448</w:t>
            </w:r>
          </w:p>
        </w:tc>
        <w:tc>
          <w:tcPr>
            <w:tcW w:w="1260" w:type="dxa"/>
            <w:tcBorders>
              <w:top w:val="nil"/>
              <w:left w:val="nil"/>
              <w:bottom w:val="single" w:sz="4" w:space="0" w:color="auto"/>
              <w:right w:val="single" w:sz="4" w:space="0" w:color="auto"/>
            </w:tcBorders>
            <w:shd w:val="clear" w:color="auto" w:fill="auto"/>
            <w:noWrap/>
            <w:vAlign w:val="bottom"/>
            <w:hideMark/>
          </w:tcPr>
          <w:p w14:paraId="3406C1AC" w14:textId="237847D0"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35 715</w:t>
            </w:r>
          </w:p>
        </w:tc>
      </w:tr>
      <w:tr w:rsidR="007F650C" w:rsidRPr="003966DC" w14:paraId="3A8B990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91EE5A8" w14:textId="64D12449"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France</w:t>
            </w:r>
          </w:p>
        </w:tc>
        <w:tc>
          <w:tcPr>
            <w:tcW w:w="1138" w:type="dxa"/>
            <w:tcBorders>
              <w:top w:val="nil"/>
              <w:left w:val="nil"/>
              <w:bottom w:val="single" w:sz="4" w:space="0" w:color="auto"/>
              <w:right w:val="single" w:sz="4" w:space="0" w:color="auto"/>
            </w:tcBorders>
            <w:shd w:val="clear" w:color="auto" w:fill="auto"/>
            <w:vAlign w:val="bottom"/>
            <w:hideMark/>
          </w:tcPr>
          <w:p w14:paraId="015D05AD" w14:textId="259A3073"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318</w:t>
            </w:r>
          </w:p>
        </w:tc>
        <w:tc>
          <w:tcPr>
            <w:tcW w:w="2552" w:type="dxa"/>
            <w:tcBorders>
              <w:top w:val="nil"/>
              <w:left w:val="nil"/>
              <w:bottom w:val="single" w:sz="4" w:space="0" w:color="auto"/>
              <w:right w:val="single" w:sz="4" w:space="0" w:color="auto"/>
            </w:tcBorders>
            <w:shd w:val="clear" w:color="auto" w:fill="auto"/>
            <w:noWrap/>
            <w:vAlign w:val="bottom"/>
            <w:hideMark/>
          </w:tcPr>
          <w:p w14:paraId="68AF6553" w14:textId="13742F37"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096</w:t>
            </w:r>
          </w:p>
        </w:tc>
        <w:tc>
          <w:tcPr>
            <w:tcW w:w="1217" w:type="dxa"/>
            <w:tcBorders>
              <w:top w:val="nil"/>
              <w:left w:val="nil"/>
              <w:bottom w:val="single" w:sz="4" w:space="0" w:color="auto"/>
              <w:right w:val="single" w:sz="4" w:space="0" w:color="auto"/>
            </w:tcBorders>
            <w:shd w:val="clear" w:color="auto" w:fill="auto"/>
            <w:noWrap/>
            <w:vAlign w:val="bottom"/>
            <w:hideMark/>
          </w:tcPr>
          <w:p w14:paraId="2BCF0789" w14:textId="5867A970"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178 795</w:t>
            </w:r>
          </w:p>
        </w:tc>
        <w:tc>
          <w:tcPr>
            <w:tcW w:w="1213" w:type="dxa"/>
            <w:tcBorders>
              <w:top w:val="nil"/>
              <w:left w:val="nil"/>
              <w:bottom w:val="single" w:sz="4" w:space="0" w:color="auto"/>
              <w:right w:val="single" w:sz="4" w:space="0" w:color="auto"/>
            </w:tcBorders>
            <w:shd w:val="clear" w:color="auto" w:fill="auto"/>
            <w:noWrap/>
            <w:vAlign w:val="bottom"/>
            <w:hideMark/>
          </w:tcPr>
          <w:p w14:paraId="4060DDC6" w14:textId="1BDC1457"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191 029</w:t>
            </w:r>
          </w:p>
        </w:tc>
        <w:tc>
          <w:tcPr>
            <w:tcW w:w="1260" w:type="dxa"/>
            <w:tcBorders>
              <w:top w:val="nil"/>
              <w:left w:val="nil"/>
              <w:bottom w:val="single" w:sz="4" w:space="0" w:color="auto"/>
              <w:right w:val="single" w:sz="4" w:space="0" w:color="auto"/>
            </w:tcBorders>
            <w:shd w:val="clear" w:color="auto" w:fill="auto"/>
            <w:noWrap/>
            <w:vAlign w:val="bottom"/>
            <w:hideMark/>
          </w:tcPr>
          <w:p w14:paraId="5F28C7F3" w14:textId="65052199"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369 824</w:t>
            </w:r>
          </w:p>
        </w:tc>
      </w:tr>
      <w:tr w:rsidR="007F650C" w:rsidRPr="003966DC" w14:paraId="49A256B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879B281" w14:textId="684A6CA8"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Gabon</w:t>
            </w:r>
          </w:p>
        </w:tc>
        <w:tc>
          <w:tcPr>
            <w:tcW w:w="1138" w:type="dxa"/>
            <w:tcBorders>
              <w:top w:val="nil"/>
              <w:left w:val="nil"/>
              <w:bottom w:val="single" w:sz="4" w:space="0" w:color="auto"/>
              <w:right w:val="single" w:sz="4" w:space="0" w:color="auto"/>
            </w:tcBorders>
            <w:shd w:val="clear" w:color="auto" w:fill="auto"/>
            <w:vAlign w:val="bottom"/>
            <w:hideMark/>
          </w:tcPr>
          <w:p w14:paraId="0FC1AB00" w14:textId="2D7F9640"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013</w:t>
            </w:r>
          </w:p>
        </w:tc>
        <w:tc>
          <w:tcPr>
            <w:tcW w:w="2552" w:type="dxa"/>
            <w:tcBorders>
              <w:top w:val="nil"/>
              <w:left w:val="nil"/>
              <w:bottom w:val="single" w:sz="4" w:space="0" w:color="auto"/>
              <w:right w:val="single" w:sz="4" w:space="0" w:color="auto"/>
            </w:tcBorders>
            <w:shd w:val="clear" w:color="auto" w:fill="auto"/>
            <w:noWrap/>
            <w:vAlign w:val="bottom"/>
            <w:hideMark/>
          </w:tcPr>
          <w:p w14:paraId="13C9D1F4" w14:textId="1C948F45"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018</w:t>
            </w:r>
          </w:p>
        </w:tc>
        <w:tc>
          <w:tcPr>
            <w:tcW w:w="1217" w:type="dxa"/>
            <w:tcBorders>
              <w:top w:val="nil"/>
              <w:left w:val="nil"/>
              <w:bottom w:val="single" w:sz="4" w:space="0" w:color="auto"/>
              <w:right w:val="single" w:sz="4" w:space="0" w:color="auto"/>
            </w:tcBorders>
            <w:shd w:val="clear" w:color="auto" w:fill="auto"/>
            <w:noWrap/>
            <w:vAlign w:val="bottom"/>
            <w:hideMark/>
          </w:tcPr>
          <w:p w14:paraId="408844E6" w14:textId="279278C7"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46C7FB6E" w14:textId="0A5F6D4A"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01057691" w14:textId="10E6DC2D"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1 113</w:t>
            </w:r>
          </w:p>
        </w:tc>
      </w:tr>
      <w:tr w:rsidR="007F650C" w:rsidRPr="003966DC" w14:paraId="4C2E5B9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3E5939A" w14:textId="0AE3F370"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Gambie</w:t>
            </w:r>
          </w:p>
        </w:tc>
        <w:tc>
          <w:tcPr>
            <w:tcW w:w="1138" w:type="dxa"/>
            <w:tcBorders>
              <w:top w:val="nil"/>
              <w:left w:val="nil"/>
              <w:bottom w:val="single" w:sz="4" w:space="0" w:color="auto"/>
              <w:right w:val="single" w:sz="4" w:space="0" w:color="auto"/>
            </w:tcBorders>
            <w:shd w:val="clear" w:color="auto" w:fill="auto"/>
            <w:vAlign w:val="bottom"/>
            <w:hideMark/>
          </w:tcPr>
          <w:p w14:paraId="495C808B" w14:textId="3052AB37"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7CBC293D" w14:textId="221EDFB0"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5986F3B5" w14:textId="3AFEBD57"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9404BFC" w14:textId="31E261AA"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22AFC53C" w14:textId="54C9892E"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7F650C" w:rsidRPr="003966DC" w14:paraId="53E1872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97CDD64" w14:textId="7A4FAB64"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Géorgie</w:t>
            </w:r>
          </w:p>
        </w:tc>
        <w:tc>
          <w:tcPr>
            <w:tcW w:w="1138" w:type="dxa"/>
            <w:tcBorders>
              <w:top w:val="nil"/>
              <w:left w:val="nil"/>
              <w:bottom w:val="single" w:sz="4" w:space="0" w:color="auto"/>
              <w:right w:val="single" w:sz="4" w:space="0" w:color="auto"/>
            </w:tcBorders>
            <w:shd w:val="clear" w:color="auto" w:fill="auto"/>
            <w:vAlign w:val="bottom"/>
            <w:hideMark/>
          </w:tcPr>
          <w:p w14:paraId="364612E1" w14:textId="3BAD2A6C"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008</w:t>
            </w:r>
          </w:p>
        </w:tc>
        <w:tc>
          <w:tcPr>
            <w:tcW w:w="2552" w:type="dxa"/>
            <w:tcBorders>
              <w:top w:val="nil"/>
              <w:left w:val="nil"/>
              <w:bottom w:val="single" w:sz="4" w:space="0" w:color="auto"/>
              <w:right w:val="single" w:sz="4" w:space="0" w:color="auto"/>
            </w:tcBorders>
            <w:shd w:val="clear" w:color="auto" w:fill="auto"/>
            <w:noWrap/>
            <w:vAlign w:val="bottom"/>
            <w:hideMark/>
          </w:tcPr>
          <w:p w14:paraId="394F1B81" w14:textId="4A4947D6"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011</w:t>
            </w:r>
          </w:p>
        </w:tc>
        <w:tc>
          <w:tcPr>
            <w:tcW w:w="1217" w:type="dxa"/>
            <w:tcBorders>
              <w:top w:val="nil"/>
              <w:left w:val="nil"/>
              <w:bottom w:val="single" w:sz="4" w:space="0" w:color="auto"/>
              <w:right w:val="single" w:sz="4" w:space="0" w:color="auto"/>
            </w:tcBorders>
            <w:shd w:val="clear" w:color="auto" w:fill="auto"/>
            <w:noWrap/>
            <w:vAlign w:val="bottom"/>
            <w:hideMark/>
          </w:tcPr>
          <w:p w14:paraId="2ADEEE92" w14:textId="0AAC9285"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45730E30" w14:textId="039C2EC9"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69F41549" w14:textId="19BB91CA"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685</w:t>
            </w:r>
          </w:p>
        </w:tc>
      </w:tr>
      <w:tr w:rsidR="007F650C" w:rsidRPr="003966DC" w14:paraId="3391B5C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701F05B" w14:textId="4AB9249A"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Ghana</w:t>
            </w:r>
          </w:p>
        </w:tc>
        <w:tc>
          <w:tcPr>
            <w:tcW w:w="1138" w:type="dxa"/>
            <w:tcBorders>
              <w:top w:val="nil"/>
              <w:left w:val="nil"/>
              <w:bottom w:val="single" w:sz="4" w:space="0" w:color="auto"/>
              <w:right w:val="single" w:sz="4" w:space="0" w:color="auto"/>
            </w:tcBorders>
            <w:shd w:val="clear" w:color="auto" w:fill="auto"/>
            <w:vAlign w:val="bottom"/>
            <w:hideMark/>
          </w:tcPr>
          <w:p w14:paraId="106E94EC" w14:textId="0C023B87"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024</w:t>
            </w:r>
          </w:p>
        </w:tc>
        <w:tc>
          <w:tcPr>
            <w:tcW w:w="2552" w:type="dxa"/>
            <w:tcBorders>
              <w:top w:val="nil"/>
              <w:left w:val="nil"/>
              <w:bottom w:val="single" w:sz="4" w:space="0" w:color="auto"/>
              <w:right w:val="single" w:sz="4" w:space="0" w:color="auto"/>
            </w:tcBorders>
            <w:shd w:val="clear" w:color="auto" w:fill="auto"/>
            <w:noWrap/>
            <w:vAlign w:val="bottom"/>
            <w:hideMark/>
          </w:tcPr>
          <w:p w14:paraId="7D53EE9B" w14:textId="7267013A"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034</w:t>
            </w:r>
          </w:p>
        </w:tc>
        <w:tc>
          <w:tcPr>
            <w:tcW w:w="1217" w:type="dxa"/>
            <w:tcBorders>
              <w:top w:val="nil"/>
              <w:left w:val="nil"/>
              <w:bottom w:val="single" w:sz="4" w:space="0" w:color="auto"/>
              <w:right w:val="single" w:sz="4" w:space="0" w:color="auto"/>
            </w:tcBorders>
            <w:shd w:val="clear" w:color="auto" w:fill="auto"/>
            <w:noWrap/>
            <w:vAlign w:val="bottom"/>
            <w:hideMark/>
          </w:tcPr>
          <w:p w14:paraId="17F5BE73" w14:textId="682DD787"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994</w:t>
            </w:r>
          </w:p>
        </w:tc>
        <w:tc>
          <w:tcPr>
            <w:tcW w:w="1213" w:type="dxa"/>
            <w:tcBorders>
              <w:top w:val="nil"/>
              <w:left w:val="nil"/>
              <w:bottom w:val="single" w:sz="4" w:space="0" w:color="auto"/>
              <w:right w:val="single" w:sz="4" w:space="0" w:color="auto"/>
            </w:tcBorders>
            <w:shd w:val="clear" w:color="auto" w:fill="auto"/>
            <w:noWrap/>
            <w:vAlign w:val="bottom"/>
            <w:hideMark/>
          </w:tcPr>
          <w:p w14:paraId="49980B48" w14:textId="5E6CCED7"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1 062</w:t>
            </w:r>
          </w:p>
        </w:tc>
        <w:tc>
          <w:tcPr>
            <w:tcW w:w="1260" w:type="dxa"/>
            <w:tcBorders>
              <w:top w:val="nil"/>
              <w:left w:val="nil"/>
              <w:bottom w:val="single" w:sz="4" w:space="0" w:color="auto"/>
              <w:right w:val="single" w:sz="4" w:space="0" w:color="auto"/>
            </w:tcBorders>
            <w:shd w:val="clear" w:color="auto" w:fill="auto"/>
            <w:noWrap/>
            <w:vAlign w:val="bottom"/>
            <w:hideMark/>
          </w:tcPr>
          <w:p w14:paraId="68F5AA43" w14:textId="0F47F656"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2 056</w:t>
            </w:r>
          </w:p>
        </w:tc>
      </w:tr>
      <w:tr w:rsidR="007F650C" w:rsidRPr="003966DC" w14:paraId="7F8858B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7F6E97B" w14:textId="05BB9226"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Grèce</w:t>
            </w:r>
          </w:p>
        </w:tc>
        <w:tc>
          <w:tcPr>
            <w:tcW w:w="1138" w:type="dxa"/>
            <w:tcBorders>
              <w:top w:val="nil"/>
              <w:left w:val="nil"/>
              <w:bottom w:val="single" w:sz="4" w:space="0" w:color="auto"/>
              <w:right w:val="single" w:sz="4" w:space="0" w:color="auto"/>
            </w:tcBorders>
            <w:shd w:val="clear" w:color="auto" w:fill="auto"/>
            <w:vAlign w:val="bottom"/>
            <w:hideMark/>
          </w:tcPr>
          <w:p w14:paraId="5668063F" w14:textId="453AC370"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325</w:t>
            </w:r>
          </w:p>
        </w:tc>
        <w:tc>
          <w:tcPr>
            <w:tcW w:w="2552" w:type="dxa"/>
            <w:tcBorders>
              <w:top w:val="nil"/>
              <w:left w:val="nil"/>
              <w:bottom w:val="single" w:sz="4" w:space="0" w:color="auto"/>
              <w:right w:val="single" w:sz="4" w:space="0" w:color="auto"/>
            </w:tcBorders>
            <w:shd w:val="clear" w:color="auto" w:fill="auto"/>
            <w:noWrap/>
            <w:vAlign w:val="bottom"/>
            <w:hideMark/>
          </w:tcPr>
          <w:p w14:paraId="6FC494BF" w14:textId="16D12D49"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459</w:t>
            </w:r>
          </w:p>
        </w:tc>
        <w:tc>
          <w:tcPr>
            <w:tcW w:w="1217" w:type="dxa"/>
            <w:tcBorders>
              <w:top w:val="nil"/>
              <w:left w:val="nil"/>
              <w:bottom w:val="single" w:sz="4" w:space="0" w:color="auto"/>
              <w:right w:val="single" w:sz="4" w:space="0" w:color="auto"/>
            </w:tcBorders>
            <w:shd w:val="clear" w:color="auto" w:fill="auto"/>
            <w:noWrap/>
            <w:vAlign w:val="bottom"/>
            <w:hideMark/>
          </w:tcPr>
          <w:p w14:paraId="638B58DF" w14:textId="56C1E7C1"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13 457</w:t>
            </w:r>
          </w:p>
        </w:tc>
        <w:tc>
          <w:tcPr>
            <w:tcW w:w="1213" w:type="dxa"/>
            <w:tcBorders>
              <w:top w:val="nil"/>
              <w:left w:val="nil"/>
              <w:bottom w:val="single" w:sz="4" w:space="0" w:color="auto"/>
              <w:right w:val="single" w:sz="4" w:space="0" w:color="auto"/>
            </w:tcBorders>
            <w:shd w:val="clear" w:color="auto" w:fill="auto"/>
            <w:noWrap/>
            <w:vAlign w:val="bottom"/>
            <w:hideMark/>
          </w:tcPr>
          <w:p w14:paraId="73DD5C05" w14:textId="67E4BEE3"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14 378</w:t>
            </w:r>
          </w:p>
        </w:tc>
        <w:tc>
          <w:tcPr>
            <w:tcW w:w="1260" w:type="dxa"/>
            <w:tcBorders>
              <w:top w:val="nil"/>
              <w:left w:val="nil"/>
              <w:bottom w:val="single" w:sz="4" w:space="0" w:color="auto"/>
              <w:right w:val="single" w:sz="4" w:space="0" w:color="auto"/>
            </w:tcBorders>
            <w:shd w:val="clear" w:color="auto" w:fill="auto"/>
            <w:noWrap/>
            <w:vAlign w:val="bottom"/>
            <w:hideMark/>
          </w:tcPr>
          <w:p w14:paraId="0E201312" w14:textId="4D7BFA42"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27 835</w:t>
            </w:r>
          </w:p>
        </w:tc>
      </w:tr>
      <w:tr w:rsidR="007F650C" w:rsidRPr="003966DC" w14:paraId="4285EA5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CBFCFF4" w14:textId="157207B8"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Grenade</w:t>
            </w:r>
          </w:p>
        </w:tc>
        <w:tc>
          <w:tcPr>
            <w:tcW w:w="1138" w:type="dxa"/>
            <w:tcBorders>
              <w:top w:val="nil"/>
              <w:left w:val="nil"/>
              <w:bottom w:val="single" w:sz="4" w:space="0" w:color="auto"/>
              <w:right w:val="single" w:sz="4" w:space="0" w:color="auto"/>
            </w:tcBorders>
            <w:shd w:val="clear" w:color="auto" w:fill="auto"/>
            <w:vAlign w:val="bottom"/>
            <w:hideMark/>
          </w:tcPr>
          <w:p w14:paraId="5599801B" w14:textId="60879346"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7CD47C0C" w14:textId="7938A5F1"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7EA7DC4E" w14:textId="14528280"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08BB9799" w14:textId="11D48A9F"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FB3746B" w14:textId="21D69E3A"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7F650C" w:rsidRPr="003966DC" w14:paraId="0BCBE2A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67AD6CE" w14:textId="3246E329"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Guatemala</w:t>
            </w:r>
          </w:p>
        </w:tc>
        <w:tc>
          <w:tcPr>
            <w:tcW w:w="1138" w:type="dxa"/>
            <w:tcBorders>
              <w:top w:val="nil"/>
              <w:left w:val="nil"/>
              <w:bottom w:val="single" w:sz="4" w:space="0" w:color="auto"/>
              <w:right w:val="single" w:sz="4" w:space="0" w:color="auto"/>
            </w:tcBorders>
            <w:shd w:val="clear" w:color="auto" w:fill="auto"/>
            <w:vAlign w:val="bottom"/>
            <w:hideMark/>
          </w:tcPr>
          <w:p w14:paraId="518F6B36" w14:textId="5EC828CF"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041</w:t>
            </w:r>
          </w:p>
        </w:tc>
        <w:tc>
          <w:tcPr>
            <w:tcW w:w="2552" w:type="dxa"/>
            <w:tcBorders>
              <w:top w:val="nil"/>
              <w:left w:val="nil"/>
              <w:bottom w:val="single" w:sz="4" w:space="0" w:color="auto"/>
              <w:right w:val="single" w:sz="4" w:space="0" w:color="auto"/>
            </w:tcBorders>
            <w:shd w:val="clear" w:color="auto" w:fill="auto"/>
            <w:noWrap/>
            <w:vAlign w:val="bottom"/>
            <w:hideMark/>
          </w:tcPr>
          <w:p w14:paraId="0610D04F" w14:textId="0911F66A"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058</w:t>
            </w:r>
          </w:p>
        </w:tc>
        <w:tc>
          <w:tcPr>
            <w:tcW w:w="1217" w:type="dxa"/>
            <w:tcBorders>
              <w:top w:val="nil"/>
              <w:left w:val="nil"/>
              <w:bottom w:val="single" w:sz="4" w:space="0" w:color="auto"/>
              <w:right w:val="single" w:sz="4" w:space="0" w:color="auto"/>
            </w:tcBorders>
            <w:shd w:val="clear" w:color="auto" w:fill="auto"/>
            <w:noWrap/>
            <w:vAlign w:val="bottom"/>
            <w:hideMark/>
          </w:tcPr>
          <w:p w14:paraId="4E142A6F" w14:textId="283C901E"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1 698</w:t>
            </w:r>
          </w:p>
        </w:tc>
        <w:tc>
          <w:tcPr>
            <w:tcW w:w="1213" w:type="dxa"/>
            <w:tcBorders>
              <w:top w:val="nil"/>
              <w:left w:val="nil"/>
              <w:bottom w:val="single" w:sz="4" w:space="0" w:color="auto"/>
              <w:right w:val="single" w:sz="4" w:space="0" w:color="auto"/>
            </w:tcBorders>
            <w:shd w:val="clear" w:color="auto" w:fill="auto"/>
            <w:noWrap/>
            <w:vAlign w:val="bottom"/>
            <w:hideMark/>
          </w:tcPr>
          <w:p w14:paraId="76ACC5F4" w14:textId="36719615"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1 814</w:t>
            </w:r>
          </w:p>
        </w:tc>
        <w:tc>
          <w:tcPr>
            <w:tcW w:w="1260" w:type="dxa"/>
            <w:tcBorders>
              <w:top w:val="nil"/>
              <w:left w:val="nil"/>
              <w:bottom w:val="single" w:sz="4" w:space="0" w:color="auto"/>
              <w:right w:val="single" w:sz="4" w:space="0" w:color="auto"/>
            </w:tcBorders>
            <w:shd w:val="clear" w:color="auto" w:fill="auto"/>
            <w:noWrap/>
            <w:vAlign w:val="bottom"/>
            <w:hideMark/>
          </w:tcPr>
          <w:p w14:paraId="5D33157A" w14:textId="3E976C89"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3 512</w:t>
            </w:r>
          </w:p>
        </w:tc>
      </w:tr>
      <w:tr w:rsidR="007F650C" w:rsidRPr="003966DC" w14:paraId="6C61D43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7C21740" w14:textId="6C9E3A83"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Guinée</w:t>
            </w:r>
          </w:p>
        </w:tc>
        <w:tc>
          <w:tcPr>
            <w:tcW w:w="1138" w:type="dxa"/>
            <w:tcBorders>
              <w:top w:val="nil"/>
              <w:left w:val="nil"/>
              <w:bottom w:val="single" w:sz="4" w:space="0" w:color="auto"/>
              <w:right w:val="single" w:sz="4" w:space="0" w:color="auto"/>
            </w:tcBorders>
            <w:shd w:val="clear" w:color="auto" w:fill="auto"/>
            <w:vAlign w:val="bottom"/>
            <w:hideMark/>
          </w:tcPr>
          <w:p w14:paraId="5C02C724" w14:textId="215EDA35"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2552" w:type="dxa"/>
            <w:tcBorders>
              <w:top w:val="nil"/>
              <w:left w:val="nil"/>
              <w:bottom w:val="single" w:sz="4" w:space="0" w:color="auto"/>
              <w:right w:val="single" w:sz="4" w:space="0" w:color="auto"/>
            </w:tcBorders>
            <w:shd w:val="clear" w:color="auto" w:fill="auto"/>
            <w:noWrap/>
            <w:vAlign w:val="bottom"/>
            <w:hideMark/>
          </w:tcPr>
          <w:p w14:paraId="719EA88F" w14:textId="66A744D9"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1217" w:type="dxa"/>
            <w:tcBorders>
              <w:top w:val="nil"/>
              <w:left w:val="nil"/>
              <w:bottom w:val="single" w:sz="4" w:space="0" w:color="auto"/>
              <w:right w:val="single" w:sz="4" w:space="0" w:color="auto"/>
            </w:tcBorders>
            <w:shd w:val="clear" w:color="auto" w:fill="auto"/>
            <w:noWrap/>
            <w:vAlign w:val="bottom"/>
            <w:hideMark/>
          </w:tcPr>
          <w:p w14:paraId="6EB57925" w14:textId="5993C593"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42F582BE" w14:textId="0EAC8E88"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5FA58811" w14:textId="0CE4B78C"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257</w:t>
            </w:r>
          </w:p>
        </w:tc>
      </w:tr>
      <w:tr w:rsidR="007F650C" w:rsidRPr="003966DC" w14:paraId="778C120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017D665" w14:textId="2C38AD16"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Guinée-Bissau</w:t>
            </w:r>
          </w:p>
        </w:tc>
        <w:tc>
          <w:tcPr>
            <w:tcW w:w="1138" w:type="dxa"/>
            <w:tcBorders>
              <w:top w:val="nil"/>
              <w:left w:val="nil"/>
              <w:bottom w:val="single" w:sz="4" w:space="0" w:color="auto"/>
              <w:right w:val="single" w:sz="4" w:space="0" w:color="auto"/>
            </w:tcBorders>
            <w:shd w:val="clear" w:color="auto" w:fill="auto"/>
            <w:vAlign w:val="bottom"/>
            <w:hideMark/>
          </w:tcPr>
          <w:p w14:paraId="2D889704" w14:textId="0BEFA1B3"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6C164261" w14:textId="3E879BDB"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2CFD671F" w14:textId="0532ECA5"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069C8B0" w14:textId="47629C4F"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544B2CC" w14:textId="2D136827"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7F650C" w:rsidRPr="003966DC" w14:paraId="0797C70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39D63AC" w14:textId="7F49E8BA" w:rsidR="007F650C" w:rsidRPr="003966DC" w:rsidRDefault="007F650C" w:rsidP="007F65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Guyan</w:t>
            </w:r>
            <w:r w:rsidR="00BD2F42" w:rsidRPr="003966DC">
              <w:rPr>
                <w:rFonts w:eastAsia="Times New Roman"/>
                <w:color w:val="000000" w:themeColor="text1"/>
                <w:sz w:val="18"/>
                <w:szCs w:val="18"/>
                <w:lang w:val="fr-FR" w:eastAsia="en-CA"/>
              </w:rPr>
              <w:t>a</w:t>
            </w:r>
          </w:p>
        </w:tc>
        <w:tc>
          <w:tcPr>
            <w:tcW w:w="1138" w:type="dxa"/>
            <w:tcBorders>
              <w:top w:val="nil"/>
              <w:left w:val="nil"/>
              <w:bottom w:val="single" w:sz="4" w:space="0" w:color="auto"/>
              <w:right w:val="single" w:sz="4" w:space="0" w:color="auto"/>
            </w:tcBorders>
            <w:shd w:val="clear" w:color="auto" w:fill="auto"/>
            <w:vAlign w:val="bottom"/>
            <w:hideMark/>
          </w:tcPr>
          <w:p w14:paraId="5805AD80" w14:textId="1AA43EC3"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2552" w:type="dxa"/>
            <w:tcBorders>
              <w:top w:val="nil"/>
              <w:left w:val="nil"/>
              <w:bottom w:val="single" w:sz="4" w:space="0" w:color="auto"/>
              <w:right w:val="single" w:sz="4" w:space="0" w:color="auto"/>
            </w:tcBorders>
            <w:shd w:val="clear" w:color="auto" w:fill="auto"/>
            <w:noWrap/>
            <w:vAlign w:val="bottom"/>
            <w:hideMark/>
          </w:tcPr>
          <w:p w14:paraId="6CDDF68B" w14:textId="224151A6"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006</w:t>
            </w:r>
          </w:p>
        </w:tc>
        <w:tc>
          <w:tcPr>
            <w:tcW w:w="1217" w:type="dxa"/>
            <w:tcBorders>
              <w:top w:val="nil"/>
              <w:left w:val="nil"/>
              <w:bottom w:val="single" w:sz="4" w:space="0" w:color="auto"/>
              <w:right w:val="single" w:sz="4" w:space="0" w:color="auto"/>
            </w:tcBorders>
            <w:shd w:val="clear" w:color="auto" w:fill="auto"/>
            <w:noWrap/>
            <w:vAlign w:val="bottom"/>
            <w:hideMark/>
          </w:tcPr>
          <w:p w14:paraId="1A4813AE" w14:textId="14CC69BA"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5A27C450" w14:textId="15F47B43"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42A3238E" w14:textId="5F2989AA" w:rsidR="007F650C" w:rsidRPr="003966DC" w:rsidRDefault="007F650C" w:rsidP="007F65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343</w:t>
            </w:r>
          </w:p>
        </w:tc>
      </w:tr>
      <w:tr w:rsidR="00DE587D" w:rsidRPr="003966DC" w14:paraId="7A79DB2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4BBBD45" w14:textId="12AB264F" w:rsidR="00DE587D" w:rsidRPr="003966DC" w:rsidRDefault="00DE587D" w:rsidP="00DE587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Honduras</w:t>
            </w:r>
          </w:p>
        </w:tc>
        <w:tc>
          <w:tcPr>
            <w:tcW w:w="1138" w:type="dxa"/>
            <w:tcBorders>
              <w:top w:val="nil"/>
              <w:left w:val="nil"/>
              <w:bottom w:val="single" w:sz="4" w:space="0" w:color="auto"/>
              <w:right w:val="single" w:sz="4" w:space="0" w:color="auto"/>
            </w:tcBorders>
            <w:shd w:val="clear" w:color="auto" w:fill="auto"/>
            <w:vAlign w:val="bottom"/>
            <w:hideMark/>
          </w:tcPr>
          <w:p w14:paraId="1158FCD3" w14:textId="1D6A5446"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009</w:t>
            </w:r>
          </w:p>
        </w:tc>
        <w:tc>
          <w:tcPr>
            <w:tcW w:w="2552" w:type="dxa"/>
            <w:tcBorders>
              <w:top w:val="nil"/>
              <w:left w:val="nil"/>
              <w:bottom w:val="single" w:sz="4" w:space="0" w:color="auto"/>
              <w:right w:val="single" w:sz="4" w:space="0" w:color="auto"/>
            </w:tcBorders>
            <w:shd w:val="clear" w:color="auto" w:fill="auto"/>
            <w:noWrap/>
            <w:vAlign w:val="bottom"/>
            <w:hideMark/>
          </w:tcPr>
          <w:p w14:paraId="1DE7EEB1" w14:textId="28BA7444"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013</w:t>
            </w:r>
          </w:p>
        </w:tc>
        <w:tc>
          <w:tcPr>
            <w:tcW w:w="1217" w:type="dxa"/>
            <w:tcBorders>
              <w:top w:val="nil"/>
              <w:left w:val="nil"/>
              <w:bottom w:val="single" w:sz="4" w:space="0" w:color="auto"/>
              <w:right w:val="single" w:sz="4" w:space="0" w:color="auto"/>
            </w:tcBorders>
            <w:shd w:val="clear" w:color="auto" w:fill="auto"/>
            <w:noWrap/>
            <w:vAlign w:val="bottom"/>
            <w:hideMark/>
          </w:tcPr>
          <w:p w14:paraId="65BCAD14" w14:textId="20412FE7"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1248BBA0" w14:textId="068F18B8"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0B52970F" w14:textId="3AB3FE05"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771</w:t>
            </w:r>
          </w:p>
        </w:tc>
      </w:tr>
      <w:tr w:rsidR="00DE587D" w:rsidRPr="003966DC" w14:paraId="1E88E3B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FDA97E1" w14:textId="760ADAF4" w:rsidR="00DE587D" w:rsidRPr="003966DC" w:rsidRDefault="00DE587D" w:rsidP="00DE587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Hongrie</w:t>
            </w:r>
          </w:p>
        </w:tc>
        <w:tc>
          <w:tcPr>
            <w:tcW w:w="1138" w:type="dxa"/>
            <w:tcBorders>
              <w:top w:val="nil"/>
              <w:left w:val="nil"/>
              <w:bottom w:val="single" w:sz="4" w:space="0" w:color="auto"/>
              <w:right w:val="single" w:sz="4" w:space="0" w:color="auto"/>
            </w:tcBorders>
            <w:shd w:val="clear" w:color="auto" w:fill="auto"/>
            <w:vAlign w:val="bottom"/>
            <w:hideMark/>
          </w:tcPr>
          <w:p w14:paraId="70016BAD" w14:textId="07C6CD0F"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228</w:t>
            </w:r>
          </w:p>
        </w:tc>
        <w:tc>
          <w:tcPr>
            <w:tcW w:w="2552" w:type="dxa"/>
            <w:tcBorders>
              <w:top w:val="nil"/>
              <w:left w:val="nil"/>
              <w:bottom w:val="single" w:sz="4" w:space="0" w:color="auto"/>
              <w:right w:val="single" w:sz="4" w:space="0" w:color="auto"/>
            </w:tcBorders>
            <w:shd w:val="clear" w:color="auto" w:fill="auto"/>
            <w:noWrap/>
            <w:vAlign w:val="bottom"/>
            <w:hideMark/>
          </w:tcPr>
          <w:p w14:paraId="018CBCFE" w14:textId="78A44FAB"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322</w:t>
            </w:r>
          </w:p>
        </w:tc>
        <w:tc>
          <w:tcPr>
            <w:tcW w:w="1217" w:type="dxa"/>
            <w:tcBorders>
              <w:top w:val="nil"/>
              <w:left w:val="nil"/>
              <w:bottom w:val="single" w:sz="4" w:space="0" w:color="auto"/>
              <w:right w:val="single" w:sz="4" w:space="0" w:color="auto"/>
            </w:tcBorders>
            <w:shd w:val="clear" w:color="auto" w:fill="auto"/>
            <w:noWrap/>
            <w:vAlign w:val="bottom"/>
            <w:hideMark/>
          </w:tcPr>
          <w:p w14:paraId="0F3B1A8B" w14:textId="522B937E"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9 441</w:t>
            </w:r>
          </w:p>
        </w:tc>
        <w:tc>
          <w:tcPr>
            <w:tcW w:w="1213" w:type="dxa"/>
            <w:tcBorders>
              <w:top w:val="nil"/>
              <w:left w:val="nil"/>
              <w:bottom w:val="single" w:sz="4" w:space="0" w:color="auto"/>
              <w:right w:val="single" w:sz="4" w:space="0" w:color="auto"/>
            </w:tcBorders>
            <w:shd w:val="clear" w:color="auto" w:fill="auto"/>
            <w:noWrap/>
            <w:vAlign w:val="bottom"/>
            <w:hideMark/>
          </w:tcPr>
          <w:p w14:paraId="6975F7CC" w14:textId="6CC62CCD"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10 087</w:t>
            </w:r>
          </w:p>
        </w:tc>
        <w:tc>
          <w:tcPr>
            <w:tcW w:w="1260" w:type="dxa"/>
            <w:tcBorders>
              <w:top w:val="nil"/>
              <w:left w:val="nil"/>
              <w:bottom w:val="single" w:sz="4" w:space="0" w:color="auto"/>
              <w:right w:val="single" w:sz="4" w:space="0" w:color="auto"/>
            </w:tcBorders>
            <w:shd w:val="clear" w:color="auto" w:fill="auto"/>
            <w:noWrap/>
            <w:vAlign w:val="bottom"/>
            <w:hideMark/>
          </w:tcPr>
          <w:p w14:paraId="6DB04661" w14:textId="09B1A11F"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19 528</w:t>
            </w:r>
          </w:p>
        </w:tc>
      </w:tr>
      <w:tr w:rsidR="00EC6A7D" w:rsidRPr="003966DC" w14:paraId="7F9939A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5BCC18D0" w14:textId="3DBB0141" w:rsidR="00EC6A7D" w:rsidRPr="003966DC" w:rsidRDefault="00EC6A7D" w:rsidP="00EC6A7D">
            <w:pPr>
              <w:pStyle w:val="CBDTableNormal"/>
              <w:tabs>
                <w:tab w:val="clear" w:pos="567"/>
                <w:tab w:val="left" w:pos="178"/>
              </w:tabs>
              <w:spacing w:before="0" w:after="0"/>
              <w:ind w:left="144" w:hanging="144"/>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Îles Marshall</w:t>
            </w:r>
          </w:p>
        </w:tc>
        <w:tc>
          <w:tcPr>
            <w:tcW w:w="1138" w:type="dxa"/>
            <w:tcBorders>
              <w:top w:val="nil"/>
              <w:left w:val="nil"/>
              <w:bottom w:val="single" w:sz="4" w:space="0" w:color="auto"/>
              <w:right w:val="single" w:sz="4" w:space="0" w:color="auto"/>
            </w:tcBorders>
            <w:shd w:val="clear" w:color="auto" w:fill="auto"/>
            <w:vAlign w:val="bottom"/>
          </w:tcPr>
          <w:p w14:paraId="3FE0CE1C" w14:textId="286514DF"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tcPr>
          <w:p w14:paraId="2E4FED40" w14:textId="1A71992D"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tcPr>
          <w:p w14:paraId="4B4D8B5D" w14:textId="47B8477D"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tcPr>
          <w:p w14:paraId="78E843D3" w14:textId="039B58FC"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tcPr>
          <w:p w14:paraId="017EFC14" w14:textId="79B17577"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3A5D25" w:rsidRPr="003966DC" w14:paraId="183FBED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56081C9A" w14:textId="30CE9F91" w:rsidR="003A5D25" w:rsidRPr="003966DC" w:rsidRDefault="003A5D25" w:rsidP="003A5D25">
            <w:pPr>
              <w:pStyle w:val="CBDTableNormal"/>
              <w:tabs>
                <w:tab w:val="clear" w:pos="567"/>
                <w:tab w:val="left" w:pos="178"/>
              </w:tabs>
              <w:spacing w:before="0" w:after="0"/>
              <w:ind w:left="144" w:hanging="144"/>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Îles Salomon</w:t>
            </w:r>
          </w:p>
        </w:tc>
        <w:tc>
          <w:tcPr>
            <w:tcW w:w="1138" w:type="dxa"/>
            <w:tcBorders>
              <w:top w:val="nil"/>
              <w:left w:val="nil"/>
              <w:bottom w:val="single" w:sz="4" w:space="0" w:color="auto"/>
              <w:right w:val="single" w:sz="4" w:space="0" w:color="auto"/>
            </w:tcBorders>
            <w:shd w:val="clear" w:color="auto" w:fill="auto"/>
            <w:vAlign w:val="bottom"/>
          </w:tcPr>
          <w:p w14:paraId="103E1392" w14:textId="1B510807" w:rsidR="003A5D25" w:rsidRPr="003966DC" w:rsidRDefault="003A5D25" w:rsidP="003A5D2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tcPr>
          <w:p w14:paraId="3881706D" w14:textId="3755B684" w:rsidR="003A5D25" w:rsidRPr="003966DC" w:rsidRDefault="003A5D25" w:rsidP="003A5D2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tcPr>
          <w:p w14:paraId="58C2DBC4" w14:textId="3E7647D4" w:rsidR="003A5D25" w:rsidRPr="003966DC" w:rsidRDefault="003A5D25" w:rsidP="003A5D2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tcPr>
          <w:p w14:paraId="4675C3B2" w14:textId="5AAE58C5" w:rsidR="003A5D25" w:rsidRPr="003966DC" w:rsidRDefault="003A5D25" w:rsidP="003A5D2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tcPr>
          <w:p w14:paraId="2EE1672C" w14:textId="6D9065B7" w:rsidR="003A5D25" w:rsidRPr="003966DC" w:rsidRDefault="003A5D25" w:rsidP="003A5D2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EC6A7D" w:rsidRPr="003966DC" w14:paraId="196FBF9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14299EAE" w14:textId="23B047E4" w:rsidR="00EC6A7D" w:rsidRPr="003966DC" w:rsidRDefault="00EC6A7D" w:rsidP="00EC6A7D">
            <w:pPr>
              <w:pStyle w:val="CBDTableNormal"/>
              <w:tabs>
                <w:tab w:val="clear" w:pos="567"/>
                <w:tab w:val="left" w:pos="178"/>
              </w:tabs>
              <w:spacing w:before="0" w:after="0"/>
              <w:ind w:left="144" w:hanging="144"/>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Inde</w:t>
            </w:r>
          </w:p>
        </w:tc>
        <w:tc>
          <w:tcPr>
            <w:tcW w:w="1138" w:type="dxa"/>
            <w:tcBorders>
              <w:top w:val="nil"/>
              <w:left w:val="nil"/>
              <w:bottom w:val="single" w:sz="4" w:space="0" w:color="auto"/>
              <w:right w:val="single" w:sz="4" w:space="0" w:color="auto"/>
            </w:tcBorders>
            <w:shd w:val="clear" w:color="auto" w:fill="auto"/>
            <w:vAlign w:val="bottom"/>
          </w:tcPr>
          <w:p w14:paraId="1BB92C2A" w14:textId="4ECFA05C"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044</w:t>
            </w:r>
          </w:p>
        </w:tc>
        <w:tc>
          <w:tcPr>
            <w:tcW w:w="2552" w:type="dxa"/>
            <w:tcBorders>
              <w:top w:val="nil"/>
              <w:left w:val="nil"/>
              <w:bottom w:val="single" w:sz="4" w:space="0" w:color="auto"/>
              <w:right w:val="single" w:sz="4" w:space="0" w:color="auto"/>
            </w:tcBorders>
            <w:shd w:val="clear" w:color="auto" w:fill="auto"/>
            <w:noWrap/>
            <w:vAlign w:val="bottom"/>
          </w:tcPr>
          <w:p w14:paraId="29E00E84" w14:textId="751D1059"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474</w:t>
            </w:r>
          </w:p>
        </w:tc>
        <w:tc>
          <w:tcPr>
            <w:tcW w:w="1217" w:type="dxa"/>
            <w:tcBorders>
              <w:top w:val="nil"/>
              <w:left w:val="nil"/>
              <w:bottom w:val="single" w:sz="4" w:space="0" w:color="auto"/>
              <w:right w:val="single" w:sz="4" w:space="0" w:color="auto"/>
            </w:tcBorders>
            <w:shd w:val="clear" w:color="auto" w:fill="auto"/>
            <w:noWrap/>
            <w:vAlign w:val="bottom"/>
          </w:tcPr>
          <w:p w14:paraId="1399ADD4" w14:textId="304A536B"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43 229</w:t>
            </w:r>
          </w:p>
        </w:tc>
        <w:tc>
          <w:tcPr>
            <w:tcW w:w="1213" w:type="dxa"/>
            <w:tcBorders>
              <w:top w:val="nil"/>
              <w:left w:val="nil"/>
              <w:bottom w:val="single" w:sz="4" w:space="0" w:color="auto"/>
              <w:right w:val="single" w:sz="4" w:space="0" w:color="auto"/>
            </w:tcBorders>
            <w:shd w:val="clear" w:color="auto" w:fill="auto"/>
            <w:noWrap/>
            <w:vAlign w:val="bottom"/>
          </w:tcPr>
          <w:p w14:paraId="09AE699F" w14:textId="2E6EFFD2"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46 187</w:t>
            </w:r>
          </w:p>
        </w:tc>
        <w:tc>
          <w:tcPr>
            <w:tcW w:w="1260" w:type="dxa"/>
            <w:tcBorders>
              <w:top w:val="nil"/>
              <w:left w:val="nil"/>
              <w:bottom w:val="single" w:sz="4" w:space="0" w:color="auto"/>
              <w:right w:val="single" w:sz="4" w:space="0" w:color="auto"/>
            </w:tcBorders>
            <w:shd w:val="clear" w:color="auto" w:fill="auto"/>
            <w:noWrap/>
            <w:vAlign w:val="bottom"/>
          </w:tcPr>
          <w:p w14:paraId="0316B6CE" w14:textId="7358EDDB"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89 416</w:t>
            </w:r>
          </w:p>
        </w:tc>
      </w:tr>
      <w:tr w:rsidR="00EC6A7D" w:rsidRPr="003966DC" w14:paraId="329AF60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52CED676" w14:textId="35A9F135" w:rsidR="00EC6A7D" w:rsidRPr="003966DC" w:rsidRDefault="00EC6A7D" w:rsidP="00EC6A7D">
            <w:pPr>
              <w:pStyle w:val="CBDTableNormal"/>
              <w:tabs>
                <w:tab w:val="clear" w:pos="567"/>
                <w:tab w:val="left" w:pos="178"/>
              </w:tabs>
              <w:spacing w:before="0" w:after="0"/>
              <w:ind w:left="144" w:hanging="144"/>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Indonésie</w:t>
            </w:r>
          </w:p>
        </w:tc>
        <w:tc>
          <w:tcPr>
            <w:tcW w:w="1138" w:type="dxa"/>
            <w:tcBorders>
              <w:top w:val="nil"/>
              <w:left w:val="nil"/>
              <w:bottom w:val="single" w:sz="4" w:space="0" w:color="auto"/>
              <w:right w:val="single" w:sz="4" w:space="0" w:color="auto"/>
            </w:tcBorders>
            <w:shd w:val="clear" w:color="auto" w:fill="auto"/>
            <w:vAlign w:val="bottom"/>
          </w:tcPr>
          <w:p w14:paraId="6406565D" w14:textId="363D5A53"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549</w:t>
            </w:r>
          </w:p>
        </w:tc>
        <w:tc>
          <w:tcPr>
            <w:tcW w:w="2552" w:type="dxa"/>
            <w:tcBorders>
              <w:top w:val="nil"/>
              <w:left w:val="nil"/>
              <w:bottom w:val="single" w:sz="4" w:space="0" w:color="auto"/>
              <w:right w:val="single" w:sz="4" w:space="0" w:color="auto"/>
            </w:tcBorders>
            <w:shd w:val="clear" w:color="auto" w:fill="auto"/>
            <w:noWrap/>
            <w:vAlign w:val="bottom"/>
          </w:tcPr>
          <w:p w14:paraId="622C2465" w14:textId="3D1242B8"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775</w:t>
            </w:r>
          </w:p>
        </w:tc>
        <w:tc>
          <w:tcPr>
            <w:tcW w:w="1217" w:type="dxa"/>
            <w:tcBorders>
              <w:top w:val="nil"/>
              <w:left w:val="nil"/>
              <w:bottom w:val="single" w:sz="4" w:space="0" w:color="auto"/>
              <w:right w:val="single" w:sz="4" w:space="0" w:color="auto"/>
            </w:tcBorders>
            <w:shd w:val="clear" w:color="auto" w:fill="auto"/>
            <w:noWrap/>
            <w:vAlign w:val="bottom"/>
          </w:tcPr>
          <w:p w14:paraId="527D2523" w14:textId="4E8984BD"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22 732</w:t>
            </w:r>
          </w:p>
        </w:tc>
        <w:tc>
          <w:tcPr>
            <w:tcW w:w="1213" w:type="dxa"/>
            <w:tcBorders>
              <w:top w:val="nil"/>
              <w:left w:val="nil"/>
              <w:bottom w:val="single" w:sz="4" w:space="0" w:color="auto"/>
              <w:right w:val="single" w:sz="4" w:space="0" w:color="auto"/>
            </w:tcBorders>
            <w:shd w:val="clear" w:color="auto" w:fill="auto"/>
            <w:noWrap/>
            <w:vAlign w:val="bottom"/>
          </w:tcPr>
          <w:p w14:paraId="26067F84" w14:textId="0CB616E9"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24 288</w:t>
            </w:r>
          </w:p>
        </w:tc>
        <w:tc>
          <w:tcPr>
            <w:tcW w:w="1260" w:type="dxa"/>
            <w:tcBorders>
              <w:top w:val="nil"/>
              <w:left w:val="nil"/>
              <w:bottom w:val="single" w:sz="4" w:space="0" w:color="auto"/>
              <w:right w:val="single" w:sz="4" w:space="0" w:color="auto"/>
            </w:tcBorders>
            <w:shd w:val="clear" w:color="auto" w:fill="auto"/>
            <w:noWrap/>
            <w:vAlign w:val="bottom"/>
          </w:tcPr>
          <w:p w14:paraId="6256AF96" w14:textId="4099B0BA" w:rsidR="00EC6A7D" w:rsidRPr="003966DC" w:rsidRDefault="00EC6A7D" w:rsidP="00EC6A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47 020</w:t>
            </w:r>
          </w:p>
        </w:tc>
      </w:tr>
      <w:tr w:rsidR="003637BC" w:rsidRPr="003966DC" w14:paraId="7348268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07FE1A84" w14:textId="573E1CE0" w:rsidR="003637BC" w:rsidRPr="003966DC" w:rsidRDefault="003637BC" w:rsidP="003637BC">
            <w:pPr>
              <w:pStyle w:val="CBDTableNormal"/>
              <w:tabs>
                <w:tab w:val="clear" w:pos="567"/>
                <w:tab w:val="left" w:pos="178"/>
              </w:tabs>
              <w:spacing w:before="0" w:after="0"/>
              <w:ind w:left="144" w:hanging="144"/>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Irak</w:t>
            </w:r>
          </w:p>
        </w:tc>
        <w:tc>
          <w:tcPr>
            <w:tcW w:w="1138" w:type="dxa"/>
            <w:tcBorders>
              <w:top w:val="nil"/>
              <w:left w:val="nil"/>
              <w:bottom w:val="single" w:sz="4" w:space="0" w:color="auto"/>
              <w:right w:val="single" w:sz="4" w:space="0" w:color="auto"/>
            </w:tcBorders>
            <w:shd w:val="clear" w:color="auto" w:fill="auto"/>
            <w:vAlign w:val="bottom"/>
          </w:tcPr>
          <w:p w14:paraId="3A4BDF45" w14:textId="25EB0DDE" w:rsidR="003637BC" w:rsidRPr="003966DC" w:rsidRDefault="003637BC" w:rsidP="003637B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128</w:t>
            </w:r>
          </w:p>
        </w:tc>
        <w:tc>
          <w:tcPr>
            <w:tcW w:w="2552" w:type="dxa"/>
            <w:tcBorders>
              <w:top w:val="nil"/>
              <w:left w:val="nil"/>
              <w:bottom w:val="single" w:sz="4" w:space="0" w:color="auto"/>
              <w:right w:val="single" w:sz="4" w:space="0" w:color="auto"/>
            </w:tcBorders>
            <w:shd w:val="clear" w:color="auto" w:fill="auto"/>
            <w:noWrap/>
            <w:vAlign w:val="bottom"/>
          </w:tcPr>
          <w:p w14:paraId="0BC11F14" w14:textId="51CE925D" w:rsidR="003637BC" w:rsidRPr="003966DC" w:rsidRDefault="003637BC" w:rsidP="003637B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181</w:t>
            </w:r>
          </w:p>
        </w:tc>
        <w:tc>
          <w:tcPr>
            <w:tcW w:w="1217" w:type="dxa"/>
            <w:tcBorders>
              <w:top w:val="nil"/>
              <w:left w:val="nil"/>
              <w:bottom w:val="single" w:sz="4" w:space="0" w:color="auto"/>
              <w:right w:val="single" w:sz="4" w:space="0" w:color="auto"/>
            </w:tcBorders>
            <w:shd w:val="clear" w:color="auto" w:fill="auto"/>
            <w:noWrap/>
            <w:vAlign w:val="bottom"/>
          </w:tcPr>
          <w:p w14:paraId="0AD200E9" w14:textId="4731A1FD" w:rsidR="003637BC" w:rsidRPr="003966DC" w:rsidRDefault="003637BC" w:rsidP="003637B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5 300</w:t>
            </w:r>
          </w:p>
        </w:tc>
        <w:tc>
          <w:tcPr>
            <w:tcW w:w="1213" w:type="dxa"/>
            <w:tcBorders>
              <w:top w:val="nil"/>
              <w:left w:val="nil"/>
              <w:bottom w:val="single" w:sz="4" w:space="0" w:color="auto"/>
              <w:right w:val="single" w:sz="4" w:space="0" w:color="auto"/>
            </w:tcBorders>
            <w:shd w:val="clear" w:color="auto" w:fill="auto"/>
            <w:noWrap/>
            <w:vAlign w:val="bottom"/>
          </w:tcPr>
          <w:p w14:paraId="3579986D" w14:textId="56204F6F" w:rsidR="003637BC" w:rsidRPr="003966DC" w:rsidRDefault="003637BC" w:rsidP="003637B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5 663</w:t>
            </w:r>
          </w:p>
        </w:tc>
        <w:tc>
          <w:tcPr>
            <w:tcW w:w="1260" w:type="dxa"/>
            <w:tcBorders>
              <w:top w:val="nil"/>
              <w:left w:val="nil"/>
              <w:bottom w:val="single" w:sz="4" w:space="0" w:color="auto"/>
              <w:right w:val="single" w:sz="4" w:space="0" w:color="auto"/>
            </w:tcBorders>
            <w:shd w:val="clear" w:color="auto" w:fill="auto"/>
            <w:noWrap/>
            <w:vAlign w:val="bottom"/>
          </w:tcPr>
          <w:p w14:paraId="14D966C4" w14:textId="30943E13" w:rsidR="003637BC" w:rsidRPr="003966DC" w:rsidRDefault="003637BC" w:rsidP="003637B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10 963</w:t>
            </w:r>
          </w:p>
        </w:tc>
      </w:tr>
      <w:tr w:rsidR="00DE587D" w:rsidRPr="003966DC" w14:paraId="1CB2EE2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08B6FE6" w14:textId="77777777" w:rsidR="00AD3B10" w:rsidRDefault="00DE587D" w:rsidP="00DE587D">
            <w:pPr>
              <w:pStyle w:val="CBDTableNormal"/>
              <w:tabs>
                <w:tab w:val="clear" w:pos="567"/>
                <w:tab w:val="left" w:pos="178"/>
              </w:tabs>
              <w:spacing w:before="0" w:after="0"/>
              <w:ind w:left="144" w:hanging="144"/>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 xml:space="preserve">Iran (République </w:t>
            </w:r>
          </w:p>
          <w:p w14:paraId="2958D771" w14:textId="2203A2DB" w:rsidR="00DE587D" w:rsidRPr="003966DC" w:rsidRDefault="00DE587D" w:rsidP="00DE587D">
            <w:pPr>
              <w:pStyle w:val="CBDTableNormal"/>
              <w:tabs>
                <w:tab w:val="clear" w:pos="567"/>
                <w:tab w:val="left" w:pos="178"/>
              </w:tabs>
              <w:spacing w:before="0" w:after="0"/>
              <w:ind w:left="144" w:hanging="144"/>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islamique d’)</w:t>
            </w:r>
          </w:p>
        </w:tc>
        <w:tc>
          <w:tcPr>
            <w:tcW w:w="1138" w:type="dxa"/>
            <w:tcBorders>
              <w:top w:val="nil"/>
              <w:left w:val="nil"/>
              <w:bottom w:val="single" w:sz="4" w:space="0" w:color="auto"/>
              <w:right w:val="single" w:sz="4" w:space="0" w:color="auto"/>
            </w:tcBorders>
            <w:shd w:val="clear" w:color="auto" w:fill="auto"/>
            <w:vAlign w:val="bottom"/>
            <w:hideMark/>
          </w:tcPr>
          <w:p w14:paraId="504DD56E" w14:textId="18519711"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371</w:t>
            </w:r>
          </w:p>
        </w:tc>
        <w:tc>
          <w:tcPr>
            <w:tcW w:w="2552" w:type="dxa"/>
            <w:tcBorders>
              <w:top w:val="nil"/>
              <w:left w:val="nil"/>
              <w:bottom w:val="single" w:sz="4" w:space="0" w:color="auto"/>
              <w:right w:val="single" w:sz="4" w:space="0" w:color="auto"/>
            </w:tcBorders>
            <w:shd w:val="clear" w:color="auto" w:fill="auto"/>
            <w:noWrap/>
            <w:vAlign w:val="bottom"/>
            <w:hideMark/>
          </w:tcPr>
          <w:p w14:paraId="5501AC75" w14:textId="33A7E6E8"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524</w:t>
            </w:r>
          </w:p>
        </w:tc>
        <w:tc>
          <w:tcPr>
            <w:tcW w:w="1217" w:type="dxa"/>
            <w:tcBorders>
              <w:top w:val="nil"/>
              <w:left w:val="nil"/>
              <w:bottom w:val="single" w:sz="4" w:space="0" w:color="auto"/>
              <w:right w:val="single" w:sz="4" w:space="0" w:color="auto"/>
            </w:tcBorders>
            <w:shd w:val="clear" w:color="auto" w:fill="auto"/>
            <w:noWrap/>
            <w:vAlign w:val="bottom"/>
            <w:hideMark/>
          </w:tcPr>
          <w:p w14:paraId="3C41F9FE" w14:textId="04382497"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15 362</w:t>
            </w:r>
          </w:p>
        </w:tc>
        <w:tc>
          <w:tcPr>
            <w:tcW w:w="1213" w:type="dxa"/>
            <w:tcBorders>
              <w:top w:val="nil"/>
              <w:left w:val="nil"/>
              <w:bottom w:val="single" w:sz="4" w:space="0" w:color="auto"/>
              <w:right w:val="single" w:sz="4" w:space="0" w:color="auto"/>
            </w:tcBorders>
            <w:shd w:val="clear" w:color="auto" w:fill="auto"/>
            <w:noWrap/>
            <w:vAlign w:val="bottom"/>
            <w:hideMark/>
          </w:tcPr>
          <w:p w14:paraId="4A2057EB" w14:textId="78E05D8A"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16 413</w:t>
            </w:r>
          </w:p>
        </w:tc>
        <w:tc>
          <w:tcPr>
            <w:tcW w:w="1260" w:type="dxa"/>
            <w:tcBorders>
              <w:top w:val="nil"/>
              <w:left w:val="nil"/>
              <w:bottom w:val="single" w:sz="4" w:space="0" w:color="auto"/>
              <w:right w:val="single" w:sz="4" w:space="0" w:color="auto"/>
            </w:tcBorders>
            <w:shd w:val="clear" w:color="auto" w:fill="auto"/>
            <w:noWrap/>
            <w:vAlign w:val="bottom"/>
            <w:hideMark/>
          </w:tcPr>
          <w:p w14:paraId="55D9B99F" w14:textId="5271692C"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31 775</w:t>
            </w:r>
          </w:p>
        </w:tc>
      </w:tr>
      <w:tr w:rsidR="00DE587D" w:rsidRPr="003966DC" w14:paraId="44B61DA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F2C5402" w14:textId="7D380D46" w:rsidR="00DE587D" w:rsidRPr="003966DC" w:rsidRDefault="00DE587D" w:rsidP="00DE587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Irlande</w:t>
            </w:r>
          </w:p>
        </w:tc>
        <w:tc>
          <w:tcPr>
            <w:tcW w:w="1138" w:type="dxa"/>
            <w:tcBorders>
              <w:top w:val="nil"/>
              <w:left w:val="nil"/>
              <w:bottom w:val="single" w:sz="4" w:space="0" w:color="auto"/>
              <w:right w:val="single" w:sz="4" w:space="0" w:color="auto"/>
            </w:tcBorders>
            <w:shd w:val="clear" w:color="auto" w:fill="auto"/>
            <w:vAlign w:val="bottom"/>
            <w:hideMark/>
          </w:tcPr>
          <w:p w14:paraId="629FD4F9" w14:textId="27E4106C"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439</w:t>
            </w:r>
          </w:p>
        </w:tc>
        <w:tc>
          <w:tcPr>
            <w:tcW w:w="2552" w:type="dxa"/>
            <w:tcBorders>
              <w:top w:val="nil"/>
              <w:left w:val="nil"/>
              <w:bottom w:val="single" w:sz="4" w:space="0" w:color="auto"/>
              <w:right w:val="single" w:sz="4" w:space="0" w:color="auto"/>
            </w:tcBorders>
            <w:shd w:val="clear" w:color="auto" w:fill="auto"/>
            <w:noWrap/>
            <w:vAlign w:val="bottom"/>
            <w:hideMark/>
          </w:tcPr>
          <w:p w14:paraId="28BA453A" w14:textId="62D5E1F9"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620</w:t>
            </w:r>
          </w:p>
        </w:tc>
        <w:tc>
          <w:tcPr>
            <w:tcW w:w="1217" w:type="dxa"/>
            <w:tcBorders>
              <w:top w:val="nil"/>
              <w:left w:val="nil"/>
              <w:bottom w:val="single" w:sz="4" w:space="0" w:color="auto"/>
              <w:right w:val="single" w:sz="4" w:space="0" w:color="auto"/>
            </w:tcBorders>
            <w:shd w:val="clear" w:color="auto" w:fill="auto"/>
            <w:noWrap/>
            <w:vAlign w:val="bottom"/>
            <w:hideMark/>
          </w:tcPr>
          <w:p w14:paraId="0CFE83B6" w14:textId="5D93F593"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18 178</w:t>
            </w:r>
          </w:p>
        </w:tc>
        <w:tc>
          <w:tcPr>
            <w:tcW w:w="1213" w:type="dxa"/>
            <w:tcBorders>
              <w:top w:val="nil"/>
              <w:left w:val="nil"/>
              <w:bottom w:val="single" w:sz="4" w:space="0" w:color="auto"/>
              <w:right w:val="single" w:sz="4" w:space="0" w:color="auto"/>
            </w:tcBorders>
            <w:shd w:val="clear" w:color="auto" w:fill="auto"/>
            <w:noWrap/>
            <w:vAlign w:val="bottom"/>
            <w:hideMark/>
          </w:tcPr>
          <w:p w14:paraId="1B0F9517" w14:textId="1040E10C"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19 421</w:t>
            </w:r>
          </w:p>
        </w:tc>
        <w:tc>
          <w:tcPr>
            <w:tcW w:w="1260" w:type="dxa"/>
            <w:tcBorders>
              <w:top w:val="nil"/>
              <w:left w:val="nil"/>
              <w:bottom w:val="single" w:sz="4" w:space="0" w:color="auto"/>
              <w:right w:val="single" w:sz="4" w:space="0" w:color="auto"/>
            </w:tcBorders>
            <w:shd w:val="clear" w:color="auto" w:fill="auto"/>
            <w:noWrap/>
            <w:vAlign w:val="bottom"/>
            <w:hideMark/>
          </w:tcPr>
          <w:p w14:paraId="3FD76122" w14:textId="24063844"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37 599</w:t>
            </w:r>
          </w:p>
        </w:tc>
      </w:tr>
      <w:tr w:rsidR="00DE587D" w:rsidRPr="003966DC" w14:paraId="0A9E1B6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99C9ABD" w14:textId="526132D8" w:rsidR="00DE587D" w:rsidRPr="003966DC" w:rsidRDefault="00DE587D" w:rsidP="00DE587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Italie</w:t>
            </w:r>
          </w:p>
        </w:tc>
        <w:tc>
          <w:tcPr>
            <w:tcW w:w="1138" w:type="dxa"/>
            <w:tcBorders>
              <w:top w:val="nil"/>
              <w:left w:val="nil"/>
              <w:bottom w:val="single" w:sz="4" w:space="0" w:color="auto"/>
              <w:right w:val="single" w:sz="4" w:space="0" w:color="auto"/>
            </w:tcBorders>
            <w:shd w:val="clear" w:color="auto" w:fill="auto"/>
            <w:vAlign w:val="bottom"/>
            <w:hideMark/>
          </w:tcPr>
          <w:p w14:paraId="27E8FCEF" w14:textId="51D3FB09"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189</w:t>
            </w:r>
          </w:p>
        </w:tc>
        <w:tc>
          <w:tcPr>
            <w:tcW w:w="2552" w:type="dxa"/>
            <w:tcBorders>
              <w:top w:val="nil"/>
              <w:left w:val="nil"/>
              <w:bottom w:val="single" w:sz="4" w:space="0" w:color="auto"/>
              <w:right w:val="single" w:sz="4" w:space="0" w:color="auto"/>
            </w:tcBorders>
            <w:shd w:val="clear" w:color="auto" w:fill="auto"/>
            <w:noWrap/>
            <w:vAlign w:val="bottom"/>
            <w:hideMark/>
          </w:tcPr>
          <w:p w14:paraId="303C201C" w14:textId="0FD55A7C"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502</w:t>
            </w:r>
          </w:p>
        </w:tc>
        <w:tc>
          <w:tcPr>
            <w:tcW w:w="1217" w:type="dxa"/>
            <w:tcBorders>
              <w:top w:val="nil"/>
              <w:left w:val="nil"/>
              <w:bottom w:val="single" w:sz="4" w:space="0" w:color="auto"/>
              <w:right w:val="single" w:sz="4" w:space="0" w:color="auto"/>
            </w:tcBorders>
            <w:shd w:val="clear" w:color="auto" w:fill="auto"/>
            <w:noWrap/>
            <w:vAlign w:val="bottom"/>
            <w:hideMark/>
          </w:tcPr>
          <w:p w14:paraId="0DA8B05C" w14:textId="1DA9574E"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132 047</w:t>
            </w:r>
          </w:p>
        </w:tc>
        <w:tc>
          <w:tcPr>
            <w:tcW w:w="1213" w:type="dxa"/>
            <w:tcBorders>
              <w:top w:val="nil"/>
              <w:left w:val="nil"/>
              <w:bottom w:val="single" w:sz="4" w:space="0" w:color="auto"/>
              <w:right w:val="single" w:sz="4" w:space="0" w:color="auto"/>
            </w:tcBorders>
            <w:shd w:val="clear" w:color="auto" w:fill="auto"/>
            <w:noWrap/>
            <w:vAlign w:val="bottom"/>
            <w:hideMark/>
          </w:tcPr>
          <w:p w14:paraId="1B827943" w14:textId="04871392"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141 082</w:t>
            </w:r>
          </w:p>
        </w:tc>
        <w:tc>
          <w:tcPr>
            <w:tcW w:w="1260" w:type="dxa"/>
            <w:tcBorders>
              <w:top w:val="nil"/>
              <w:left w:val="nil"/>
              <w:bottom w:val="single" w:sz="4" w:space="0" w:color="auto"/>
              <w:right w:val="single" w:sz="4" w:space="0" w:color="auto"/>
            </w:tcBorders>
            <w:shd w:val="clear" w:color="auto" w:fill="auto"/>
            <w:noWrap/>
            <w:vAlign w:val="bottom"/>
            <w:hideMark/>
          </w:tcPr>
          <w:p w14:paraId="7772CFE2" w14:textId="4D067F69"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273 129</w:t>
            </w:r>
          </w:p>
        </w:tc>
      </w:tr>
      <w:tr w:rsidR="00DE587D" w:rsidRPr="003966DC" w14:paraId="413A5AC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E8EBDB2" w14:textId="7204405B" w:rsidR="00DE587D" w:rsidRPr="003966DC" w:rsidRDefault="00DE587D" w:rsidP="00DE587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Jamaïque</w:t>
            </w:r>
          </w:p>
        </w:tc>
        <w:tc>
          <w:tcPr>
            <w:tcW w:w="1138" w:type="dxa"/>
            <w:tcBorders>
              <w:top w:val="nil"/>
              <w:left w:val="nil"/>
              <w:bottom w:val="single" w:sz="4" w:space="0" w:color="auto"/>
              <w:right w:val="single" w:sz="4" w:space="0" w:color="auto"/>
            </w:tcBorders>
            <w:shd w:val="clear" w:color="auto" w:fill="auto"/>
            <w:vAlign w:val="bottom"/>
            <w:hideMark/>
          </w:tcPr>
          <w:p w14:paraId="75105018" w14:textId="33432B6C"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008</w:t>
            </w:r>
          </w:p>
        </w:tc>
        <w:tc>
          <w:tcPr>
            <w:tcW w:w="2552" w:type="dxa"/>
            <w:tcBorders>
              <w:top w:val="nil"/>
              <w:left w:val="nil"/>
              <w:bottom w:val="single" w:sz="4" w:space="0" w:color="auto"/>
              <w:right w:val="single" w:sz="4" w:space="0" w:color="auto"/>
            </w:tcBorders>
            <w:shd w:val="clear" w:color="auto" w:fill="auto"/>
            <w:noWrap/>
            <w:vAlign w:val="bottom"/>
            <w:hideMark/>
          </w:tcPr>
          <w:p w14:paraId="0DDDA16E" w14:textId="2B18247F"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011</w:t>
            </w:r>
          </w:p>
        </w:tc>
        <w:tc>
          <w:tcPr>
            <w:tcW w:w="1217" w:type="dxa"/>
            <w:tcBorders>
              <w:top w:val="nil"/>
              <w:left w:val="nil"/>
              <w:bottom w:val="single" w:sz="4" w:space="0" w:color="auto"/>
              <w:right w:val="single" w:sz="4" w:space="0" w:color="auto"/>
            </w:tcBorders>
            <w:shd w:val="clear" w:color="auto" w:fill="auto"/>
            <w:noWrap/>
            <w:vAlign w:val="bottom"/>
            <w:hideMark/>
          </w:tcPr>
          <w:p w14:paraId="0A86C46B" w14:textId="0234CC69"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6F29ECF9" w14:textId="19700881"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3674FDD3" w14:textId="7A02FF19"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685</w:t>
            </w:r>
          </w:p>
        </w:tc>
      </w:tr>
      <w:tr w:rsidR="00DE587D" w:rsidRPr="003966DC" w14:paraId="47EE1B0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6B83C15" w14:textId="4F0B246A" w:rsidR="00DE587D" w:rsidRPr="003966DC" w:rsidRDefault="00DE587D" w:rsidP="00DE587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Japon</w:t>
            </w:r>
          </w:p>
        </w:tc>
        <w:tc>
          <w:tcPr>
            <w:tcW w:w="1138" w:type="dxa"/>
            <w:tcBorders>
              <w:top w:val="nil"/>
              <w:left w:val="nil"/>
              <w:bottom w:val="single" w:sz="4" w:space="0" w:color="auto"/>
              <w:right w:val="single" w:sz="4" w:space="0" w:color="auto"/>
            </w:tcBorders>
            <w:shd w:val="clear" w:color="auto" w:fill="auto"/>
            <w:noWrap/>
            <w:vAlign w:val="bottom"/>
            <w:hideMark/>
          </w:tcPr>
          <w:p w14:paraId="14E5E4A6" w14:textId="32906DB4"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033</w:t>
            </w:r>
          </w:p>
        </w:tc>
        <w:tc>
          <w:tcPr>
            <w:tcW w:w="2552" w:type="dxa"/>
            <w:tcBorders>
              <w:top w:val="nil"/>
              <w:left w:val="nil"/>
              <w:bottom w:val="single" w:sz="4" w:space="0" w:color="auto"/>
              <w:right w:val="single" w:sz="4" w:space="0" w:color="auto"/>
            </w:tcBorders>
            <w:shd w:val="clear" w:color="auto" w:fill="auto"/>
            <w:noWrap/>
            <w:vAlign w:val="bottom"/>
            <w:hideMark/>
          </w:tcPr>
          <w:p w14:paraId="528160E3" w14:textId="091FA0B6"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340</w:t>
            </w:r>
          </w:p>
        </w:tc>
        <w:tc>
          <w:tcPr>
            <w:tcW w:w="1217" w:type="dxa"/>
            <w:tcBorders>
              <w:top w:val="nil"/>
              <w:left w:val="nil"/>
              <w:bottom w:val="single" w:sz="4" w:space="0" w:color="auto"/>
              <w:right w:val="single" w:sz="4" w:space="0" w:color="auto"/>
            </w:tcBorders>
            <w:shd w:val="clear" w:color="auto" w:fill="auto"/>
            <w:noWrap/>
            <w:vAlign w:val="bottom"/>
            <w:hideMark/>
          </w:tcPr>
          <w:p w14:paraId="486EC13A" w14:textId="0D52C1E7"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332 622</w:t>
            </w:r>
          </w:p>
        </w:tc>
        <w:tc>
          <w:tcPr>
            <w:tcW w:w="1213" w:type="dxa"/>
            <w:tcBorders>
              <w:top w:val="nil"/>
              <w:left w:val="nil"/>
              <w:bottom w:val="single" w:sz="4" w:space="0" w:color="auto"/>
              <w:right w:val="single" w:sz="4" w:space="0" w:color="auto"/>
            </w:tcBorders>
            <w:shd w:val="clear" w:color="auto" w:fill="auto"/>
            <w:noWrap/>
            <w:vAlign w:val="bottom"/>
            <w:hideMark/>
          </w:tcPr>
          <w:p w14:paraId="5BF7A2F6" w14:textId="3AE57DD4"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355 381</w:t>
            </w:r>
          </w:p>
        </w:tc>
        <w:tc>
          <w:tcPr>
            <w:tcW w:w="1260" w:type="dxa"/>
            <w:tcBorders>
              <w:top w:val="nil"/>
              <w:left w:val="nil"/>
              <w:bottom w:val="single" w:sz="4" w:space="0" w:color="auto"/>
              <w:right w:val="single" w:sz="4" w:space="0" w:color="auto"/>
            </w:tcBorders>
            <w:shd w:val="clear" w:color="auto" w:fill="auto"/>
            <w:noWrap/>
            <w:vAlign w:val="bottom"/>
            <w:hideMark/>
          </w:tcPr>
          <w:p w14:paraId="4633AFDA" w14:textId="11190FBA"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688 003</w:t>
            </w:r>
          </w:p>
        </w:tc>
      </w:tr>
      <w:tr w:rsidR="00DE587D" w:rsidRPr="003966DC" w14:paraId="581C5BF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48FDDC5" w14:textId="610472A1" w:rsidR="00DE587D" w:rsidRPr="003966DC" w:rsidRDefault="00DE587D" w:rsidP="00DE587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Jordanie</w:t>
            </w:r>
          </w:p>
        </w:tc>
        <w:tc>
          <w:tcPr>
            <w:tcW w:w="1138" w:type="dxa"/>
            <w:tcBorders>
              <w:top w:val="nil"/>
              <w:left w:val="nil"/>
              <w:bottom w:val="single" w:sz="4" w:space="0" w:color="auto"/>
              <w:right w:val="single" w:sz="4" w:space="0" w:color="auto"/>
            </w:tcBorders>
            <w:shd w:val="clear" w:color="auto" w:fill="auto"/>
            <w:vAlign w:val="bottom"/>
            <w:hideMark/>
          </w:tcPr>
          <w:p w14:paraId="6E3B9C90" w14:textId="4C8217A5"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022</w:t>
            </w:r>
          </w:p>
        </w:tc>
        <w:tc>
          <w:tcPr>
            <w:tcW w:w="2552" w:type="dxa"/>
            <w:tcBorders>
              <w:top w:val="nil"/>
              <w:left w:val="nil"/>
              <w:bottom w:val="single" w:sz="4" w:space="0" w:color="auto"/>
              <w:right w:val="single" w:sz="4" w:space="0" w:color="auto"/>
            </w:tcBorders>
            <w:shd w:val="clear" w:color="auto" w:fill="auto"/>
            <w:noWrap/>
            <w:vAlign w:val="bottom"/>
            <w:hideMark/>
          </w:tcPr>
          <w:p w14:paraId="7FF243E2" w14:textId="54B35E72"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031</w:t>
            </w:r>
          </w:p>
        </w:tc>
        <w:tc>
          <w:tcPr>
            <w:tcW w:w="1217" w:type="dxa"/>
            <w:tcBorders>
              <w:top w:val="nil"/>
              <w:left w:val="nil"/>
              <w:bottom w:val="single" w:sz="4" w:space="0" w:color="auto"/>
              <w:right w:val="single" w:sz="4" w:space="0" w:color="auto"/>
            </w:tcBorders>
            <w:shd w:val="clear" w:color="auto" w:fill="auto"/>
            <w:noWrap/>
            <w:vAlign w:val="bottom"/>
            <w:hideMark/>
          </w:tcPr>
          <w:p w14:paraId="0C2333CF" w14:textId="767DE976"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911</w:t>
            </w:r>
          </w:p>
        </w:tc>
        <w:tc>
          <w:tcPr>
            <w:tcW w:w="1213" w:type="dxa"/>
            <w:tcBorders>
              <w:top w:val="nil"/>
              <w:left w:val="nil"/>
              <w:bottom w:val="single" w:sz="4" w:space="0" w:color="auto"/>
              <w:right w:val="single" w:sz="4" w:space="0" w:color="auto"/>
            </w:tcBorders>
            <w:shd w:val="clear" w:color="auto" w:fill="auto"/>
            <w:noWrap/>
            <w:vAlign w:val="bottom"/>
            <w:hideMark/>
          </w:tcPr>
          <w:p w14:paraId="3D8745AB" w14:textId="5982D787"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973</w:t>
            </w:r>
          </w:p>
        </w:tc>
        <w:tc>
          <w:tcPr>
            <w:tcW w:w="1260" w:type="dxa"/>
            <w:tcBorders>
              <w:top w:val="nil"/>
              <w:left w:val="nil"/>
              <w:bottom w:val="single" w:sz="4" w:space="0" w:color="auto"/>
              <w:right w:val="single" w:sz="4" w:space="0" w:color="auto"/>
            </w:tcBorders>
            <w:shd w:val="clear" w:color="auto" w:fill="auto"/>
            <w:noWrap/>
            <w:vAlign w:val="bottom"/>
            <w:hideMark/>
          </w:tcPr>
          <w:p w14:paraId="0988972D" w14:textId="097D00A8" w:rsidR="00DE587D" w:rsidRPr="003966DC" w:rsidRDefault="00DE587D" w:rsidP="00DE587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1 884</w:t>
            </w:r>
          </w:p>
        </w:tc>
      </w:tr>
      <w:tr w:rsidR="00BF1816" w:rsidRPr="003966DC" w14:paraId="2D1F53F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300B233" w14:textId="4F4BFB9B" w:rsidR="00BF1816" w:rsidRPr="003966DC" w:rsidRDefault="00BF1816" w:rsidP="00BF1816">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Kazakhstan</w:t>
            </w:r>
          </w:p>
        </w:tc>
        <w:tc>
          <w:tcPr>
            <w:tcW w:w="1138" w:type="dxa"/>
            <w:tcBorders>
              <w:top w:val="nil"/>
              <w:left w:val="nil"/>
              <w:bottom w:val="single" w:sz="4" w:space="0" w:color="auto"/>
              <w:right w:val="single" w:sz="4" w:space="0" w:color="auto"/>
            </w:tcBorders>
            <w:shd w:val="clear" w:color="auto" w:fill="auto"/>
            <w:vAlign w:val="bottom"/>
            <w:hideMark/>
          </w:tcPr>
          <w:p w14:paraId="5CC13374" w14:textId="74C53AA1"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133</w:t>
            </w:r>
          </w:p>
        </w:tc>
        <w:tc>
          <w:tcPr>
            <w:tcW w:w="2552" w:type="dxa"/>
            <w:tcBorders>
              <w:top w:val="nil"/>
              <w:left w:val="nil"/>
              <w:bottom w:val="single" w:sz="4" w:space="0" w:color="auto"/>
              <w:right w:val="single" w:sz="4" w:space="0" w:color="auto"/>
            </w:tcBorders>
            <w:shd w:val="clear" w:color="auto" w:fill="auto"/>
            <w:noWrap/>
            <w:vAlign w:val="bottom"/>
            <w:hideMark/>
          </w:tcPr>
          <w:p w14:paraId="7ADFDCAD" w14:textId="08A96C1D"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188</w:t>
            </w:r>
          </w:p>
        </w:tc>
        <w:tc>
          <w:tcPr>
            <w:tcW w:w="1217" w:type="dxa"/>
            <w:tcBorders>
              <w:top w:val="nil"/>
              <w:left w:val="nil"/>
              <w:bottom w:val="single" w:sz="4" w:space="0" w:color="auto"/>
              <w:right w:val="single" w:sz="4" w:space="0" w:color="auto"/>
            </w:tcBorders>
            <w:shd w:val="clear" w:color="auto" w:fill="auto"/>
            <w:noWrap/>
            <w:vAlign w:val="bottom"/>
            <w:hideMark/>
          </w:tcPr>
          <w:p w14:paraId="7921DC7E" w14:textId="1B8ED558"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5 507</w:t>
            </w:r>
          </w:p>
        </w:tc>
        <w:tc>
          <w:tcPr>
            <w:tcW w:w="1213" w:type="dxa"/>
            <w:tcBorders>
              <w:top w:val="nil"/>
              <w:left w:val="nil"/>
              <w:bottom w:val="single" w:sz="4" w:space="0" w:color="auto"/>
              <w:right w:val="single" w:sz="4" w:space="0" w:color="auto"/>
            </w:tcBorders>
            <w:shd w:val="clear" w:color="auto" w:fill="auto"/>
            <w:noWrap/>
            <w:vAlign w:val="bottom"/>
            <w:hideMark/>
          </w:tcPr>
          <w:p w14:paraId="2314D386" w14:textId="519B602B"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5 884</w:t>
            </w:r>
          </w:p>
        </w:tc>
        <w:tc>
          <w:tcPr>
            <w:tcW w:w="1260" w:type="dxa"/>
            <w:tcBorders>
              <w:top w:val="nil"/>
              <w:left w:val="nil"/>
              <w:bottom w:val="single" w:sz="4" w:space="0" w:color="auto"/>
              <w:right w:val="single" w:sz="4" w:space="0" w:color="auto"/>
            </w:tcBorders>
            <w:shd w:val="clear" w:color="auto" w:fill="auto"/>
            <w:noWrap/>
            <w:vAlign w:val="bottom"/>
            <w:hideMark/>
          </w:tcPr>
          <w:p w14:paraId="710377FF" w14:textId="50C52B3C"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11 391</w:t>
            </w:r>
          </w:p>
        </w:tc>
      </w:tr>
      <w:tr w:rsidR="00BF1816" w:rsidRPr="003966DC" w14:paraId="1EB758B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5E42A61" w14:textId="732B0E51" w:rsidR="00BF1816" w:rsidRPr="003966DC" w:rsidRDefault="00BF1816" w:rsidP="00BF1816">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Kenya</w:t>
            </w:r>
          </w:p>
        </w:tc>
        <w:tc>
          <w:tcPr>
            <w:tcW w:w="1138" w:type="dxa"/>
            <w:tcBorders>
              <w:top w:val="nil"/>
              <w:left w:val="nil"/>
              <w:bottom w:val="single" w:sz="4" w:space="0" w:color="auto"/>
              <w:right w:val="single" w:sz="4" w:space="0" w:color="auto"/>
            </w:tcBorders>
            <w:shd w:val="clear" w:color="auto" w:fill="auto"/>
            <w:vAlign w:val="bottom"/>
            <w:hideMark/>
          </w:tcPr>
          <w:p w14:paraId="3D3A9F4F" w14:textId="6DF94A90"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030</w:t>
            </w:r>
          </w:p>
        </w:tc>
        <w:tc>
          <w:tcPr>
            <w:tcW w:w="2552" w:type="dxa"/>
            <w:tcBorders>
              <w:top w:val="nil"/>
              <w:left w:val="nil"/>
              <w:bottom w:val="single" w:sz="4" w:space="0" w:color="auto"/>
              <w:right w:val="single" w:sz="4" w:space="0" w:color="auto"/>
            </w:tcBorders>
            <w:shd w:val="clear" w:color="auto" w:fill="auto"/>
            <w:noWrap/>
            <w:vAlign w:val="bottom"/>
            <w:hideMark/>
          </w:tcPr>
          <w:p w14:paraId="0CFE6BE6" w14:textId="2E344F42"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042</w:t>
            </w:r>
          </w:p>
        </w:tc>
        <w:tc>
          <w:tcPr>
            <w:tcW w:w="1217" w:type="dxa"/>
            <w:tcBorders>
              <w:top w:val="nil"/>
              <w:left w:val="nil"/>
              <w:bottom w:val="single" w:sz="4" w:space="0" w:color="auto"/>
              <w:right w:val="single" w:sz="4" w:space="0" w:color="auto"/>
            </w:tcBorders>
            <w:shd w:val="clear" w:color="auto" w:fill="auto"/>
            <w:noWrap/>
            <w:vAlign w:val="bottom"/>
            <w:hideMark/>
          </w:tcPr>
          <w:p w14:paraId="177E1400" w14:textId="37187FEE"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1 242</w:t>
            </w:r>
          </w:p>
        </w:tc>
        <w:tc>
          <w:tcPr>
            <w:tcW w:w="1213" w:type="dxa"/>
            <w:tcBorders>
              <w:top w:val="nil"/>
              <w:left w:val="nil"/>
              <w:bottom w:val="single" w:sz="4" w:space="0" w:color="auto"/>
              <w:right w:val="single" w:sz="4" w:space="0" w:color="auto"/>
            </w:tcBorders>
            <w:shd w:val="clear" w:color="auto" w:fill="auto"/>
            <w:noWrap/>
            <w:vAlign w:val="bottom"/>
            <w:hideMark/>
          </w:tcPr>
          <w:p w14:paraId="5AD1F560" w14:textId="41F08CDA"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1 327</w:t>
            </w:r>
          </w:p>
        </w:tc>
        <w:tc>
          <w:tcPr>
            <w:tcW w:w="1260" w:type="dxa"/>
            <w:tcBorders>
              <w:top w:val="nil"/>
              <w:left w:val="nil"/>
              <w:bottom w:val="single" w:sz="4" w:space="0" w:color="auto"/>
              <w:right w:val="single" w:sz="4" w:space="0" w:color="auto"/>
            </w:tcBorders>
            <w:shd w:val="clear" w:color="auto" w:fill="auto"/>
            <w:noWrap/>
            <w:vAlign w:val="bottom"/>
            <w:hideMark/>
          </w:tcPr>
          <w:p w14:paraId="43BF589D" w14:textId="4458544C"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2 569</w:t>
            </w:r>
          </w:p>
        </w:tc>
      </w:tr>
      <w:tr w:rsidR="00872A4E" w:rsidRPr="003966DC" w14:paraId="4A27308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979B1E2" w14:textId="386CFB2C" w:rsidR="00872A4E" w:rsidRPr="003966DC" w:rsidRDefault="00872A4E" w:rsidP="00872A4E">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Kirghizistan</w:t>
            </w:r>
          </w:p>
        </w:tc>
        <w:tc>
          <w:tcPr>
            <w:tcW w:w="1138" w:type="dxa"/>
            <w:tcBorders>
              <w:top w:val="nil"/>
              <w:left w:val="nil"/>
              <w:bottom w:val="single" w:sz="4" w:space="0" w:color="auto"/>
              <w:right w:val="single" w:sz="4" w:space="0" w:color="auto"/>
            </w:tcBorders>
            <w:shd w:val="clear" w:color="auto" w:fill="auto"/>
            <w:vAlign w:val="bottom"/>
          </w:tcPr>
          <w:p w14:paraId="5CA9FF2B" w14:textId="25A318FA" w:rsidR="00872A4E" w:rsidRPr="003966DC" w:rsidRDefault="00872A4E" w:rsidP="00872A4E">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002</w:t>
            </w:r>
          </w:p>
        </w:tc>
        <w:tc>
          <w:tcPr>
            <w:tcW w:w="2552" w:type="dxa"/>
            <w:tcBorders>
              <w:top w:val="nil"/>
              <w:left w:val="nil"/>
              <w:bottom w:val="single" w:sz="4" w:space="0" w:color="auto"/>
              <w:right w:val="single" w:sz="4" w:space="0" w:color="auto"/>
            </w:tcBorders>
            <w:shd w:val="clear" w:color="auto" w:fill="auto"/>
            <w:noWrap/>
            <w:vAlign w:val="bottom"/>
          </w:tcPr>
          <w:p w14:paraId="00AF0D2F" w14:textId="4C842D15" w:rsidR="00872A4E" w:rsidRPr="003966DC" w:rsidRDefault="00872A4E" w:rsidP="00872A4E">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1217" w:type="dxa"/>
            <w:tcBorders>
              <w:top w:val="nil"/>
              <w:left w:val="nil"/>
              <w:bottom w:val="single" w:sz="4" w:space="0" w:color="auto"/>
              <w:right w:val="single" w:sz="4" w:space="0" w:color="auto"/>
            </w:tcBorders>
            <w:shd w:val="clear" w:color="auto" w:fill="auto"/>
            <w:noWrap/>
            <w:vAlign w:val="bottom"/>
          </w:tcPr>
          <w:p w14:paraId="56998184" w14:textId="5370D04C" w:rsidR="00872A4E" w:rsidRPr="003966DC" w:rsidRDefault="00872A4E" w:rsidP="00872A4E">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83</w:t>
            </w:r>
          </w:p>
        </w:tc>
        <w:tc>
          <w:tcPr>
            <w:tcW w:w="1213" w:type="dxa"/>
            <w:tcBorders>
              <w:top w:val="nil"/>
              <w:left w:val="nil"/>
              <w:bottom w:val="single" w:sz="4" w:space="0" w:color="auto"/>
              <w:right w:val="single" w:sz="4" w:space="0" w:color="auto"/>
            </w:tcBorders>
            <w:shd w:val="clear" w:color="auto" w:fill="auto"/>
            <w:noWrap/>
            <w:vAlign w:val="bottom"/>
          </w:tcPr>
          <w:p w14:paraId="5A0A7CB2" w14:textId="29F3D265" w:rsidR="00872A4E" w:rsidRPr="003966DC" w:rsidRDefault="00872A4E" w:rsidP="00872A4E">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88</w:t>
            </w:r>
          </w:p>
        </w:tc>
        <w:tc>
          <w:tcPr>
            <w:tcW w:w="1260" w:type="dxa"/>
            <w:tcBorders>
              <w:top w:val="nil"/>
              <w:left w:val="nil"/>
              <w:bottom w:val="single" w:sz="4" w:space="0" w:color="auto"/>
              <w:right w:val="single" w:sz="4" w:space="0" w:color="auto"/>
            </w:tcBorders>
            <w:shd w:val="clear" w:color="auto" w:fill="auto"/>
            <w:noWrap/>
            <w:vAlign w:val="bottom"/>
          </w:tcPr>
          <w:p w14:paraId="5F5E9280" w14:textId="09DB3DEB" w:rsidR="00872A4E" w:rsidRPr="003966DC" w:rsidRDefault="00872A4E" w:rsidP="00872A4E">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171</w:t>
            </w:r>
          </w:p>
        </w:tc>
      </w:tr>
      <w:tr w:rsidR="00BF1816" w:rsidRPr="003966DC" w14:paraId="33EBF52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AD39B4D" w14:textId="55FBAE7A" w:rsidR="00BF1816" w:rsidRPr="003966DC" w:rsidRDefault="00BF1816" w:rsidP="00BF1816">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Kiribati</w:t>
            </w:r>
          </w:p>
        </w:tc>
        <w:tc>
          <w:tcPr>
            <w:tcW w:w="1138" w:type="dxa"/>
            <w:tcBorders>
              <w:top w:val="nil"/>
              <w:left w:val="nil"/>
              <w:bottom w:val="single" w:sz="4" w:space="0" w:color="auto"/>
              <w:right w:val="single" w:sz="4" w:space="0" w:color="auto"/>
            </w:tcBorders>
            <w:shd w:val="clear" w:color="auto" w:fill="auto"/>
            <w:vAlign w:val="bottom"/>
            <w:hideMark/>
          </w:tcPr>
          <w:p w14:paraId="22F9E0F8" w14:textId="0CBA3A68"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673857A4" w14:textId="680906F9"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77872EB4" w14:textId="479C640D"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817A076" w14:textId="6F0CB31A"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D738616" w14:textId="553FD1F9"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BF1816" w:rsidRPr="003966DC" w14:paraId="71A88E6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E298A7F" w14:textId="39910248" w:rsidR="00BF1816" w:rsidRPr="003966DC" w:rsidRDefault="00BF1816" w:rsidP="00BF1816">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Koweït</w:t>
            </w:r>
          </w:p>
        </w:tc>
        <w:tc>
          <w:tcPr>
            <w:tcW w:w="1138" w:type="dxa"/>
            <w:tcBorders>
              <w:top w:val="nil"/>
              <w:left w:val="nil"/>
              <w:bottom w:val="single" w:sz="4" w:space="0" w:color="auto"/>
              <w:right w:val="single" w:sz="4" w:space="0" w:color="auto"/>
            </w:tcBorders>
            <w:shd w:val="clear" w:color="auto" w:fill="auto"/>
            <w:vAlign w:val="bottom"/>
            <w:hideMark/>
          </w:tcPr>
          <w:p w14:paraId="1AB33176" w14:textId="465DF03D"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234</w:t>
            </w:r>
          </w:p>
        </w:tc>
        <w:tc>
          <w:tcPr>
            <w:tcW w:w="2552" w:type="dxa"/>
            <w:tcBorders>
              <w:top w:val="nil"/>
              <w:left w:val="nil"/>
              <w:bottom w:val="single" w:sz="4" w:space="0" w:color="auto"/>
              <w:right w:val="single" w:sz="4" w:space="0" w:color="auto"/>
            </w:tcBorders>
            <w:shd w:val="clear" w:color="auto" w:fill="auto"/>
            <w:noWrap/>
            <w:vAlign w:val="bottom"/>
            <w:hideMark/>
          </w:tcPr>
          <w:p w14:paraId="677D3124" w14:textId="615334CA"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330</w:t>
            </w:r>
          </w:p>
        </w:tc>
        <w:tc>
          <w:tcPr>
            <w:tcW w:w="1217" w:type="dxa"/>
            <w:tcBorders>
              <w:top w:val="nil"/>
              <w:left w:val="nil"/>
              <w:bottom w:val="single" w:sz="4" w:space="0" w:color="auto"/>
              <w:right w:val="single" w:sz="4" w:space="0" w:color="auto"/>
            </w:tcBorders>
            <w:shd w:val="clear" w:color="auto" w:fill="auto"/>
            <w:noWrap/>
            <w:vAlign w:val="bottom"/>
            <w:hideMark/>
          </w:tcPr>
          <w:p w14:paraId="48D31189" w14:textId="0BA6BDEE"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9 689</w:t>
            </w:r>
          </w:p>
        </w:tc>
        <w:tc>
          <w:tcPr>
            <w:tcW w:w="1213" w:type="dxa"/>
            <w:tcBorders>
              <w:top w:val="nil"/>
              <w:left w:val="nil"/>
              <w:bottom w:val="single" w:sz="4" w:space="0" w:color="auto"/>
              <w:right w:val="single" w:sz="4" w:space="0" w:color="auto"/>
            </w:tcBorders>
            <w:shd w:val="clear" w:color="auto" w:fill="auto"/>
            <w:noWrap/>
            <w:vAlign w:val="bottom"/>
            <w:hideMark/>
          </w:tcPr>
          <w:p w14:paraId="64549E57" w14:textId="16D11088"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10 352</w:t>
            </w:r>
          </w:p>
        </w:tc>
        <w:tc>
          <w:tcPr>
            <w:tcW w:w="1260" w:type="dxa"/>
            <w:tcBorders>
              <w:top w:val="nil"/>
              <w:left w:val="nil"/>
              <w:bottom w:val="single" w:sz="4" w:space="0" w:color="auto"/>
              <w:right w:val="single" w:sz="4" w:space="0" w:color="auto"/>
            </w:tcBorders>
            <w:shd w:val="clear" w:color="auto" w:fill="auto"/>
            <w:noWrap/>
            <w:vAlign w:val="bottom"/>
            <w:hideMark/>
          </w:tcPr>
          <w:p w14:paraId="1D4B6D30" w14:textId="6D73E64E"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20 041</w:t>
            </w:r>
          </w:p>
        </w:tc>
      </w:tr>
      <w:tr w:rsidR="00BF1816" w:rsidRPr="003966DC" w14:paraId="0F97D00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9D3518F" w14:textId="2C9C499F" w:rsidR="00BF1816" w:rsidRPr="003966DC" w:rsidRDefault="00BF1816" w:rsidP="00BF1816">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Lesotho</w:t>
            </w:r>
          </w:p>
        </w:tc>
        <w:tc>
          <w:tcPr>
            <w:tcW w:w="1138" w:type="dxa"/>
            <w:tcBorders>
              <w:top w:val="nil"/>
              <w:left w:val="nil"/>
              <w:bottom w:val="single" w:sz="4" w:space="0" w:color="auto"/>
              <w:right w:val="single" w:sz="4" w:space="0" w:color="auto"/>
            </w:tcBorders>
            <w:shd w:val="clear" w:color="auto" w:fill="auto"/>
            <w:vAlign w:val="bottom"/>
            <w:hideMark/>
          </w:tcPr>
          <w:p w14:paraId="2AEC94B8" w14:textId="05D1DF35"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51123268" w14:textId="67BEB358"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42249846" w14:textId="2E08AF5E"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0F27CC4" w14:textId="0F74B860"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1A91BAF" w14:textId="0BD1E9EF"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EE2191" w:rsidRPr="003966DC" w14:paraId="30F1DC5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0268CE69" w14:textId="07437CB3" w:rsidR="00EE2191" w:rsidRPr="003966DC" w:rsidRDefault="00EE2191" w:rsidP="00EE2191">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Lettonie</w:t>
            </w:r>
          </w:p>
        </w:tc>
        <w:tc>
          <w:tcPr>
            <w:tcW w:w="1138" w:type="dxa"/>
            <w:tcBorders>
              <w:top w:val="nil"/>
              <w:left w:val="nil"/>
              <w:bottom w:val="single" w:sz="4" w:space="0" w:color="auto"/>
              <w:right w:val="single" w:sz="4" w:space="0" w:color="auto"/>
            </w:tcBorders>
            <w:shd w:val="clear" w:color="auto" w:fill="auto"/>
            <w:vAlign w:val="bottom"/>
          </w:tcPr>
          <w:p w14:paraId="09C33511" w14:textId="1EA4922E" w:rsidR="00EE2191" w:rsidRPr="003966DC" w:rsidRDefault="00EE2191" w:rsidP="00EE2191">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050</w:t>
            </w:r>
          </w:p>
        </w:tc>
        <w:tc>
          <w:tcPr>
            <w:tcW w:w="2552" w:type="dxa"/>
            <w:tcBorders>
              <w:top w:val="nil"/>
              <w:left w:val="nil"/>
              <w:bottom w:val="single" w:sz="4" w:space="0" w:color="auto"/>
              <w:right w:val="single" w:sz="4" w:space="0" w:color="auto"/>
            </w:tcBorders>
            <w:shd w:val="clear" w:color="auto" w:fill="auto"/>
            <w:noWrap/>
            <w:vAlign w:val="bottom"/>
          </w:tcPr>
          <w:p w14:paraId="20D77305" w14:textId="5B5D6816" w:rsidR="00EE2191" w:rsidRPr="003966DC" w:rsidRDefault="00EE2191" w:rsidP="00EE2191">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071</w:t>
            </w:r>
          </w:p>
        </w:tc>
        <w:tc>
          <w:tcPr>
            <w:tcW w:w="1217" w:type="dxa"/>
            <w:tcBorders>
              <w:top w:val="nil"/>
              <w:left w:val="nil"/>
              <w:bottom w:val="single" w:sz="4" w:space="0" w:color="auto"/>
              <w:right w:val="single" w:sz="4" w:space="0" w:color="auto"/>
            </w:tcBorders>
            <w:shd w:val="clear" w:color="auto" w:fill="auto"/>
            <w:noWrap/>
            <w:vAlign w:val="bottom"/>
          </w:tcPr>
          <w:p w14:paraId="046446E0" w14:textId="58B1BE96" w:rsidR="00EE2191" w:rsidRPr="003966DC" w:rsidRDefault="00EE2191" w:rsidP="00EE2191">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2 070</w:t>
            </w:r>
          </w:p>
        </w:tc>
        <w:tc>
          <w:tcPr>
            <w:tcW w:w="1213" w:type="dxa"/>
            <w:tcBorders>
              <w:top w:val="nil"/>
              <w:left w:val="nil"/>
              <w:bottom w:val="single" w:sz="4" w:space="0" w:color="auto"/>
              <w:right w:val="single" w:sz="4" w:space="0" w:color="auto"/>
            </w:tcBorders>
            <w:shd w:val="clear" w:color="auto" w:fill="auto"/>
            <w:noWrap/>
            <w:vAlign w:val="bottom"/>
          </w:tcPr>
          <w:p w14:paraId="15FFAF38" w14:textId="35E97861" w:rsidR="00EE2191" w:rsidRPr="003966DC" w:rsidRDefault="00EE2191" w:rsidP="00EE2191">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2 212</w:t>
            </w:r>
          </w:p>
        </w:tc>
        <w:tc>
          <w:tcPr>
            <w:tcW w:w="1260" w:type="dxa"/>
            <w:tcBorders>
              <w:top w:val="nil"/>
              <w:left w:val="nil"/>
              <w:bottom w:val="single" w:sz="4" w:space="0" w:color="auto"/>
              <w:right w:val="single" w:sz="4" w:space="0" w:color="auto"/>
            </w:tcBorders>
            <w:shd w:val="clear" w:color="auto" w:fill="auto"/>
            <w:noWrap/>
            <w:vAlign w:val="bottom"/>
          </w:tcPr>
          <w:p w14:paraId="0CF1BD25" w14:textId="58BBECB1" w:rsidR="00EE2191" w:rsidRPr="003966DC" w:rsidRDefault="00EE2191" w:rsidP="00EE2191">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4 282</w:t>
            </w:r>
          </w:p>
        </w:tc>
      </w:tr>
      <w:tr w:rsidR="002E7355" w:rsidRPr="003966DC" w14:paraId="54B8356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1F0C80DC" w14:textId="028FEDC7" w:rsidR="002E7355" w:rsidRPr="003966DC" w:rsidRDefault="002E7355" w:rsidP="002E7355">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Liban</w:t>
            </w:r>
          </w:p>
        </w:tc>
        <w:tc>
          <w:tcPr>
            <w:tcW w:w="1138" w:type="dxa"/>
            <w:tcBorders>
              <w:top w:val="nil"/>
              <w:left w:val="nil"/>
              <w:bottom w:val="single" w:sz="4" w:space="0" w:color="auto"/>
              <w:right w:val="single" w:sz="4" w:space="0" w:color="auto"/>
            </w:tcBorders>
            <w:shd w:val="clear" w:color="auto" w:fill="auto"/>
            <w:vAlign w:val="bottom"/>
          </w:tcPr>
          <w:p w14:paraId="3DB83EA8" w14:textId="1F5659AD" w:rsidR="002E7355" w:rsidRPr="003966DC" w:rsidRDefault="002E7355" w:rsidP="002E735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036</w:t>
            </w:r>
          </w:p>
        </w:tc>
        <w:tc>
          <w:tcPr>
            <w:tcW w:w="2552" w:type="dxa"/>
            <w:tcBorders>
              <w:top w:val="nil"/>
              <w:left w:val="nil"/>
              <w:bottom w:val="single" w:sz="4" w:space="0" w:color="auto"/>
              <w:right w:val="single" w:sz="4" w:space="0" w:color="auto"/>
            </w:tcBorders>
            <w:shd w:val="clear" w:color="auto" w:fill="auto"/>
            <w:noWrap/>
            <w:vAlign w:val="bottom"/>
          </w:tcPr>
          <w:p w14:paraId="6048787D" w14:textId="755C8314" w:rsidR="002E7355" w:rsidRPr="003966DC" w:rsidRDefault="002E7355" w:rsidP="002E735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051</w:t>
            </w:r>
          </w:p>
        </w:tc>
        <w:tc>
          <w:tcPr>
            <w:tcW w:w="1217" w:type="dxa"/>
            <w:tcBorders>
              <w:top w:val="nil"/>
              <w:left w:val="nil"/>
              <w:bottom w:val="single" w:sz="4" w:space="0" w:color="auto"/>
              <w:right w:val="single" w:sz="4" w:space="0" w:color="auto"/>
            </w:tcBorders>
            <w:shd w:val="clear" w:color="auto" w:fill="auto"/>
            <w:noWrap/>
            <w:vAlign w:val="bottom"/>
          </w:tcPr>
          <w:p w14:paraId="57433BDC" w14:textId="4BFF4CB1" w:rsidR="002E7355" w:rsidRPr="003966DC" w:rsidRDefault="002E7355" w:rsidP="002E735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1 491</w:t>
            </w:r>
          </w:p>
        </w:tc>
        <w:tc>
          <w:tcPr>
            <w:tcW w:w="1213" w:type="dxa"/>
            <w:tcBorders>
              <w:top w:val="nil"/>
              <w:left w:val="nil"/>
              <w:bottom w:val="single" w:sz="4" w:space="0" w:color="auto"/>
              <w:right w:val="single" w:sz="4" w:space="0" w:color="auto"/>
            </w:tcBorders>
            <w:shd w:val="clear" w:color="auto" w:fill="auto"/>
            <w:noWrap/>
            <w:vAlign w:val="bottom"/>
          </w:tcPr>
          <w:p w14:paraId="495C48B4" w14:textId="1C2DFC38" w:rsidR="002E7355" w:rsidRPr="003966DC" w:rsidRDefault="002E7355" w:rsidP="002E735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1 593</w:t>
            </w:r>
          </w:p>
        </w:tc>
        <w:tc>
          <w:tcPr>
            <w:tcW w:w="1260" w:type="dxa"/>
            <w:tcBorders>
              <w:top w:val="nil"/>
              <w:left w:val="nil"/>
              <w:bottom w:val="single" w:sz="4" w:space="0" w:color="auto"/>
              <w:right w:val="single" w:sz="4" w:space="0" w:color="auto"/>
            </w:tcBorders>
            <w:shd w:val="clear" w:color="auto" w:fill="auto"/>
            <w:noWrap/>
            <w:vAlign w:val="bottom"/>
          </w:tcPr>
          <w:p w14:paraId="745DFCCD" w14:textId="2B31A29F" w:rsidR="002E7355" w:rsidRPr="003966DC" w:rsidRDefault="002E7355" w:rsidP="002E735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3 083</w:t>
            </w:r>
          </w:p>
        </w:tc>
      </w:tr>
      <w:tr w:rsidR="00BF1816" w:rsidRPr="003966DC" w14:paraId="5943F7F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E158DDD" w14:textId="46B9A6E5" w:rsidR="00BF1816" w:rsidRPr="003966DC" w:rsidRDefault="00BF1816" w:rsidP="00BF1816">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Libéria</w:t>
            </w:r>
          </w:p>
        </w:tc>
        <w:tc>
          <w:tcPr>
            <w:tcW w:w="1138" w:type="dxa"/>
            <w:tcBorders>
              <w:top w:val="nil"/>
              <w:left w:val="nil"/>
              <w:bottom w:val="single" w:sz="4" w:space="0" w:color="auto"/>
              <w:right w:val="single" w:sz="4" w:space="0" w:color="auto"/>
            </w:tcBorders>
            <w:shd w:val="clear" w:color="auto" w:fill="auto"/>
            <w:vAlign w:val="bottom"/>
            <w:hideMark/>
          </w:tcPr>
          <w:p w14:paraId="2BF03CE4" w14:textId="004D3DE5"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3A5CB5FE" w14:textId="3B80CACC"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11BEAFD6" w14:textId="1ECC7968"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B6C610F" w14:textId="13F625ED"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7D45EC1" w14:textId="6519A653"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BF1816" w:rsidRPr="003966DC" w14:paraId="1A1EE83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F8BAC9F" w14:textId="6EC13B1C" w:rsidR="00BF1816" w:rsidRPr="003966DC" w:rsidRDefault="00BF1816" w:rsidP="00BF1816">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Libye</w:t>
            </w:r>
          </w:p>
        </w:tc>
        <w:tc>
          <w:tcPr>
            <w:tcW w:w="1138" w:type="dxa"/>
            <w:tcBorders>
              <w:top w:val="nil"/>
              <w:left w:val="nil"/>
              <w:bottom w:val="single" w:sz="4" w:space="0" w:color="auto"/>
              <w:right w:val="single" w:sz="4" w:space="0" w:color="auto"/>
            </w:tcBorders>
            <w:shd w:val="clear" w:color="auto" w:fill="auto"/>
            <w:vAlign w:val="bottom"/>
            <w:hideMark/>
          </w:tcPr>
          <w:p w14:paraId="4C6A21F5" w14:textId="6B709F1B"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018</w:t>
            </w:r>
          </w:p>
        </w:tc>
        <w:tc>
          <w:tcPr>
            <w:tcW w:w="2552" w:type="dxa"/>
            <w:tcBorders>
              <w:top w:val="nil"/>
              <w:left w:val="nil"/>
              <w:bottom w:val="single" w:sz="4" w:space="0" w:color="auto"/>
              <w:right w:val="single" w:sz="4" w:space="0" w:color="auto"/>
            </w:tcBorders>
            <w:shd w:val="clear" w:color="auto" w:fill="auto"/>
            <w:noWrap/>
            <w:vAlign w:val="bottom"/>
            <w:hideMark/>
          </w:tcPr>
          <w:p w14:paraId="1EA597D0" w14:textId="19E1F752"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025</w:t>
            </w:r>
          </w:p>
        </w:tc>
        <w:tc>
          <w:tcPr>
            <w:tcW w:w="1217" w:type="dxa"/>
            <w:tcBorders>
              <w:top w:val="nil"/>
              <w:left w:val="nil"/>
              <w:bottom w:val="single" w:sz="4" w:space="0" w:color="auto"/>
              <w:right w:val="single" w:sz="4" w:space="0" w:color="auto"/>
            </w:tcBorders>
            <w:shd w:val="clear" w:color="auto" w:fill="auto"/>
            <w:noWrap/>
            <w:vAlign w:val="bottom"/>
            <w:hideMark/>
          </w:tcPr>
          <w:p w14:paraId="51BDB7F1" w14:textId="4D97F863"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745</w:t>
            </w:r>
          </w:p>
        </w:tc>
        <w:tc>
          <w:tcPr>
            <w:tcW w:w="1213" w:type="dxa"/>
            <w:tcBorders>
              <w:top w:val="nil"/>
              <w:left w:val="nil"/>
              <w:bottom w:val="single" w:sz="4" w:space="0" w:color="auto"/>
              <w:right w:val="single" w:sz="4" w:space="0" w:color="auto"/>
            </w:tcBorders>
            <w:shd w:val="clear" w:color="auto" w:fill="auto"/>
            <w:noWrap/>
            <w:vAlign w:val="bottom"/>
            <w:hideMark/>
          </w:tcPr>
          <w:p w14:paraId="764666EC" w14:textId="38D721E7"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796</w:t>
            </w:r>
          </w:p>
        </w:tc>
        <w:tc>
          <w:tcPr>
            <w:tcW w:w="1260" w:type="dxa"/>
            <w:tcBorders>
              <w:top w:val="nil"/>
              <w:left w:val="nil"/>
              <w:bottom w:val="single" w:sz="4" w:space="0" w:color="auto"/>
              <w:right w:val="single" w:sz="4" w:space="0" w:color="auto"/>
            </w:tcBorders>
            <w:shd w:val="clear" w:color="auto" w:fill="auto"/>
            <w:noWrap/>
            <w:vAlign w:val="bottom"/>
            <w:hideMark/>
          </w:tcPr>
          <w:p w14:paraId="05E76BCA" w14:textId="2FAD7E25" w:rsidR="00BF1816" w:rsidRPr="003966DC" w:rsidRDefault="00BF1816" w:rsidP="00BF181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1 542</w:t>
            </w:r>
          </w:p>
        </w:tc>
      </w:tr>
      <w:tr w:rsidR="001E4464" w:rsidRPr="003966DC" w14:paraId="06B4719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EBE8867" w14:textId="155C3F55" w:rsidR="001E4464" w:rsidRPr="003966DC" w:rsidRDefault="001E4464" w:rsidP="001E446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Lituanie</w:t>
            </w:r>
          </w:p>
        </w:tc>
        <w:tc>
          <w:tcPr>
            <w:tcW w:w="1138" w:type="dxa"/>
            <w:tcBorders>
              <w:top w:val="nil"/>
              <w:left w:val="nil"/>
              <w:bottom w:val="single" w:sz="4" w:space="0" w:color="auto"/>
              <w:right w:val="single" w:sz="4" w:space="0" w:color="auto"/>
            </w:tcBorders>
            <w:shd w:val="clear" w:color="auto" w:fill="auto"/>
            <w:vAlign w:val="bottom"/>
            <w:hideMark/>
          </w:tcPr>
          <w:p w14:paraId="5E83A0C5" w14:textId="1BC0495D"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077</w:t>
            </w:r>
          </w:p>
        </w:tc>
        <w:tc>
          <w:tcPr>
            <w:tcW w:w="2552" w:type="dxa"/>
            <w:tcBorders>
              <w:top w:val="nil"/>
              <w:left w:val="nil"/>
              <w:bottom w:val="single" w:sz="4" w:space="0" w:color="auto"/>
              <w:right w:val="single" w:sz="4" w:space="0" w:color="auto"/>
            </w:tcBorders>
            <w:shd w:val="clear" w:color="auto" w:fill="auto"/>
            <w:noWrap/>
            <w:vAlign w:val="bottom"/>
            <w:hideMark/>
          </w:tcPr>
          <w:p w14:paraId="7ABB9F19" w14:textId="2069B1C7"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109</w:t>
            </w:r>
          </w:p>
        </w:tc>
        <w:tc>
          <w:tcPr>
            <w:tcW w:w="1217" w:type="dxa"/>
            <w:tcBorders>
              <w:top w:val="nil"/>
              <w:left w:val="nil"/>
              <w:bottom w:val="single" w:sz="4" w:space="0" w:color="auto"/>
              <w:right w:val="single" w:sz="4" w:space="0" w:color="auto"/>
            </w:tcBorders>
            <w:shd w:val="clear" w:color="auto" w:fill="auto"/>
            <w:noWrap/>
            <w:vAlign w:val="bottom"/>
            <w:hideMark/>
          </w:tcPr>
          <w:p w14:paraId="0AD373C0" w14:textId="2DCD1002"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3 188</w:t>
            </w:r>
          </w:p>
        </w:tc>
        <w:tc>
          <w:tcPr>
            <w:tcW w:w="1213" w:type="dxa"/>
            <w:tcBorders>
              <w:top w:val="nil"/>
              <w:left w:val="nil"/>
              <w:bottom w:val="single" w:sz="4" w:space="0" w:color="auto"/>
              <w:right w:val="single" w:sz="4" w:space="0" w:color="auto"/>
            </w:tcBorders>
            <w:shd w:val="clear" w:color="auto" w:fill="auto"/>
            <w:noWrap/>
            <w:vAlign w:val="bottom"/>
            <w:hideMark/>
          </w:tcPr>
          <w:p w14:paraId="6D0C555A" w14:textId="2EEBE9E7"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3 406</w:t>
            </w:r>
          </w:p>
        </w:tc>
        <w:tc>
          <w:tcPr>
            <w:tcW w:w="1260" w:type="dxa"/>
            <w:tcBorders>
              <w:top w:val="nil"/>
              <w:left w:val="nil"/>
              <w:bottom w:val="single" w:sz="4" w:space="0" w:color="auto"/>
              <w:right w:val="single" w:sz="4" w:space="0" w:color="auto"/>
            </w:tcBorders>
            <w:shd w:val="clear" w:color="auto" w:fill="auto"/>
            <w:noWrap/>
            <w:vAlign w:val="bottom"/>
            <w:hideMark/>
          </w:tcPr>
          <w:p w14:paraId="0D335E47" w14:textId="2B792035"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6 595</w:t>
            </w:r>
          </w:p>
        </w:tc>
      </w:tr>
      <w:tr w:rsidR="001E4464" w:rsidRPr="003966DC" w14:paraId="79A2A8D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37625EA" w14:textId="1D1362C6" w:rsidR="001E4464" w:rsidRPr="003966DC" w:rsidRDefault="001E4464" w:rsidP="001E446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Luxembourg</w:t>
            </w:r>
          </w:p>
        </w:tc>
        <w:tc>
          <w:tcPr>
            <w:tcW w:w="1138" w:type="dxa"/>
            <w:tcBorders>
              <w:top w:val="nil"/>
              <w:left w:val="nil"/>
              <w:bottom w:val="single" w:sz="4" w:space="0" w:color="auto"/>
              <w:right w:val="single" w:sz="4" w:space="0" w:color="auto"/>
            </w:tcBorders>
            <w:shd w:val="clear" w:color="auto" w:fill="auto"/>
            <w:vAlign w:val="bottom"/>
            <w:hideMark/>
          </w:tcPr>
          <w:p w14:paraId="7699521A" w14:textId="57DA897F"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068</w:t>
            </w:r>
          </w:p>
        </w:tc>
        <w:tc>
          <w:tcPr>
            <w:tcW w:w="2552" w:type="dxa"/>
            <w:tcBorders>
              <w:top w:val="nil"/>
              <w:left w:val="nil"/>
              <w:bottom w:val="single" w:sz="4" w:space="0" w:color="auto"/>
              <w:right w:val="single" w:sz="4" w:space="0" w:color="auto"/>
            </w:tcBorders>
            <w:shd w:val="clear" w:color="auto" w:fill="auto"/>
            <w:noWrap/>
            <w:vAlign w:val="bottom"/>
            <w:hideMark/>
          </w:tcPr>
          <w:p w14:paraId="72EFB650" w14:textId="3DDE48D7"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096</w:t>
            </w:r>
          </w:p>
        </w:tc>
        <w:tc>
          <w:tcPr>
            <w:tcW w:w="1217" w:type="dxa"/>
            <w:tcBorders>
              <w:top w:val="nil"/>
              <w:left w:val="nil"/>
              <w:bottom w:val="single" w:sz="4" w:space="0" w:color="auto"/>
              <w:right w:val="single" w:sz="4" w:space="0" w:color="auto"/>
            </w:tcBorders>
            <w:shd w:val="clear" w:color="auto" w:fill="auto"/>
            <w:noWrap/>
            <w:vAlign w:val="bottom"/>
            <w:hideMark/>
          </w:tcPr>
          <w:p w14:paraId="71321977" w14:textId="60D54A33"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2 816</w:t>
            </w:r>
          </w:p>
        </w:tc>
        <w:tc>
          <w:tcPr>
            <w:tcW w:w="1213" w:type="dxa"/>
            <w:tcBorders>
              <w:top w:val="nil"/>
              <w:left w:val="nil"/>
              <w:bottom w:val="single" w:sz="4" w:space="0" w:color="auto"/>
              <w:right w:val="single" w:sz="4" w:space="0" w:color="auto"/>
            </w:tcBorders>
            <w:shd w:val="clear" w:color="auto" w:fill="auto"/>
            <w:noWrap/>
            <w:vAlign w:val="bottom"/>
            <w:hideMark/>
          </w:tcPr>
          <w:p w14:paraId="2A07D48E" w14:textId="718C6229"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3 008</w:t>
            </w:r>
          </w:p>
        </w:tc>
        <w:tc>
          <w:tcPr>
            <w:tcW w:w="1260" w:type="dxa"/>
            <w:tcBorders>
              <w:top w:val="nil"/>
              <w:left w:val="nil"/>
              <w:bottom w:val="single" w:sz="4" w:space="0" w:color="auto"/>
              <w:right w:val="single" w:sz="4" w:space="0" w:color="auto"/>
            </w:tcBorders>
            <w:shd w:val="clear" w:color="auto" w:fill="auto"/>
            <w:noWrap/>
            <w:vAlign w:val="bottom"/>
            <w:hideMark/>
          </w:tcPr>
          <w:p w14:paraId="09721BD6" w14:textId="319EC4B8"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5 824</w:t>
            </w:r>
          </w:p>
        </w:tc>
      </w:tr>
      <w:tr w:rsidR="004F02BF" w:rsidRPr="003966DC" w14:paraId="4BAA650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8B5AA00" w14:textId="77141EA5" w:rsidR="004F02BF" w:rsidRPr="003966DC" w:rsidRDefault="004F02BF" w:rsidP="004F02B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Macédoine du Nord</w:t>
            </w:r>
          </w:p>
        </w:tc>
        <w:tc>
          <w:tcPr>
            <w:tcW w:w="1138" w:type="dxa"/>
            <w:tcBorders>
              <w:top w:val="nil"/>
              <w:left w:val="nil"/>
              <w:bottom w:val="single" w:sz="4" w:space="0" w:color="auto"/>
              <w:right w:val="single" w:sz="4" w:space="0" w:color="auto"/>
            </w:tcBorders>
            <w:shd w:val="clear" w:color="auto" w:fill="auto"/>
            <w:vAlign w:val="bottom"/>
          </w:tcPr>
          <w:p w14:paraId="5C47970B" w14:textId="122C45EF" w:rsidR="004F02BF" w:rsidRPr="003966DC" w:rsidRDefault="004F02BF" w:rsidP="004F02B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2552" w:type="dxa"/>
            <w:tcBorders>
              <w:top w:val="nil"/>
              <w:left w:val="nil"/>
              <w:bottom w:val="single" w:sz="4" w:space="0" w:color="auto"/>
              <w:right w:val="single" w:sz="4" w:space="0" w:color="auto"/>
            </w:tcBorders>
            <w:shd w:val="clear" w:color="auto" w:fill="auto"/>
            <w:noWrap/>
            <w:vAlign w:val="bottom"/>
          </w:tcPr>
          <w:p w14:paraId="417A610E" w14:textId="1EB5B4A1" w:rsidR="004F02BF" w:rsidRPr="003966DC" w:rsidRDefault="004F02BF" w:rsidP="004F02B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tcPr>
          <w:p w14:paraId="0EEA2AAF" w14:textId="27D844A4" w:rsidR="004F02BF" w:rsidRPr="003966DC" w:rsidRDefault="004F02BF" w:rsidP="004F02B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290</w:t>
            </w:r>
          </w:p>
        </w:tc>
        <w:tc>
          <w:tcPr>
            <w:tcW w:w="1213" w:type="dxa"/>
            <w:tcBorders>
              <w:top w:val="nil"/>
              <w:left w:val="nil"/>
              <w:bottom w:val="single" w:sz="4" w:space="0" w:color="auto"/>
              <w:right w:val="single" w:sz="4" w:space="0" w:color="auto"/>
            </w:tcBorders>
            <w:shd w:val="clear" w:color="auto" w:fill="auto"/>
            <w:noWrap/>
            <w:vAlign w:val="bottom"/>
          </w:tcPr>
          <w:p w14:paraId="487431D2" w14:textId="2ECE0565" w:rsidR="004F02BF" w:rsidRPr="003966DC" w:rsidRDefault="004F02BF" w:rsidP="004F02B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310</w:t>
            </w:r>
          </w:p>
        </w:tc>
        <w:tc>
          <w:tcPr>
            <w:tcW w:w="1260" w:type="dxa"/>
            <w:tcBorders>
              <w:top w:val="nil"/>
              <w:left w:val="nil"/>
              <w:bottom w:val="single" w:sz="4" w:space="0" w:color="auto"/>
              <w:right w:val="single" w:sz="4" w:space="0" w:color="auto"/>
            </w:tcBorders>
            <w:shd w:val="clear" w:color="auto" w:fill="auto"/>
            <w:noWrap/>
            <w:vAlign w:val="bottom"/>
          </w:tcPr>
          <w:p w14:paraId="2CA8329C" w14:textId="30B1C7E9" w:rsidR="004F02BF" w:rsidRPr="003966DC" w:rsidRDefault="004F02BF" w:rsidP="004F02B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600</w:t>
            </w:r>
          </w:p>
        </w:tc>
      </w:tr>
      <w:tr w:rsidR="001E4464" w:rsidRPr="003966DC" w14:paraId="241B684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0337673" w14:textId="06A56B84" w:rsidR="001E4464" w:rsidRPr="003966DC" w:rsidRDefault="001E4464" w:rsidP="001E446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Madagascar</w:t>
            </w:r>
          </w:p>
        </w:tc>
        <w:tc>
          <w:tcPr>
            <w:tcW w:w="1138" w:type="dxa"/>
            <w:tcBorders>
              <w:top w:val="nil"/>
              <w:left w:val="nil"/>
              <w:bottom w:val="single" w:sz="4" w:space="0" w:color="auto"/>
              <w:right w:val="single" w:sz="4" w:space="0" w:color="auto"/>
            </w:tcBorders>
            <w:shd w:val="clear" w:color="auto" w:fill="auto"/>
            <w:vAlign w:val="bottom"/>
            <w:hideMark/>
          </w:tcPr>
          <w:p w14:paraId="015404DB" w14:textId="7F55BAAC"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2552" w:type="dxa"/>
            <w:tcBorders>
              <w:top w:val="nil"/>
              <w:left w:val="nil"/>
              <w:bottom w:val="single" w:sz="4" w:space="0" w:color="auto"/>
              <w:right w:val="single" w:sz="4" w:space="0" w:color="auto"/>
            </w:tcBorders>
            <w:shd w:val="clear" w:color="auto" w:fill="auto"/>
            <w:noWrap/>
            <w:vAlign w:val="bottom"/>
            <w:hideMark/>
          </w:tcPr>
          <w:p w14:paraId="0F4AE867" w14:textId="43EBED90"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006</w:t>
            </w:r>
          </w:p>
        </w:tc>
        <w:tc>
          <w:tcPr>
            <w:tcW w:w="1217" w:type="dxa"/>
            <w:tcBorders>
              <w:top w:val="nil"/>
              <w:left w:val="nil"/>
              <w:bottom w:val="single" w:sz="4" w:space="0" w:color="auto"/>
              <w:right w:val="single" w:sz="4" w:space="0" w:color="auto"/>
            </w:tcBorders>
            <w:shd w:val="clear" w:color="auto" w:fill="auto"/>
            <w:noWrap/>
            <w:vAlign w:val="bottom"/>
            <w:hideMark/>
          </w:tcPr>
          <w:p w14:paraId="47C27CA7" w14:textId="5DE2B6F2"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0B34F1B8" w14:textId="2AF866E5"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0929CFF4" w14:textId="16902660"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343</w:t>
            </w:r>
          </w:p>
        </w:tc>
      </w:tr>
      <w:tr w:rsidR="001E4464" w:rsidRPr="003966DC" w14:paraId="172C58B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3664253" w14:textId="6F2F772D" w:rsidR="001E4464" w:rsidRPr="003966DC" w:rsidRDefault="001E4464" w:rsidP="001E446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Malaisie</w:t>
            </w:r>
          </w:p>
        </w:tc>
        <w:tc>
          <w:tcPr>
            <w:tcW w:w="1138" w:type="dxa"/>
            <w:tcBorders>
              <w:top w:val="nil"/>
              <w:left w:val="nil"/>
              <w:bottom w:val="single" w:sz="4" w:space="0" w:color="auto"/>
              <w:right w:val="single" w:sz="4" w:space="0" w:color="auto"/>
            </w:tcBorders>
            <w:shd w:val="clear" w:color="auto" w:fill="auto"/>
            <w:vAlign w:val="bottom"/>
            <w:hideMark/>
          </w:tcPr>
          <w:p w14:paraId="050B2832" w14:textId="6A607AD8"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348</w:t>
            </w:r>
          </w:p>
        </w:tc>
        <w:tc>
          <w:tcPr>
            <w:tcW w:w="2552" w:type="dxa"/>
            <w:tcBorders>
              <w:top w:val="nil"/>
              <w:left w:val="nil"/>
              <w:bottom w:val="single" w:sz="4" w:space="0" w:color="auto"/>
              <w:right w:val="single" w:sz="4" w:space="0" w:color="auto"/>
            </w:tcBorders>
            <w:shd w:val="clear" w:color="auto" w:fill="auto"/>
            <w:noWrap/>
            <w:vAlign w:val="bottom"/>
            <w:hideMark/>
          </w:tcPr>
          <w:p w14:paraId="1811C8EE" w14:textId="78EF501D"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491</w:t>
            </w:r>
          </w:p>
        </w:tc>
        <w:tc>
          <w:tcPr>
            <w:tcW w:w="1217" w:type="dxa"/>
            <w:tcBorders>
              <w:top w:val="nil"/>
              <w:left w:val="nil"/>
              <w:bottom w:val="single" w:sz="4" w:space="0" w:color="auto"/>
              <w:right w:val="single" w:sz="4" w:space="0" w:color="auto"/>
            </w:tcBorders>
            <w:shd w:val="clear" w:color="auto" w:fill="auto"/>
            <w:noWrap/>
            <w:vAlign w:val="bottom"/>
            <w:hideMark/>
          </w:tcPr>
          <w:p w14:paraId="7D55FFDD" w14:textId="32ED8A35"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14 410</w:t>
            </w:r>
          </w:p>
        </w:tc>
        <w:tc>
          <w:tcPr>
            <w:tcW w:w="1213" w:type="dxa"/>
            <w:tcBorders>
              <w:top w:val="nil"/>
              <w:left w:val="nil"/>
              <w:bottom w:val="single" w:sz="4" w:space="0" w:color="auto"/>
              <w:right w:val="single" w:sz="4" w:space="0" w:color="auto"/>
            </w:tcBorders>
            <w:shd w:val="clear" w:color="auto" w:fill="auto"/>
            <w:noWrap/>
            <w:vAlign w:val="bottom"/>
            <w:hideMark/>
          </w:tcPr>
          <w:p w14:paraId="6745C455" w14:textId="5DDBD20B"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15 396</w:t>
            </w:r>
          </w:p>
        </w:tc>
        <w:tc>
          <w:tcPr>
            <w:tcW w:w="1260" w:type="dxa"/>
            <w:tcBorders>
              <w:top w:val="nil"/>
              <w:left w:val="nil"/>
              <w:bottom w:val="single" w:sz="4" w:space="0" w:color="auto"/>
              <w:right w:val="single" w:sz="4" w:space="0" w:color="auto"/>
            </w:tcBorders>
            <w:shd w:val="clear" w:color="auto" w:fill="auto"/>
            <w:noWrap/>
            <w:vAlign w:val="bottom"/>
            <w:hideMark/>
          </w:tcPr>
          <w:p w14:paraId="7A89E53D" w14:textId="5515D214"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29 805</w:t>
            </w:r>
          </w:p>
        </w:tc>
      </w:tr>
      <w:tr w:rsidR="00AC4786" w:rsidRPr="003966DC" w14:paraId="3ADDFDC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75BBC27B" w14:textId="1919B856" w:rsidR="00AC4786" w:rsidRPr="003966DC" w:rsidRDefault="00AC4786" w:rsidP="00AC4786">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lastRenderedPageBreak/>
              <w:t>Malawi</w:t>
            </w:r>
          </w:p>
        </w:tc>
        <w:tc>
          <w:tcPr>
            <w:tcW w:w="1138" w:type="dxa"/>
            <w:tcBorders>
              <w:top w:val="nil"/>
              <w:left w:val="nil"/>
              <w:bottom w:val="single" w:sz="4" w:space="0" w:color="auto"/>
              <w:right w:val="single" w:sz="4" w:space="0" w:color="auto"/>
            </w:tcBorders>
            <w:shd w:val="clear" w:color="auto" w:fill="auto"/>
            <w:vAlign w:val="bottom"/>
          </w:tcPr>
          <w:p w14:paraId="3F20D914" w14:textId="5687404E" w:rsidR="00AC4786" w:rsidRPr="003966DC" w:rsidRDefault="00AC4786" w:rsidP="00AC478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002</w:t>
            </w:r>
          </w:p>
        </w:tc>
        <w:tc>
          <w:tcPr>
            <w:tcW w:w="2552" w:type="dxa"/>
            <w:tcBorders>
              <w:top w:val="nil"/>
              <w:left w:val="nil"/>
              <w:bottom w:val="single" w:sz="4" w:space="0" w:color="auto"/>
              <w:right w:val="single" w:sz="4" w:space="0" w:color="auto"/>
            </w:tcBorders>
            <w:shd w:val="clear" w:color="auto" w:fill="auto"/>
            <w:noWrap/>
            <w:vAlign w:val="bottom"/>
          </w:tcPr>
          <w:p w14:paraId="6A34996C" w14:textId="21E81227" w:rsidR="00AC4786" w:rsidRPr="003966DC" w:rsidRDefault="00AC4786" w:rsidP="00AC478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1217" w:type="dxa"/>
            <w:tcBorders>
              <w:top w:val="nil"/>
              <w:left w:val="nil"/>
              <w:bottom w:val="single" w:sz="4" w:space="0" w:color="auto"/>
              <w:right w:val="single" w:sz="4" w:space="0" w:color="auto"/>
            </w:tcBorders>
            <w:shd w:val="clear" w:color="auto" w:fill="auto"/>
            <w:noWrap/>
            <w:vAlign w:val="bottom"/>
          </w:tcPr>
          <w:p w14:paraId="7EEEB72C" w14:textId="0E1E362F" w:rsidR="00AC4786" w:rsidRPr="003966DC" w:rsidRDefault="00AC4786" w:rsidP="00AC478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83</w:t>
            </w:r>
          </w:p>
        </w:tc>
        <w:tc>
          <w:tcPr>
            <w:tcW w:w="1213" w:type="dxa"/>
            <w:tcBorders>
              <w:top w:val="nil"/>
              <w:left w:val="nil"/>
              <w:bottom w:val="single" w:sz="4" w:space="0" w:color="auto"/>
              <w:right w:val="single" w:sz="4" w:space="0" w:color="auto"/>
            </w:tcBorders>
            <w:shd w:val="clear" w:color="auto" w:fill="auto"/>
            <w:noWrap/>
            <w:vAlign w:val="bottom"/>
          </w:tcPr>
          <w:p w14:paraId="26F60540" w14:textId="38116EFC" w:rsidR="00AC4786" w:rsidRPr="003966DC" w:rsidRDefault="00AC4786" w:rsidP="00AC478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88</w:t>
            </w:r>
          </w:p>
        </w:tc>
        <w:tc>
          <w:tcPr>
            <w:tcW w:w="1260" w:type="dxa"/>
            <w:tcBorders>
              <w:top w:val="nil"/>
              <w:left w:val="nil"/>
              <w:bottom w:val="single" w:sz="4" w:space="0" w:color="auto"/>
              <w:right w:val="single" w:sz="4" w:space="0" w:color="auto"/>
            </w:tcBorders>
            <w:shd w:val="clear" w:color="auto" w:fill="auto"/>
            <w:noWrap/>
            <w:vAlign w:val="bottom"/>
          </w:tcPr>
          <w:p w14:paraId="4734423D" w14:textId="0FDB7F15" w:rsidR="00AC4786" w:rsidRPr="003966DC" w:rsidRDefault="00AC4786" w:rsidP="00AC478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171</w:t>
            </w:r>
          </w:p>
        </w:tc>
      </w:tr>
      <w:tr w:rsidR="001E4464" w:rsidRPr="003966DC" w14:paraId="342C469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B54FCA4" w14:textId="7F4E0BCB" w:rsidR="001E4464" w:rsidRPr="003966DC" w:rsidRDefault="001E4464" w:rsidP="001E446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Maldives</w:t>
            </w:r>
          </w:p>
        </w:tc>
        <w:tc>
          <w:tcPr>
            <w:tcW w:w="1138" w:type="dxa"/>
            <w:tcBorders>
              <w:top w:val="nil"/>
              <w:left w:val="nil"/>
              <w:bottom w:val="single" w:sz="4" w:space="0" w:color="auto"/>
              <w:right w:val="single" w:sz="4" w:space="0" w:color="auto"/>
            </w:tcBorders>
            <w:shd w:val="clear" w:color="auto" w:fill="auto"/>
            <w:vAlign w:val="bottom"/>
            <w:hideMark/>
          </w:tcPr>
          <w:p w14:paraId="266CD8FA" w14:textId="14910647"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2552" w:type="dxa"/>
            <w:tcBorders>
              <w:top w:val="nil"/>
              <w:left w:val="nil"/>
              <w:bottom w:val="single" w:sz="4" w:space="0" w:color="auto"/>
              <w:right w:val="single" w:sz="4" w:space="0" w:color="auto"/>
            </w:tcBorders>
            <w:shd w:val="clear" w:color="auto" w:fill="auto"/>
            <w:noWrap/>
            <w:vAlign w:val="bottom"/>
            <w:hideMark/>
          </w:tcPr>
          <w:p w14:paraId="38CCA78B" w14:textId="1EF1E9C3"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006</w:t>
            </w:r>
          </w:p>
        </w:tc>
        <w:tc>
          <w:tcPr>
            <w:tcW w:w="1217" w:type="dxa"/>
            <w:tcBorders>
              <w:top w:val="nil"/>
              <w:left w:val="nil"/>
              <w:bottom w:val="single" w:sz="4" w:space="0" w:color="auto"/>
              <w:right w:val="single" w:sz="4" w:space="0" w:color="auto"/>
            </w:tcBorders>
            <w:shd w:val="clear" w:color="auto" w:fill="auto"/>
            <w:noWrap/>
            <w:vAlign w:val="bottom"/>
            <w:hideMark/>
          </w:tcPr>
          <w:p w14:paraId="1E44463B" w14:textId="1A3879A3"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3C470AE5" w14:textId="0B2980CB"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0C79B548" w14:textId="523E9B66"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343</w:t>
            </w:r>
          </w:p>
        </w:tc>
      </w:tr>
      <w:tr w:rsidR="001E4464" w:rsidRPr="003966DC" w14:paraId="221C24B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19C50D1" w14:textId="302E0168" w:rsidR="001E4464" w:rsidRPr="003966DC" w:rsidRDefault="001E4464" w:rsidP="001E446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Mali</w:t>
            </w:r>
          </w:p>
        </w:tc>
        <w:tc>
          <w:tcPr>
            <w:tcW w:w="1138" w:type="dxa"/>
            <w:tcBorders>
              <w:top w:val="nil"/>
              <w:left w:val="nil"/>
              <w:bottom w:val="single" w:sz="4" w:space="0" w:color="auto"/>
              <w:right w:val="single" w:sz="4" w:space="0" w:color="auto"/>
            </w:tcBorders>
            <w:shd w:val="clear" w:color="auto" w:fill="auto"/>
            <w:vAlign w:val="bottom"/>
            <w:hideMark/>
          </w:tcPr>
          <w:p w14:paraId="04D52C7C" w14:textId="6F16F92C"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005</w:t>
            </w:r>
          </w:p>
        </w:tc>
        <w:tc>
          <w:tcPr>
            <w:tcW w:w="2552" w:type="dxa"/>
            <w:tcBorders>
              <w:top w:val="nil"/>
              <w:left w:val="nil"/>
              <w:bottom w:val="single" w:sz="4" w:space="0" w:color="auto"/>
              <w:right w:val="single" w:sz="4" w:space="0" w:color="auto"/>
            </w:tcBorders>
            <w:shd w:val="clear" w:color="auto" w:fill="auto"/>
            <w:noWrap/>
            <w:vAlign w:val="bottom"/>
            <w:hideMark/>
          </w:tcPr>
          <w:p w14:paraId="01183A43" w14:textId="4D30F853"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1217" w:type="dxa"/>
            <w:tcBorders>
              <w:top w:val="nil"/>
              <w:left w:val="nil"/>
              <w:bottom w:val="single" w:sz="4" w:space="0" w:color="auto"/>
              <w:right w:val="single" w:sz="4" w:space="0" w:color="auto"/>
            </w:tcBorders>
            <w:shd w:val="clear" w:color="auto" w:fill="auto"/>
            <w:noWrap/>
            <w:vAlign w:val="bottom"/>
            <w:hideMark/>
          </w:tcPr>
          <w:p w14:paraId="197FCC12" w14:textId="1D91E560"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56C49D10" w14:textId="43A1E48C"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4FCA61F0" w14:textId="34C99CF0"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428</w:t>
            </w:r>
          </w:p>
        </w:tc>
      </w:tr>
      <w:tr w:rsidR="001E4464" w:rsidRPr="003966DC" w14:paraId="4BEB78E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CB9ED08" w14:textId="34F756A5" w:rsidR="001E4464" w:rsidRPr="003966DC" w:rsidRDefault="001E4464" w:rsidP="001E446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Malte</w:t>
            </w:r>
          </w:p>
        </w:tc>
        <w:tc>
          <w:tcPr>
            <w:tcW w:w="1138" w:type="dxa"/>
            <w:tcBorders>
              <w:top w:val="nil"/>
              <w:left w:val="nil"/>
              <w:bottom w:val="single" w:sz="4" w:space="0" w:color="auto"/>
              <w:right w:val="single" w:sz="4" w:space="0" w:color="auto"/>
            </w:tcBorders>
            <w:shd w:val="clear" w:color="auto" w:fill="auto"/>
            <w:vAlign w:val="bottom"/>
            <w:hideMark/>
          </w:tcPr>
          <w:p w14:paraId="73C7103D" w14:textId="7CD1D551"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019</w:t>
            </w:r>
          </w:p>
        </w:tc>
        <w:tc>
          <w:tcPr>
            <w:tcW w:w="2552" w:type="dxa"/>
            <w:tcBorders>
              <w:top w:val="nil"/>
              <w:left w:val="nil"/>
              <w:bottom w:val="single" w:sz="4" w:space="0" w:color="auto"/>
              <w:right w:val="single" w:sz="4" w:space="0" w:color="auto"/>
            </w:tcBorders>
            <w:shd w:val="clear" w:color="auto" w:fill="auto"/>
            <w:noWrap/>
            <w:vAlign w:val="bottom"/>
            <w:hideMark/>
          </w:tcPr>
          <w:p w14:paraId="36C6E72D" w14:textId="0204627D"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027</w:t>
            </w:r>
          </w:p>
        </w:tc>
        <w:tc>
          <w:tcPr>
            <w:tcW w:w="1217" w:type="dxa"/>
            <w:tcBorders>
              <w:top w:val="nil"/>
              <w:left w:val="nil"/>
              <w:bottom w:val="single" w:sz="4" w:space="0" w:color="auto"/>
              <w:right w:val="single" w:sz="4" w:space="0" w:color="auto"/>
            </w:tcBorders>
            <w:shd w:val="clear" w:color="auto" w:fill="auto"/>
            <w:noWrap/>
            <w:vAlign w:val="bottom"/>
            <w:hideMark/>
          </w:tcPr>
          <w:p w14:paraId="079F7C4C" w14:textId="3BBA7889"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0C702603" w14:textId="000445DE"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456EEF9F" w14:textId="41291A30"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1 627</w:t>
            </w:r>
          </w:p>
        </w:tc>
      </w:tr>
      <w:tr w:rsidR="00F16735" w:rsidRPr="003966DC" w14:paraId="0E37390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5F117D99" w14:textId="53B23383" w:rsidR="00F16735" w:rsidRPr="003966DC" w:rsidRDefault="00F16735" w:rsidP="00F16735">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Maroc</w:t>
            </w:r>
          </w:p>
        </w:tc>
        <w:tc>
          <w:tcPr>
            <w:tcW w:w="1138" w:type="dxa"/>
            <w:tcBorders>
              <w:top w:val="nil"/>
              <w:left w:val="nil"/>
              <w:bottom w:val="single" w:sz="4" w:space="0" w:color="auto"/>
              <w:right w:val="single" w:sz="4" w:space="0" w:color="auto"/>
            </w:tcBorders>
            <w:shd w:val="clear" w:color="auto" w:fill="auto"/>
            <w:vAlign w:val="bottom"/>
          </w:tcPr>
          <w:p w14:paraId="3D0C2F99" w14:textId="0CECFE58" w:rsidR="00F16735" w:rsidRPr="003966DC" w:rsidRDefault="00F16735" w:rsidP="00F1673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055</w:t>
            </w:r>
          </w:p>
        </w:tc>
        <w:tc>
          <w:tcPr>
            <w:tcW w:w="2552" w:type="dxa"/>
            <w:tcBorders>
              <w:top w:val="nil"/>
              <w:left w:val="nil"/>
              <w:bottom w:val="single" w:sz="4" w:space="0" w:color="auto"/>
              <w:right w:val="single" w:sz="4" w:space="0" w:color="auto"/>
            </w:tcBorders>
            <w:shd w:val="clear" w:color="auto" w:fill="auto"/>
            <w:noWrap/>
            <w:vAlign w:val="bottom"/>
          </w:tcPr>
          <w:p w14:paraId="178AD255" w14:textId="6CBF35D7" w:rsidR="00F16735" w:rsidRPr="003966DC" w:rsidRDefault="00F16735" w:rsidP="00F1673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078</w:t>
            </w:r>
          </w:p>
        </w:tc>
        <w:tc>
          <w:tcPr>
            <w:tcW w:w="1217" w:type="dxa"/>
            <w:tcBorders>
              <w:top w:val="nil"/>
              <w:left w:val="nil"/>
              <w:bottom w:val="single" w:sz="4" w:space="0" w:color="auto"/>
              <w:right w:val="single" w:sz="4" w:space="0" w:color="auto"/>
            </w:tcBorders>
            <w:shd w:val="clear" w:color="auto" w:fill="auto"/>
            <w:noWrap/>
            <w:vAlign w:val="bottom"/>
          </w:tcPr>
          <w:p w14:paraId="43B3C0E0" w14:textId="50DF9407" w:rsidR="00F16735" w:rsidRPr="003966DC" w:rsidRDefault="00F16735" w:rsidP="00F1673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2 277</w:t>
            </w:r>
          </w:p>
        </w:tc>
        <w:tc>
          <w:tcPr>
            <w:tcW w:w="1213" w:type="dxa"/>
            <w:tcBorders>
              <w:top w:val="nil"/>
              <w:left w:val="nil"/>
              <w:bottom w:val="single" w:sz="4" w:space="0" w:color="auto"/>
              <w:right w:val="single" w:sz="4" w:space="0" w:color="auto"/>
            </w:tcBorders>
            <w:shd w:val="clear" w:color="auto" w:fill="auto"/>
            <w:noWrap/>
            <w:vAlign w:val="bottom"/>
          </w:tcPr>
          <w:p w14:paraId="61FB1B7A" w14:textId="2C3EC07D" w:rsidR="00F16735" w:rsidRPr="003966DC" w:rsidRDefault="00F16735" w:rsidP="00F1673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2 433</w:t>
            </w:r>
          </w:p>
        </w:tc>
        <w:tc>
          <w:tcPr>
            <w:tcW w:w="1260" w:type="dxa"/>
            <w:tcBorders>
              <w:top w:val="nil"/>
              <w:left w:val="nil"/>
              <w:bottom w:val="single" w:sz="4" w:space="0" w:color="auto"/>
              <w:right w:val="single" w:sz="4" w:space="0" w:color="auto"/>
            </w:tcBorders>
            <w:shd w:val="clear" w:color="auto" w:fill="auto"/>
            <w:noWrap/>
            <w:vAlign w:val="bottom"/>
          </w:tcPr>
          <w:p w14:paraId="795A09CF" w14:textId="7E6B3D1E" w:rsidR="00F16735" w:rsidRPr="003966DC" w:rsidRDefault="00F16735" w:rsidP="00F1673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4 711</w:t>
            </w:r>
          </w:p>
        </w:tc>
      </w:tr>
      <w:tr w:rsidR="0070053D" w:rsidRPr="003966DC" w14:paraId="6DE0824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04E560BE" w14:textId="77C8F010" w:rsidR="0070053D" w:rsidRPr="003966DC" w:rsidRDefault="0070053D" w:rsidP="0070053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Maurice</w:t>
            </w:r>
          </w:p>
        </w:tc>
        <w:tc>
          <w:tcPr>
            <w:tcW w:w="1138" w:type="dxa"/>
            <w:tcBorders>
              <w:top w:val="nil"/>
              <w:left w:val="nil"/>
              <w:bottom w:val="single" w:sz="4" w:space="0" w:color="auto"/>
              <w:right w:val="single" w:sz="4" w:space="0" w:color="auto"/>
            </w:tcBorders>
            <w:shd w:val="clear" w:color="auto" w:fill="auto"/>
            <w:vAlign w:val="bottom"/>
          </w:tcPr>
          <w:p w14:paraId="6EBCFBDD" w14:textId="454EBD85" w:rsidR="0070053D" w:rsidRPr="003966DC" w:rsidRDefault="0070053D" w:rsidP="0070053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019</w:t>
            </w:r>
          </w:p>
        </w:tc>
        <w:tc>
          <w:tcPr>
            <w:tcW w:w="2552" w:type="dxa"/>
            <w:tcBorders>
              <w:top w:val="nil"/>
              <w:left w:val="nil"/>
              <w:bottom w:val="single" w:sz="4" w:space="0" w:color="auto"/>
              <w:right w:val="single" w:sz="4" w:space="0" w:color="auto"/>
            </w:tcBorders>
            <w:shd w:val="clear" w:color="auto" w:fill="auto"/>
            <w:noWrap/>
            <w:vAlign w:val="bottom"/>
          </w:tcPr>
          <w:p w14:paraId="631738E1" w14:textId="61F2E99E" w:rsidR="0070053D" w:rsidRPr="003966DC" w:rsidRDefault="0070053D" w:rsidP="0070053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027</w:t>
            </w:r>
          </w:p>
        </w:tc>
        <w:tc>
          <w:tcPr>
            <w:tcW w:w="1217" w:type="dxa"/>
            <w:tcBorders>
              <w:top w:val="nil"/>
              <w:left w:val="nil"/>
              <w:bottom w:val="single" w:sz="4" w:space="0" w:color="auto"/>
              <w:right w:val="single" w:sz="4" w:space="0" w:color="auto"/>
            </w:tcBorders>
            <w:shd w:val="clear" w:color="auto" w:fill="auto"/>
            <w:noWrap/>
            <w:vAlign w:val="bottom"/>
          </w:tcPr>
          <w:p w14:paraId="0CEE09A6" w14:textId="7C707DD2" w:rsidR="0070053D" w:rsidRPr="003966DC" w:rsidRDefault="0070053D" w:rsidP="0070053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787</w:t>
            </w:r>
          </w:p>
        </w:tc>
        <w:tc>
          <w:tcPr>
            <w:tcW w:w="1213" w:type="dxa"/>
            <w:tcBorders>
              <w:top w:val="nil"/>
              <w:left w:val="nil"/>
              <w:bottom w:val="single" w:sz="4" w:space="0" w:color="auto"/>
              <w:right w:val="single" w:sz="4" w:space="0" w:color="auto"/>
            </w:tcBorders>
            <w:shd w:val="clear" w:color="auto" w:fill="auto"/>
            <w:noWrap/>
            <w:vAlign w:val="bottom"/>
          </w:tcPr>
          <w:p w14:paraId="22F4ED17" w14:textId="0297D0F0" w:rsidR="0070053D" w:rsidRPr="003966DC" w:rsidRDefault="0070053D" w:rsidP="0070053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841</w:t>
            </w:r>
          </w:p>
        </w:tc>
        <w:tc>
          <w:tcPr>
            <w:tcW w:w="1260" w:type="dxa"/>
            <w:tcBorders>
              <w:top w:val="nil"/>
              <w:left w:val="nil"/>
              <w:bottom w:val="single" w:sz="4" w:space="0" w:color="auto"/>
              <w:right w:val="single" w:sz="4" w:space="0" w:color="auto"/>
            </w:tcBorders>
            <w:shd w:val="clear" w:color="auto" w:fill="auto"/>
            <w:noWrap/>
            <w:vAlign w:val="bottom"/>
          </w:tcPr>
          <w:p w14:paraId="29383F48" w14:textId="15372D2E" w:rsidR="0070053D" w:rsidRPr="003966DC" w:rsidRDefault="0070053D" w:rsidP="0070053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1 627</w:t>
            </w:r>
          </w:p>
        </w:tc>
      </w:tr>
      <w:tr w:rsidR="001E4464" w:rsidRPr="003966DC" w14:paraId="67C37D8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3477857" w14:textId="551DEBF4" w:rsidR="001E4464" w:rsidRPr="003966DC" w:rsidRDefault="001E4464" w:rsidP="001E446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Mauritanie</w:t>
            </w:r>
          </w:p>
        </w:tc>
        <w:tc>
          <w:tcPr>
            <w:tcW w:w="1138" w:type="dxa"/>
            <w:tcBorders>
              <w:top w:val="nil"/>
              <w:left w:val="nil"/>
              <w:bottom w:val="single" w:sz="4" w:space="0" w:color="auto"/>
              <w:right w:val="single" w:sz="4" w:space="0" w:color="auto"/>
            </w:tcBorders>
            <w:shd w:val="clear" w:color="auto" w:fill="auto"/>
            <w:vAlign w:val="bottom"/>
            <w:hideMark/>
          </w:tcPr>
          <w:p w14:paraId="17E0911A" w14:textId="79E35DA7"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002</w:t>
            </w:r>
          </w:p>
        </w:tc>
        <w:tc>
          <w:tcPr>
            <w:tcW w:w="2552" w:type="dxa"/>
            <w:tcBorders>
              <w:top w:val="nil"/>
              <w:left w:val="nil"/>
              <w:bottom w:val="single" w:sz="4" w:space="0" w:color="auto"/>
              <w:right w:val="single" w:sz="4" w:space="0" w:color="auto"/>
            </w:tcBorders>
            <w:shd w:val="clear" w:color="auto" w:fill="auto"/>
            <w:noWrap/>
            <w:vAlign w:val="bottom"/>
            <w:hideMark/>
          </w:tcPr>
          <w:p w14:paraId="1D2B50B7" w14:textId="1062A080"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1217" w:type="dxa"/>
            <w:tcBorders>
              <w:top w:val="nil"/>
              <w:left w:val="nil"/>
              <w:bottom w:val="single" w:sz="4" w:space="0" w:color="auto"/>
              <w:right w:val="single" w:sz="4" w:space="0" w:color="auto"/>
            </w:tcBorders>
            <w:shd w:val="clear" w:color="auto" w:fill="auto"/>
            <w:noWrap/>
            <w:vAlign w:val="bottom"/>
            <w:hideMark/>
          </w:tcPr>
          <w:p w14:paraId="21C42DC9" w14:textId="4B1C07E7"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7E1D3F6C" w14:textId="6AD6F74B"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43171668" w14:textId="53D9DD66" w:rsidR="001E4464" w:rsidRPr="003966DC" w:rsidRDefault="001E4464" w:rsidP="001E446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171</w:t>
            </w:r>
          </w:p>
        </w:tc>
      </w:tr>
      <w:tr w:rsidR="009D5E1D" w:rsidRPr="003966DC" w14:paraId="14C2C82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EA62A90" w14:textId="3508FCF3" w:rsidR="009D5E1D" w:rsidRPr="003966DC" w:rsidRDefault="009D5E1D" w:rsidP="009D5E1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Mexique</w:t>
            </w:r>
          </w:p>
        </w:tc>
        <w:tc>
          <w:tcPr>
            <w:tcW w:w="1138" w:type="dxa"/>
            <w:tcBorders>
              <w:top w:val="nil"/>
              <w:left w:val="nil"/>
              <w:bottom w:val="single" w:sz="4" w:space="0" w:color="auto"/>
              <w:right w:val="single" w:sz="4" w:space="0" w:color="auto"/>
            </w:tcBorders>
            <w:shd w:val="clear" w:color="auto" w:fill="auto"/>
            <w:vAlign w:val="bottom"/>
            <w:hideMark/>
          </w:tcPr>
          <w:p w14:paraId="67BB9819" w14:textId="4193E4C6"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221</w:t>
            </w:r>
          </w:p>
        </w:tc>
        <w:tc>
          <w:tcPr>
            <w:tcW w:w="2552" w:type="dxa"/>
            <w:tcBorders>
              <w:top w:val="nil"/>
              <w:left w:val="nil"/>
              <w:bottom w:val="single" w:sz="4" w:space="0" w:color="auto"/>
              <w:right w:val="single" w:sz="4" w:space="0" w:color="auto"/>
            </w:tcBorders>
            <w:shd w:val="clear" w:color="auto" w:fill="auto"/>
            <w:noWrap/>
            <w:vAlign w:val="bottom"/>
            <w:hideMark/>
          </w:tcPr>
          <w:p w14:paraId="22C6E35B" w14:textId="10B5D8C9"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724</w:t>
            </w:r>
          </w:p>
        </w:tc>
        <w:tc>
          <w:tcPr>
            <w:tcW w:w="1217" w:type="dxa"/>
            <w:tcBorders>
              <w:top w:val="nil"/>
              <w:left w:val="nil"/>
              <w:bottom w:val="single" w:sz="4" w:space="0" w:color="auto"/>
              <w:right w:val="single" w:sz="4" w:space="0" w:color="auto"/>
            </w:tcBorders>
            <w:shd w:val="clear" w:color="auto" w:fill="auto"/>
            <w:noWrap/>
            <w:vAlign w:val="bottom"/>
            <w:hideMark/>
          </w:tcPr>
          <w:p w14:paraId="430CDF98" w14:textId="5375D315"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50 558</w:t>
            </w:r>
          </w:p>
        </w:tc>
        <w:tc>
          <w:tcPr>
            <w:tcW w:w="1213" w:type="dxa"/>
            <w:tcBorders>
              <w:top w:val="nil"/>
              <w:left w:val="nil"/>
              <w:bottom w:val="single" w:sz="4" w:space="0" w:color="auto"/>
              <w:right w:val="single" w:sz="4" w:space="0" w:color="auto"/>
            </w:tcBorders>
            <w:shd w:val="clear" w:color="auto" w:fill="auto"/>
            <w:noWrap/>
            <w:vAlign w:val="bottom"/>
            <w:hideMark/>
          </w:tcPr>
          <w:p w14:paraId="5FEA9346" w14:textId="6A2FBAFF"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54 017</w:t>
            </w:r>
          </w:p>
        </w:tc>
        <w:tc>
          <w:tcPr>
            <w:tcW w:w="1260" w:type="dxa"/>
            <w:tcBorders>
              <w:top w:val="nil"/>
              <w:left w:val="nil"/>
              <w:bottom w:val="single" w:sz="4" w:space="0" w:color="auto"/>
              <w:right w:val="single" w:sz="4" w:space="0" w:color="auto"/>
            </w:tcBorders>
            <w:shd w:val="clear" w:color="auto" w:fill="auto"/>
            <w:noWrap/>
            <w:vAlign w:val="bottom"/>
            <w:hideMark/>
          </w:tcPr>
          <w:p w14:paraId="4520C217" w14:textId="4425B7D5"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104 575</w:t>
            </w:r>
          </w:p>
        </w:tc>
      </w:tr>
      <w:tr w:rsidR="009D5E1D" w:rsidRPr="003966DC" w14:paraId="588A77CE"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F84FA7A" w14:textId="12578C8B" w:rsidR="009D5E1D" w:rsidRPr="003966DC" w:rsidRDefault="009D5E1D" w:rsidP="009D5E1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Mongolie</w:t>
            </w:r>
          </w:p>
        </w:tc>
        <w:tc>
          <w:tcPr>
            <w:tcW w:w="1138" w:type="dxa"/>
            <w:tcBorders>
              <w:top w:val="nil"/>
              <w:left w:val="nil"/>
              <w:bottom w:val="single" w:sz="4" w:space="0" w:color="auto"/>
              <w:right w:val="single" w:sz="4" w:space="0" w:color="auto"/>
            </w:tcBorders>
            <w:shd w:val="clear" w:color="auto" w:fill="auto"/>
            <w:vAlign w:val="bottom"/>
            <w:hideMark/>
          </w:tcPr>
          <w:p w14:paraId="7B89D549" w14:textId="5E7180C7"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2552" w:type="dxa"/>
            <w:tcBorders>
              <w:top w:val="nil"/>
              <w:left w:val="nil"/>
              <w:bottom w:val="single" w:sz="4" w:space="0" w:color="auto"/>
              <w:right w:val="single" w:sz="4" w:space="0" w:color="auto"/>
            </w:tcBorders>
            <w:shd w:val="clear" w:color="auto" w:fill="auto"/>
            <w:noWrap/>
            <w:vAlign w:val="bottom"/>
            <w:hideMark/>
          </w:tcPr>
          <w:p w14:paraId="71C84FD9" w14:textId="44CE6275"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006</w:t>
            </w:r>
          </w:p>
        </w:tc>
        <w:tc>
          <w:tcPr>
            <w:tcW w:w="1217" w:type="dxa"/>
            <w:tcBorders>
              <w:top w:val="nil"/>
              <w:left w:val="nil"/>
              <w:bottom w:val="single" w:sz="4" w:space="0" w:color="auto"/>
              <w:right w:val="single" w:sz="4" w:space="0" w:color="auto"/>
            </w:tcBorders>
            <w:shd w:val="clear" w:color="auto" w:fill="auto"/>
            <w:noWrap/>
            <w:vAlign w:val="bottom"/>
            <w:hideMark/>
          </w:tcPr>
          <w:p w14:paraId="2CAC1B43" w14:textId="25F30C2F"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619EB4AD" w14:textId="1231E25E"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20863ACC" w14:textId="1EC5EF77"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343</w:t>
            </w:r>
          </w:p>
        </w:tc>
      </w:tr>
      <w:tr w:rsidR="009D5E1D" w:rsidRPr="003966DC" w14:paraId="3A3DD30E"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322EF8E" w14:textId="7074373E" w:rsidR="009D5E1D" w:rsidRPr="003966DC" w:rsidRDefault="009D5E1D" w:rsidP="009D5E1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Monténégro</w:t>
            </w:r>
          </w:p>
        </w:tc>
        <w:tc>
          <w:tcPr>
            <w:tcW w:w="1138" w:type="dxa"/>
            <w:tcBorders>
              <w:top w:val="nil"/>
              <w:left w:val="nil"/>
              <w:bottom w:val="single" w:sz="4" w:space="0" w:color="auto"/>
              <w:right w:val="single" w:sz="4" w:space="0" w:color="auto"/>
            </w:tcBorders>
            <w:shd w:val="clear" w:color="auto" w:fill="auto"/>
            <w:vAlign w:val="bottom"/>
            <w:hideMark/>
          </w:tcPr>
          <w:p w14:paraId="7E4CECA1" w14:textId="7CA6D006"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2552" w:type="dxa"/>
            <w:tcBorders>
              <w:top w:val="nil"/>
              <w:left w:val="nil"/>
              <w:bottom w:val="single" w:sz="4" w:space="0" w:color="auto"/>
              <w:right w:val="single" w:sz="4" w:space="0" w:color="auto"/>
            </w:tcBorders>
            <w:shd w:val="clear" w:color="auto" w:fill="auto"/>
            <w:noWrap/>
            <w:vAlign w:val="bottom"/>
            <w:hideMark/>
          </w:tcPr>
          <w:p w14:paraId="681ED8B8" w14:textId="3251A7E7"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006</w:t>
            </w:r>
          </w:p>
        </w:tc>
        <w:tc>
          <w:tcPr>
            <w:tcW w:w="1217" w:type="dxa"/>
            <w:tcBorders>
              <w:top w:val="nil"/>
              <w:left w:val="nil"/>
              <w:bottom w:val="single" w:sz="4" w:space="0" w:color="auto"/>
              <w:right w:val="single" w:sz="4" w:space="0" w:color="auto"/>
            </w:tcBorders>
            <w:shd w:val="clear" w:color="auto" w:fill="auto"/>
            <w:noWrap/>
            <w:vAlign w:val="bottom"/>
            <w:hideMark/>
          </w:tcPr>
          <w:p w14:paraId="026CEAFB" w14:textId="2FD92DC3"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277F5462" w14:textId="33967B59"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5AD50C18" w14:textId="2F06DB47"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343</w:t>
            </w:r>
          </w:p>
        </w:tc>
      </w:tr>
      <w:tr w:rsidR="009D5E1D" w:rsidRPr="003966DC" w14:paraId="2770DFC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E029AB4" w14:textId="6EBB41E6" w:rsidR="009D5E1D" w:rsidRPr="003966DC" w:rsidRDefault="009D5E1D" w:rsidP="009D5E1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Mozambique</w:t>
            </w:r>
          </w:p>
        </w:tc>
        <w:tc>
          <w:tcPr>
            <w:tcW w:w="1138" w:type="dxa"/>
            <w:tcBorders>
              <w:top w:val="nil"/>
              <w:left w:val="nil"/>
              <w:bottom w:val="single" w:sz="4" w:space="0" w:color="auto"/>
              <w:right w:val="single" w:sz="4" w:space="0" w:color="auto"/>
            </w:tcBorders>
            <w:shd w:val="clear" w:color="auto" w:fill="auto"/>
            <w:vAlign w:val="bottom"/>
            <w:hideMark/>
          </w:tcPr>
          <w:p w14:paraId="24F5DF9B" w14:textId="6A53DFD4"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2552" w:type="dxa"/>
            <w:tcBorders>
              <w:top w:val="nil"/>
              <w:left w:val="nil"/>
              <w:bottom w:val="single" w:sz="4" w:space="0" w:color="auto"/>
              <w:right w:val="single" w:sz="4" w:space="0" w:color="auto"/>
            </w:tcBorders>
            <w:shd w:val="clear" w:color="auto" w:fill="auto"/>
            <w:noWrap/>
            <w:vAlign w:val="bottom"/>
            <w:hideMark/>
          </w:tcPr>
          <w:p w14:paraId="07900C96" w14:textId="648A7237"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006</w:t>
            </w:r>
          </w:p>
        </w:tc>
        <w:tc>
          <w:tcPr>
            <w:tcW w:w="1217" w:type="dxa"/>
            <w:tcBorders>
              <w:top w:val="nil"/>
              <w:left w:val="nil"/>
              <w:bottom w:val="single" w:sz="4" w:space="0" w:color="auto"/>
              <w:right w:val="single" w:sz="4" w:space="0" w:color="auto"/>
            </w:tcBorders>
            <w:shd w:val="clear" w:color="auto" w:fill="auto"/>
            <w:noWrap/>
            <w:vAlign w:val="bottom"/>
            <w:hideMark/>
          </w:tcPr>
          <w:p w14:paraId="3C3F90B6" w14:textId="3ADABBCF"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6D9F7520" w14:textId="32C1D45E"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195D32C1" w14:textId="50FCEDD8"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343</w:t>
            </w:r>
          </w:p>
        </w:tc>
      </w:tr>
      <w:tr w:rsidR="009D5E1D" w:rsidRPr="003966DC" w14:paraId="2906410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0455140" w14:textId="3601090E" w:rsidR="009D5E1D" w:rsidRPr="003966DC" w:rsidRDefault="009D5E1D" w:rsidP="009D5E1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Myanmar</w:t>
            </w:r>
          </w:p>
        </w:tc>
        <w:tc>
          <w:tcPr>
            <w:tcW w:w="1138" w:type="dxa"/>
            <w:tcBorders>
              <w:top w:val="nil"/>
              <w:left w:val="nil"/>
              <w:bottom w:val="single" w:sz="4" w:space="0" w:color="auto"/>
              <w:right w:val="single" w:sz="4" w:space="0" w:color="auto"/>
            </w:tcBorders>
            <w:shd w:val="clear" w:color="auto" w:fill="auto"/>
            <w:vAlign w:val="bottom"/>
            <w:hideMark/>
          </w:tcPr>
          <w:p w14:paraId="6E4ABF11" w14:textId="4BA97E18"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2552" w:type="dxa"/>
            <w:tcBorders>
              <w:top w:val="nil"/>
              <w:left w:val="nil"/>
              <w:bottom w:val="single" w:sz="4" w:space="0" w:color="auto"/>
              <w:right w:val="single" w:sz="4" w:space="0" w:color="auto"/>
            </w:tcBorders>
            <w:shd w:val="clear" w:color="auto" w:fill="auto"/>
            <w:noWrap/>
            <w:vAlign w:val="bottom"/>
            <w:hideMark/>
          </w:tcPr>
          <w:p w14:paraId="4490DF91" w14:textId="6D60D4C6"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hideMark/>
          </w:tcPr>
          <w:p w14:paraId="04DDA934" w14:textId="70D0F6E9"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46B0D61B" w14:textId="7CEC33F8"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091295B7" w14:textId="0C92BF29"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607</w:t>
            </w:r>
          </w:p>
        </w:tc>
      </w:tr>
      <w:tr w:rsidR="009D5E1D" w:rsidRPr="003966DC" w14:paraId="3550782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FF9A88B" w14:textId="078101F9" w:rsidR="009D5E1D" w:rsidRPr="003966DC" w:rsidRDefault="009D5E1D" w:rsidP="009D5E1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Namibie</w:t>
            </w:r>
          </w:p>
        </w:tc>
        <w:tc>
          <w:tcPr>
            <w:tcW w:w="1138" w:type="dxa"/>
            <w:tcBorders>
              <w:top w:val="nil"/>
              <w:left w:val="nil"/>
              <w:bottom w:val="single" w:sz="4" w:space="0" w:color="auto"/>
              <w:right w:val="single" w:sz="4" w:space="0" w:color="auto"/>
            </w:tcBorders>
            <w:shd w:val="clear" w:color="auto" w:fill="auto"/>
            <w:vAlign w:val="bottom"/>
            <w:hideMark/>
          </w:tcPr>
          <w:p w14:paraId="57C3D820" w14:textId="567CF2EE"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009</w:t>
            </w:r>
          </w:p>
        </w:tc>
        <w:tc>
          <w:tcPr>
            <w:tcW w:w="2552" w:type="dxa"/>
            <w:tcBorders>
              <w:top w:val="nil"/>
              <w:left w:val="nil"/>
              <w:bottom w:val="single" w:sz="4" w:space="0" w:color="auto"/>
              <w:right w:val="single" w:sz="4" w:space="0" w:color="auto"/>
            </w:tcBorders>
            <w:shd w:val="clear" w:color="auto" w:fill="auto"/>
            <w:noWrap/>
            <w:vAlign w:val="bottom"/>
            <w:hideMark/>
          </w:tcPr>
          <w:p w14:paraId="0F4738BE" w14:textId="62E67F39"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013</w:t>
            </w:r>
          </w:p>
        </w:tc>
        <w:tc>
          <w:tcPr>
            <w:tcW w:w="1217" w:type="dxa"/>
            <w:tcBorders>
              <w:top w:val="nil"/>
              <w:left w:val="nil"/>
              <w:bottom w:val="single" w:sz="4" w:space="0" w:color="auto"/>
              <w:right w:val="single" w:sz="4" w:space="0" w:color="auto"/>
            </w:tcBorders>
            <w:shd w:val="clear" w:color="auto" w:fill="auto"/>
            <w:noWrap/>
            <w:vAlign w:val="bottom"/>
            <w:hideMark/>
          </w:tcPr>
          <w:p w14:paraId="3A5880D4" w14:textId="435807BF"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70531A82" w14:textId="377BF5B5"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3F2CD0BB" w14:textId="298DFF8A"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771</w:t>
            </w:r>
          </w:p>
        </w:tc>
      </w:tr>
      <w:tr w:rsidR="009D5E1D" w:rsidRPr="003966DC" w14:paraId="0283F16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B1EC21D" w14:textId="4B69D043" w:rsidR="009D5E1D" w:rsidRPr="003966DC" w:rsidRDefault="009D5E1D" w:rsidP="009D5E1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Nauru</w:t>
            </w:r>
          </w:p>
        </w:tc>
        <w:tc>
          <w:tcPr>
            <w:tcW w:w="1138" w:type="dxa"/>
            <w:tcBorders>
              <w:top w:val="nil"/>
              <w:left w:val="nil"/>
              <w:bottom w:val="single" w:sz="4" w:space="0" w:color="auto"/>
              <w:right w:val="single" w:sz="4" w:space="0" w:color="auto"/>
            </w:tcBorders>
            <w:shd w:val="clear" w:color="auto" w:fill="auto"/>
            <w:vAlign w:val="bottom"/>
            <w:hideMark/>
          </w:tcPr>
          <w:p w14:paraId="1609D118" w14:textId="3405A5D1"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11A73141" w14:textId="22A72D1E"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5619528B" w14:textId="41889325"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48086B9" w14:textId="229D8B49"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1BD3415" w14:textId="10F538CD"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9D5E1D" w:rsidRPr="003966DC" w14:paraId="2DF4F9E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85A7243" w14:textId="4CC36313" w:rsidR="009D5E1D" w:rsidRPr="003966DC" w:rsidRDefault="009D5E1D" w:rsidP="009D5E1D">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Nicaragua</w:t>
            </w:r>
          </w:p>
        </w:tc>
        <w:tc>
          <w:tcPr>
            <w:tcW w:w="1138" w:type="dxa"/>
            <w:tcBorders>
              <w:top w:val="nil"/>
              <w:left w:val="nil"/>
              <w:bottom w:val="single" w:sz="4" w:space="0" w:color="auto"/>
              <w:right w:val="single" w:sz="4" w:space="0" w:color="auto"/>
            </w:tcBorders>
            <w:shd w:val="clear" w:color="auto" w:fill="auto"/>
            <w:vAlign w:val="bottom"/>
            <w:hideMark/>
          </w:tcPr>
          <w:p w14:paraId="50DE5359" w14:textId="32950FCC"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005</w:t>
            </w:r>
          </w:p>
        </w:tc>
        <w:tc>
          <w:tcPr>
            <w:tcW w:w="2552" w:type="dxa"/>
            <w:tcBorders>
              <w:top w:val="nil"/>
              <w:left w:val="nil"/>
              <w:bottom w:val="single" w:sz="4" w:space="0" w:color="auto"/>
              <w:right w:val="single" w:sz="4" w:space="0" w:color="auto"/>
            </w:tcBorders>
            <w:shd w:val="clear" w:color="auto" w:fill="auto"/>
            <w:noWrap/>
            <w:vAlign w:val="bottom"/>
            <w:hideMark/>
          </w:tcPr>
          <w:p w14:paraId="7C306375" w14:textId="5F3A215B"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1217" w:type="dxa"/>
            <w:tcBorders>
              <w:top w:val="nil"/>
              <w:left w:val="nil"/>
              <w:bottom w:val="single" w:sz="4" w:space="0" w:color="auto"/>
              <w:right w:val="single" w:sz="4" w:space="0" w:color="auto"/>
            </w:tcBorders>
            <w:shd w:val="clear" w:color="auto" w:fill="auto"/>
            <w:noWrap/>
            <w:vAlign w:val="bottom"/>
            <w:hideMark/>
          </w:tcPr>
          <w:p w14:paraId="67646F72" w14:textId="355B1F40"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131450A4" w14:textId="0ECE11AC"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0D667075" w14:textId="1288BD24" w:rsidR="009D5E1D" w:rsidRPr="003966DC" w:rsidRDefault="009D5E1D" w:rsidP="009D5E1D">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428</w:t>
            </w:r>
          </w:p>
        </w:tc>
      </w:tr>
      <w:tr w:rsidR="00E927E2" w:rsidRPr="003966DC" w14:paraId="6DBDA1B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A2475CD" w14:textId="16739A89"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Niger</w:t>
            </w:r>
          </w:p>
        </w:tc>
        <w:tc>
          <w:tcPr>
            <w:tcW w:w="1138" w:type="dxa"/>
            <w:tcBorders>
              <w:top w:val="nil"/>
              <w:left w:val="nil"/>
              <w:bottom w:val="single" w:sz="4" w:space="0" w:color="auto"/>
              <w:right w:val="single" w:sz="4" w:space="0" w:color="auto"/>
            </w:tcBorders>
            <w:shd w:val="clear" w:color="auto" w:fill="auto"/>
            <w:vAlign w:val="bottom"/>
            <w:hideMark/>
          </w:tcPr>
          <w:p w14:paraId="53C8139C" w14:textId="34700D9A"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2552" w:type="dxa"/>
            <w:tcBorders>
              <w:top w:val="nil"/>
              <w:left w:val="nil"/>
              <w:bottom w:val="single" w:sz="4" w:space="0" w:color="auto"/>
              <w:right w:val="single" w:sz="4" w:space="0" w:color="auto"/>
            </w:tcBorders>
            <w:shd w:val="clear" w:color="auto" w:fill="auto"/>
            <w:noWrap/>
            <w:vAlign w:val="bottom"/>
            <w:hideMark/>
          </w:tcPr>
          <w:p w14:paraId="3DA53538" w14:textId="62A91955"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1217" w:type="dxa"/>
            <w:tcBorders>
              <w:top w:val="nil"/>
              <w:left w:val="nil"/>
              <w:bottom w:val="single" w:sz="4" w:space="0" w:color="auto"/>
              <w:right w:val="single" w:sz="4" w:space="0" w:color="auto"/>
            </w:tcBorders>
            <w:shd w:val="clear" w:color="auto" w:fill="auto"/>
            <w:noWrap/>
            <w:vAlign w:val="bottom"/>
            <w:hideMark/>
          </w:tcPr>
          <w:p w14:paraId="05F76E41" w14:textId="6A476A6C"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004D5CFA" w14:textId="07EC8B0F"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32F4A07D" w14:textId="189F63FE"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257</w:t>
            </w:r>
          </w:p>
        </w:tc>
      </w:tr>
      <w:tr w:rsidR="00E927E2" w:rsidRPr="003966DC" w14:paraId="44B3290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EF0FA11" w14:textId="456ECF67"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Nigéria</w:t>
            </w:r>
          </w:p>
        </w:tc>
        <w:tc>
          <w:tcPr>
            <w:tcW w:w="1138" w:type="dxa"/>
            <w:tcBorders>
              <w:top w:val="nil"/>
              <w:left w:val="nil"/>
              <w:bottom w:val="single" w:sz="4" w:space="0" w:color="auto"/>
              <w:right w:val="single" w:sz="4" w:space="0" w:color="auto"/>
            </w:tcBorders>
            <w:shd w:val="clear" w:color="auto" w:fill="auto"/>
            <w:vAlign w:val="bottom"/>
            <w:hideMark/>
          </w:tcPr>
          <w:p w14:paraId="1DB60DE8" w14:textId="359DFBC2"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182</w:t>
            </w:r>
          </w:p>
        </w:tc>
        <w:tc>
          <w:tcPr>
            <w:tcW w:w="2552" w:type="dxa"/>
            <w:tcBorders>
              <w:top w:val="nil"/>
              <w:left w:val="nil"/>
              <w:bottom w:val="single" w:sz="4" w:space="0" w:color="auto"/>
              <w:right w:val="single" w:sz="4" w:space="0" w:color="auto"/>
            </w:tcBorders>
            <w:shd w:val="clear" w:color="auto" w:fill="auto"/>
            <w:noWrap/>
            <w:vAlign w:val="bottom"/>
            <w:hideMark/>
          </w:tcPr>
          <w:p w14:paraId="6C404BCE" w14:textId="3014225C"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257</w:t>
            </w:r>
          </w:p>
        </w:tc>
        <w:tc>
          <w:tcPr>
            <w:tcW w:w="1217" w:type="dxa"/>
            <w:tcBorders>
              <w:top w:val="nil"/>
              <w:left w:val="nil"/>
              <w:bottom w:val="single" w:sz="4" w:space="0" w:color="auto"/>
              <w:right w:val="single" w:sz="4" w:space="0" w:color="auto"/>
            </w:tcBorders>
            <w:shd w:val="clear" w:color="auto" w:fill="auto"/>
            <w:noWrap/>
            <w:vAlign w:val="bottom"/>
            <w:hideMark/>
          </w:tcPr>
          <w:p w14:paraId="79A90575" w14:textId="70673DD4"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7 536</w:t>
            </w:r>
          </w:p>
        </w:tc>
        <w:tc>
          <w:tcPr>
            <w:tcW w:w="1213" w:type="dxa"/>
            <w:tcBorders>
              <w:top w:val="nil"/>
              <w:left w:val="nil"/>
              <w:bottom w:val="single" w:sz="4" w:space="0" w:color="auto"/>
              <w:right w:val="single" w:sz="4" w:space="0" w:color="auto"/>
            </w:tcBorders>
            <w:shd w:val="clear" w:color="auto" w:fill="auto"/>
            <w:noWrap/>
            <w:vAlign w:val="bottom"/>
            <w:hideMark/>
          </w:tcPr>
          <w:p w14:paraId="644361CC" w14:textId="43BBD44B"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8 052</w:t>
            </w:r>
          </w:p>
        </w:tc>
        <w:tc>
          <w:tcPr>
            <w:tcW w:w="1260" w:type="dxa"/>
            <w:tcBorders>
              <w:top w:val="nil"/>
              <w:left w:val="nil"/>
              <w:bottom w:val="single" w:sz="4" w:space="0" w:color="auto"/>
              <w:right w:val="single" w:sz="4" w:space="0" w:color="auto"/>
            </w:tcBorders>
            <w:shd w:val="clear" w:color="auto" w:fill="auto"/>
            <w:noWrap/>
            <w:vAlign w:val="bottom"/>
            <w:hideMark/>
          </w:tcPr>
          <w:p w14:paraId="080BB88A" w14:textId="17CC18D7"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15 588</w:t>
            </w:r>
          </w:p>
        </w:tc>
      </w:tr>
      <w:tr w:rsidR="00E927E2" w:rsidRPr="003966DC" w14:paraId="4C2F136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83AA3ED" w14:textId="5FCB51EF"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Ni</w:t>
            </w:r>
            <w:r w:rsidR="00CE27CA" w:rsidRPr="003966DC">
              <w:rPr>
                <w:rFonts w:eastAsia="Times New Roman"/>
                <w:color w:val="000000" w:themeColor="text1"/>
                <w:sz w:val="18"/>
                <w:szCs w:val="18"/>
                <w:lang w:val="fr-FR" w:eastAsia="en-CA"/>
              </w:rPr>
              <w:t>o</w:t>
            </w:r>
            <w:r w:rsidRPr="003966DC">
              <w:rPr>
                <w:rFonts w:eastAsia="Times New Roman"/>
                <w:color w:val="000000" w:themeColor="text1"/>
                <w:sz w:val="18"/>
                <w:szCs w:val="18"/>
                <w:lang w:val="fr-FR" w:eastAsia="en-CA"/>
              </w:rPr>
              <w:t>u</w:t>
            </w:r>
            <w:r w:rsidR="00CE27CA" w:rsidRPr="003966DC">
              <w:rPr>
                <w:rFonts w:eastAsia="Times New Roman"/>
                <w:color w:val="000000" w:themeColor="text1"/>
                <w:sz w:val="18"/>
                <w:szCs w:val="18"/>
                <w:lang w:val="fr-FR" w:eastAsia="en-CA"/>
              </w:rPr>
              <w:t>é</w:t>
            </w:r>
          </w:p>
        </w:tc>
        <w:tc>
          <w:tcPr>
            <w:tcW w:w="1138" w:type="dxa"/>
            <w:tcBorders>
              <w:top w:val="nil"/>
              <w:left w:val="nil"/>
              <w:bottom w:val="single" w:sz="4" w:space="0" w:color="auto"/>
              <w:right w:val="single" w:sz="4" w:space="0" w:color="auto"/>
            </w:tcBorders>
            <w:shd w:val="clear" w:color="auto" w:fill="auto"/>
            <w:vAlign w:val="bottom"/>
            <w:hideMark/>
          </w:tcPr>
          <w:p w14:paraId="6CAF8A85" w14:textId="6396BCBC"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2552" w:type="dxa"/>
            <w:tcBorders>
              <w:top w:val="nil"/>
              <w:left w:val="nil"/>
              <w:bottom w:val="single" w:sz="4" w:space="0" w:color="auto"/>
              <w:right w:val="single" w:sz="4" w:space="0" w:color="auto"/>
            </w:tcBorders>
            <w:shd w:val="clear" w:color="auto" w:fill="auto"/>
            <w:noWrap/>
            <w:vAlign w:val="bottom"/>
            <w:hideMark/>
          </w:tcPr>
          <w:p w14:paraId="2561FED6" w14:textId="4EA992E3"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hideMark/>
          </w:tcPr>
          <w:p w14:paraId="3B7A2E96" w14:textId="329D6B54"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5959F7F9" w14:textId="022EC327"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6B8AF03C" w14:textId="57015980"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607</w:t>
            </w:r>
          </w:p>
        </w:tc>
      </w:tr>
      <w:tr w:rsidR="00E927E2" w:rsidRPr="003966DC" w14:paraId="6965A08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BB40832" w14:textId="4DD7D358"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Norvège</w:t>
            </w:r>
          </w:p>
        </w:tc>
        <w:tc>
          <w:tcPr>
            <w:tcW w:w="1138" w:type="dxa"/>
            <w:tcBorders>
              <w:top w:val="nil"/>
              <w:left w:val="nil"/>
              <w:bottom w:val="single" w:sz="4" w:space="0" w:color="auto"/>
              <w:right w:val="single" w:sz="4" w:space="0" w:color="auto"/>
            </w:tcBorders>
            <w:shd w:val="clear" w:color="auto" w:fill="auto"/>
            <w:vAlign w:val="bottom"/>
            <w:hideMark/>
          </w:tcPr>
          <w:p w14:paraId="24AB3DE8" w14:textId="509C5A0B"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679</w:t>
            </w:r>
          </w:p>
        </w:tc>
        <w:tc>
          <w:tcPr>
            <w:tcW w:w="2552" w:type="dxa"/>
            <w:tcBorders>
              <w:top w:val="nil"/>
              <w:left w:val="nil"/>
              <w:bottom w:val="single" w:sz="4" w:space="0" w:color="auto"/>
              <w:right w:val="single" w:sz="4" w:space="0" w:color="auto"/>
            </w:tcBorders>
            <w:shd w:val="clear" w:color="auto" w:fill="auto"/>
            <w:noWrap/>
            <w:vAlign w:val="bottom"/>
            <w:hideMark/>
          </w:tcPr>
          <w:p w14:paraId="5872BBA8" w14:textId="7745DBFA"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959</w:t>
            </w:r>
          </w:p>
        </w:tc>
        <w:tc>
          <w:tcPr>
            <w:tcW w:w="1217" w:type="dxa"/>
            <w:tcBorders>
              <w:top w:val="nil"/>
              <w:left w:val="nil"/>
              <w:bottom w:val="single" w:sz="4" w:space="0" w:color="auto"/>
              <w:right w:val="single" w:sz="4" w:space="0" w:color="auto"/>
            </w:tcBorders>
            <w:shd w:val="clear" w:color="auto" w:fill="auto"/>
            <w:noWrap/>
            <w:vAlign w:val="bottom"/>
            <w:hideMark/>
          </w:tcPr>
          <w:p w14:paraId="4495F5B8" w14:textId="0BE1B08C"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28 115</w:t>
            </w:r>
          </w:p>
        </w:tc>
        <w:tc>
          <w:tcPr>
            <w:tcW w:w="1213" w:type="dxa"/>
            <w:tcBorders>
              <w:top w:val="nil"/>
              <w:left w:val="nil"/>
              <w:bottom w:val="single" w:sz="4" w:space="0" w:color="auto"/>
              <w:right w:val="single" w:sz="4" w:space="0" w:color="auto"/>
            </w:tcBorders>
            <w:shd w:val="clear" w:color="auto" w:fill="auto"/>
            <w:noWrap/>
            <w:vAlign w:val="bottom"/>
            <w:hideMark/>
          </w:tcPr>
          <w:p w14:paraId="48007DF1" w14:textId="6C3EA66D"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30 039</w:t>
            </w:r>
          </w:p>
        </w:tc>
        <w:tc>
          <w:tcPr>
            <w:tcW w:w="1260" w:type="dxa"/>
            <w:tcBorders>
              <w:top w:val="nil"/>
              <w:left w:val="nil"/>
              <w:bottom w:val="single" w:sz="4" w:space="0" w:color="auto"/>
              <w:right w:val="single" w:sz="4" w:space="0" w:color="auto"/>
            </w:tcBorders>
            <w:shd w:val="clear" w:color="auto" w:fill="auto"/>
            <w:noWrap/>
            <w:vAlign w:val="bottom"/>
            <w:hideMark/>
          </w:tcPr>
          <w:p w14:paraId="55EC682E" w14:textId="3A838CF3"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58 154</w:t>
            </w:r>
          </w:p>
        </w:tc>
      </w:tr>
      <w:tr w:rsidR="002325D5" w:rsidRPr="003966DC" w14:paraId="0473C58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78A0A942" w14:textId="787A30FF" w:rsidR="002325D5" w:rsidRPr="003966DC" w:rsidRDefault="002325D5" w:rsidP="002325D5">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Nouvelle-Zélande</w:t>
            </w:r>
          </w:p>
        </w:tc>
        <w:tc>
          <w:tcPr>
            <w:tcW w:w="1138" w:type="dxa"/>
            <w:tcBorders>
              <w:top w:val="nil"/>
              <w:left w:val="nil"/>
              <w:bottom w:val="single" w:sz="4" w:space="0" w:color="auto"/>
              <w:right w:val="single" w:sz="4" w:space="0" w:color="auto"/>
            </w:tcBorders>
            <w:shd w:val="clear" w:color="auto" w:fill="auto"/>
            <w:vAlign w:val="bottom"/>
          </w:tcPr>
          <w:p w14:paraId="468A4834" w14:textId="17ABE4E5" w:rsidR="002325D5" w:rsidRPr="003966DC" w:rsidRDefault="002325D5" w:rsidP="002325D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309</w:t>
            </w:r>
          </w:p>
        </w:tc>
        <w:tc>
          <w:tcPr>
            <w:tcW w:w="2552" w:type="dxa"/>
            <w:tcBorders>
              <w:top w:val="nil"/>
              <w:left w:val="nil"/>
              <w:bottom w:val="single" w:sz="4" w:space="0" w:color="auto"/>
              <w:right w:val="single" w:sz="4" w:space="0" w:color="auto"/>
            </w:tcBorders>
            <w:shd w:val="clear" w:color="auto" w:fill="auto"/>
            <w:noWrap/>
            <w:vAlign w:val="bottom"/>
          </w:tcPr>
          <w:p w14:paraId="4200DD37" w14:textId="10E5F53C" w:rsidR="002325D5" w:rsidRPr="003966DC" w:rsidRDefault="002325D5" w:rsidP="002325D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436</w:t>
            </w:r>
          </w:p>
        </w:tc>
        <w:tc>
          <w:tcPr>
            <w:tcW w:w="1217" w:type="dxa"/>
            <w:tcBorders>
              <w:top w:val="nil"/>
              <w:left w:val="nil"/>
              <w:bottom w:val="single" w:sz="4" w:space="0" w:color="auto"/>
              <w:right w:val="single" w:sz="4" w:space="0" w:color="auto"/>
            </w:tcBorders>
            <w:shd w:val="clear" w:color="auto" w:fill="auto"/>
            <w:noWrap/>
            <w:vAlign w:val="bottom"/>
          </w:tcPr>
          <w:p w14:paraId="36335728" w14:textId="0BA2D76F" w:rsidR="002325D5" w:rsidRPr="003966DC" w:rsidRDefault="002325D5" w:rsidP="002325D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12 795</w:t>
            </w:r>
          </w:p>
        </w:tc>
        <w:tc>
          <w:tcPr>
            <w:tcW w:w="1213" w:type="dxa"/>
            <w:tcBorders>
              <w:top w:val="nil"/>
              <w:left w:val="nil"/>
              <w:bottom w:val="single" w:sz="4" w:space="0" w:color="auto"/>
              <w:right w:val="single" w:sz="4" w:space="0" w:color="auto"/>
            </w:tcBorders>
            <w:shd w:val="clear" w:color="auto" w:fill="auto"/>
            <w:noWrap/>
            <w:vAlign w:val="bottom"/>
          </w:tcPr>
          <w:p w14:paraId="6AA35AA4" w14:textId="012F7513" w:rsidR="002325D5" w:rsidRPr="003966DC" w:rsidRDefault="002325D5" w:rsidP="002325D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13 670</w:t>
            </w:r>
          </w:p>
        </w:tc>
        <w:tc>
          <w:tcPr>
            <w:tcW w:w="1260" w:type="dxa"/>
            <w:tcBorders>
              <w:top w:val="nil"/>
              <w:left w:val="nil"/>
              <w:bottom w:val="single" w:sz="4" w:space="0" w:color="auto"/>
              <w:right w:val="single" w:sz="4" w:space="0" w:color="auto"/>
            </w:tcBorders>
            <w:shd w:val="clear" w:color="auto" w:fill="auto"/>
            <w:noWrap/>
            <w:vAlign w:val="bottom"/>
          </w:tcPr>
          <w:p w14:paraId="17D93FDD" w14:textId="14AB12C7" w:rsidR="002325D5" w:rsidRPr="003966DC" w:rsidRDefault="002325D5" w:rsidP="002325D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26 465</w:t>
            </w:r>
          </w:p>
        </w:tc>
      </w:tr>
      <w:tr w:rsidR="00E927E2" w:rsidRPr="003966DC" w14:paraId="6D891E4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ACD1404" w14:textId="35C7E921"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Oman</w:t>
            </w:r>
          </w:p>
        </w:tc>
        <w:tc>
          <w:tcPr>
            <w:tcW w:w="1138" w:type="dxa"/>
            <w:tcBorders>
              <w:top w:val="nil"/>
              <w:left w:val="nil"/>
              <w:bottom w:val="single" w:sz="4" w:space="0" w:color="auto"/>
              <w:right w:val="single" w:sz="4" w:space="0" w:color="auto"/>
            </w:tcBorders>
            <w:shd w:val="clear" w:color="auto" w:fill="auto"/>
            <w:vAlign w:val="bottom"/>
            <w:hideMark/>
          </w:tcPr>
          <w:p w14:paraId="2885D2A5" w14:textId="7F25DF2D"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111</w:t>
            </w:r>
          </w:p>
        </w:tc>
        <w:tc>
          <w:tcPr>
            <w:tcW w:w="2552" w:type="dxa"/>
            <w:tcBorders>
              <w:top w:val="nil"/>
              <w:left w:val="nil"/>
              <w:bottom w:val="single" w:sz="4" w:space="0" w:color="auto"/>
              <w:right w:val="single" w:sz="4" w:space="0" w:color="auto"/>
            </w:tcBorders>
            <w:shd w:val="clear" w:color="auto" w:fill="auto"/>
            <w:noWrap/>
            <w:vAlign w:val="bottom"/>
            <w:hideMark/>
          </w:tcPr>
          <w:p w14:paraId="30EEBAB7" w14:textId="0B17AD97"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157</w:t>
            </w:r>
          </w:p>
        </w:tc>
        <w:tc>
          <w:tcPr>
            <w:tcW w:w="1217" w:type="dxa"/>
            <w:tcBorders>
              <w:top w:val="nil"/>
              <w:left w:val="nil"/>
              <w:bottom w:val="single" w:sz="4" w:space="0" w:color="auto"/>
              <w:right w:val="single" w:sz="4" w:space="0" w:color="auto"/>
            </w:tcBorders>
            <w:shd w:val="clear" w:color="auto" w:fill="auto"/>
            <w:noWrap/>
            <w:vAlign w:val="bottom"/>
            <w:hideMark/>
          </w:tcPr>
          <w:p w14:paraId="517DCFDA" w14:textId="63C308BD"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4 596</w:t>
            </w:r>
          </w:p>
        </w:tc>
        <w:tc>
          <w:tcPr>
            <w:tcW w:w="1213" w:type="dxa"/>
            <w:tcBorders>
              <w:top w:val="nil"/>
              <w:left w:val="nil"/>
              <w:bottom w:val="single" w:sz="4" w:space="0" w:color="auto"/>
              <w:right w:val="single" w:sz="4" w:space="0" w:color="auto"/>
            </w:tcBorders>
            <w:shd w:val="clear" w:color="auto" w:fill="auto"/>
            <w:noWrap/>
            <w:vAlign w:val="bottom"/>
            <w:hideMark/>
          </w:tcPr>
          <w:p w14:paraId="629BC213" w14:textId="4C3318EB"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4 911</w:t>
            </w:r>
          </w:p>
        </w:tc>
        <w:tc>
          <w:tcPr>
            <w:tcW w:w="1260" w:type="dxa"/>
            <w:tcBorders>
              <w:top w:val="nil"/>
              <w:left w:val="nil"/>
              <w:bottom w:val="single" w:sz="4" w:space="0" w:color="auto"/>
              <w:right w:val="single" w:sz="4" w:space="0" w:color="auto"/>
            </w:tcBorders>
            <w:shd w:val="clear" w:color="auto" w:fill="auto"/>
            <w:noWrap/>
            <w:vAlign w:val="bottom"/>
            <w:hideMark/>
          </w:tcPr>
          <w:p w14:paraId="0C71319D" w14:textId="5F4FDC8A"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9 507</w:t>
            </w:r>
          </w:p>
        </w:tc>
      </w:tr>
      <w:tr w:rsidR="004A61E2" w:rsidRPr="003966DC" w14:paraId="007419B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E2362FF" w14:textId="41126C16" w:rsidR="004A61E2" w:rsidRPr="003966DC" w:rsidRDefault="004A61E2" w:rsidP="004A61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Ouganda</w:t>
            </w:r>
          </w:p>
        </w:tc>
        <w:tc>
          <w:tcPr>
            <w:tcW w:w="1138" w:type="dxa"/>
            <w:tcBorders>
              <w:top w:val="nil"/>
              <w:left w:val="nil"/>
              <w:bottom w:val="single" w:sz="4" w:space="0" w:color="auto"/>
              <w:right w:val="single" w:sz="4" w:space="0" w:color="auto"/>
            </w:tcBorders>
            <w:shd w:val="clear" w:color="auto" w:fill="auto"/>
            <w:vAlign w:val="bottom"/>
          </w:tcPr>
          <w:p w14:paraId="3E99B5DE" w14:textId="7A82D2DB" w:rsidR="004A61E2" w:rsidRPr="003966DC" w:rsidRDefault="004A61E2" w:rsidP="004A61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2552" w:type="dxa"/>
            <w:tcBorders>
              <w:top w:val="nil"/>
              <w:left w:val="nil"/>
              <w:bottom w:val="single" w:sz="4" w:space="0" w:color="auto"/>
              <w:right w:val="single" w:sz="4" w:space="0" w:color="auto"/>
            </w:tcBorders>
            <w:shd w:val="clear" w:color="auto" w:fill="auto"/>
            <w:noWrap/>
            <w:vAlign w:val="bottom"/>
          </w:tcPr>
          <w:p w14:paraId="29E2C856" w14:textId="3A70A6C7" w:rsidR="004A61E2" w:rsidRPr="003966DC" w:rsidRDefault="004A61E2" w:rsidP="004A61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tcPr>
          <w:p w14:paraId="7C2C580A" w14:textId="277FDF65" w:rsidR="004A61E2" w:rsidRPr="003966DC" w:rsidRDefault="004A61E2" w:rsidP="004A61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293</w:t>
            </w:r>
          </w:p>
        </w:tc>
        <w:tc>
          <w:tcPr>
            <w:tcW w:w="1213" w:type="dxa"/>
            <w:tcBorders>
              <w:top w:val="nil"/>
              <w:left w:val="nil"/>
              <w:bottom w:val="single" w:sz="4" w:space="0" w:color="auto"/>
              <w:right w:val="single" w:sz="4" w:space="0" w:color="auto"/>
            </w:tcBorders>
            <w:shd w:val="clear" w:color="auto" w:fill="auto"/>
            <w:noWrap/>
            <w:vAlign w:val="bottom"/>
          </w:tcPr>
          <w:p w14:paraId="4C3A7ECE" w14:textId="6FA9E813" w:rsidR="004A61E2" w:rsidRPr="003966DC" w:rsidRDefault="004A61E2" w:rsidP="004A61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313</w:t>
            </w:r>
          </w:p>
        </w:tc>
        <w:tc>
          <w:tcPr>
            <w:tcW w:w="1260" w:type="dxa"/>
            <w:tcBorders>
              <w:top w:val="nil"/>
              <w:left w:val="nil"/>
              <w:bottom w:val="single" w:sz="4" w:space="0" w:color="auto"/>
              <w:right w:val="single" w:sz="4" w:space="0" w:color="auto"/>
            </w:tcBorders>
            <w:shd w:val="clear" w:color="auto" w:fill="auto"/>
            <w:noWrap/>
            <w:vAlign w:val="bottom"/>
          </w:tcPr>
          <w:p w14:paraId="7B1F7262" w14:textId="64391E8E" w:rsidR="004A61E2" w:rsidRPr="003966DC" w:rsidRDefault="004A61E2" w:rsidP="004A61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607</w:t>
            </w:r>
          </w:p>
        </w:tc>
      </w:tr>
      <w:tr w:rsidR="007145D3" w:rsidRPr="003966DC" w14:paraId="0C6A0EF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6B440563" w14:textId="781216CD" w:rsidR="007145D3" w:rsidRPr="003966DC" w:rsidRDefault="007145D3" w:rsidP="007145D3">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Ouzbékistan</w:t>
            </w:r>
          </w:p>
        </w:tc>
        <w:tc>
          <w:tcPr>
            <w:tcW w:w="1138" w:type="dxa"/>
            <w:tcBorders>
              <w:top w:val="nil"/>
              <w:left w:val="nil"/>
              <w:bottom w:val="single" w:sz="4" w:space="0" w:color="auto"/>
              <w:right w:val="single" w:sz="4" w:space="0" w:color="auto"/>
            </w:tcBorders>
            <w:shd w:val="clear" w:color="auto" w:fill="auto"/>
            <w:vAlign w:val="bottom"/>
          </w:tcPr>
          <w:p w14:paraId="2B8F9D0E" w14:textId="36D5939E" w:rsidR="007145D3" w:rsidRPr="003966DC" w:rsidRDefault="007145D3" w:rsidP="007145D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027</w:t>
            </w:r>
          </w:p>
        </w:tc>
        <w:tc>
          <w:tcPr>
            <w:tcW w:w="2552" w:type="dxa"/>
            <w:tcBorders>
              <w:top w:val="nil"/>
              <w:left w:val="nil"/>
              <w:bottom w:val="single" w:sz="4" w:space="0" w:color="auto"/>
              <w:right w:val="single" w:sz="4" w:space="0" w:color="auto"/>
            </w:tcBorders>
            <w:shd w:val="clear" w:color="auto" w:fill="auto"/>
            <w:noWrap/>
            <w:vAlign w:val="bottom"/>
          </w:tcPr>
          <w:p w14:paraId="3F88DFC1" w14:textId="4BA50B72" w:rsidR="007145D3" w:rsidRPr="003966DC" w:rsidRDefault="007145D3" w:rsidP="007145D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038</w:t>
            </w:r>
          </w:p>
        </w:tc>
        <w:tc>
          <w:tcPr>
            <w:tcW w:w="1217" w:type="dxa"/>
            <w:tcBorders>
              <w:top w:val="nil"/>
              <w:left w:val="nil"/>
              <w:bottom w:val="single" w:sz="4" w:space="0" w:color="auto"/>
              <w:right w:val="single" w:sz="4" w:space="0" w:color="auto"/>
            </w:tcBorders>
            <w:shd w:val="clear" w:color="auto" w:fill="auto"/>
            <w:noWrap/>
            <w:vAlign w:val="bottom"/>
          </w:tcPr>
          <w:p w14:paraId="00FCB566" w14:textId="5FFA3996" w:rsidR="007145D3" w:rsidRPr="003966DC" w:rsidRDefault="007145D3" w:rsidP="007145D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1 118</w:t>
            </w:r>
          </w:p>
        </w:tc>
        <w:tc>
          <w:tcPr>
            <w:tcW w:w="1213" w:type="dxa"/>
            <w:tcBorders>
              <w:top w:val="nil"/>
              <w:left w:val="nil"/>
              <w:bottom w:val="single" w:sz="4" w:space="0" w:color="auto"/>
              <w:right w:val="single" w:sz="4" w:space="0" w:color="auto"/>
            </w:tcBorders>
            <w:shd w:val="clear" w:color="auto" w:fill="auto"/>
            <w:noWrap/>
            <w:vAlign w:val="bottom"/>
          </w:tcPr>
          <w:p w14:paraId="79C7CC10" w14:textId="1D80116D" w:rsidR="007145D3" w:rsidRPr="003966DC" w:rsidRDefault="007145D3" w:rsidP="007145D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1 194</w:t>
            </w:r>
          </w:p>
        </w:tc>
        <w:tc>
          <w:tcPr>
            <w:tcW w:w="1260" w:type="dxa"/>
            <w:tcBorders>
              <w:top w:val="nil"/>
              <w:left w:val="nil"/>
              <w:bottom w:val="single" w:sz="4" w:space="0" w:color="auto"/>
              <w:right w:val="single" w:sz="4" w:space="0" w:color="auto"/>
            </w:tcBorders>
            <w:shd w:val="clear" w:color="auto" w:fill="auto"/>
            <w:noWrap/>
            <w:vAlign w:val="bottom"/>
          </w:tcPr>
          <w:p w14:paraId="00EC82FF" w14:textId="55294595" w:rsidR="007145D3" w:rsidRPr="003966DC" w:rsidRDefault="007145D3" w:rsidP="007145D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2 312</w:t>
            </w:r>
          </w:p>
        </w:tc>
      </w:tr>
      <w:tr w:rsidR="00E927E2" w:rsidRPr="003966DC" w14:paraId="0F69169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05BD6F2" w14:textId="389E7648"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Pakistan</w:t>
            </w:r>
          </w:p>
        </w:tc>
        <w:tc>
          <w:tcPr>
            <w:tcW w:w="1138" w:type="dxa"/>
            <w:tcBorders>
              <w:top w:val="nil"/>
              <w:left w:val="nil"/>
              <w:bottom w:val="single" w:sz="4" w:space="0" w:color="auto"/>
              <w:right w:val="single" w:sz="4" w:space="0" w:color="auto"/>
            </w:tcBorders>
            <w:shd w:val="clear" w:color="auto" w:fill="auto"/>
            <w:vAlign w:val="bottom"/>
            <w:hideMark/>
          </w:tcPr>
          <w:p w14:paraId="1E51E8A5" w14:textId="57397B66"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114</w:t>
            </w:r>
          </w:p>
        </w:tc>
        <w:tc>
          <w:tcPr>
            <w:tcW w:w="2552" w:type="dxa"/>
            <w:tcBorders>
              <w:top w:val="nil"/>
              <w:left w:val="nil"/>
              <w:bottom w:val="single" w:sz="4" w:space="0" w:color="auto"/>
              <w:right w:val="single" w:sz="4" w:space="0" w:color="auto"/>
            </w:tcBorders>
            <w:shd w:val="clear" w:color="auto" w:fill="auto"/>
            <w:noWrap/>
            <w:vAlign w:val="bottom"/>
            <w:hideMark/>
          </w:tcPr>
          <w:p w14:paraId="4756B68A" w14:textId="54721832"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161</w:t>
            </w:r>
          </w:p>
        </w:tc>
        <w:tc>
          <w:tcPr>
            <w:tcW w:w="1217" w:type="dxa"/>
            <w:tcBorders>
              <w:top w:val="nil"/>
              <w:left w:val="nil"/>
              <w:bottom w:val="single" w:sz="4" w:space="0" w:color="auto"/>
              <w:right w:val="single" w:sz="4" w:space="0" w:color="auto"/>
            </w:tcBorders>
            <w:shd w:val="clear" w:color="auto" w:fill="auto"/>
            <w:noWrap/>
            <w:vAlign w:val="bottom"/>
            <w:hideMark/>
          </w:tcPr>
          <w:p w14:paraId="64A5B99A" w14:textId="15CC8CED"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4 720</w:t>
            </w:r>
          </w:p>
        </w:tc>
        <w:tc>
          <w:tcPr>
            <w:tcW w:w="1213" w:type="dxa"/>
            <w:tcBorders>
              <w:top w:val="nil"/>
              <w:left w:val="nil"/>
              <w:bottom w:val="single" w:sz="4" w:space="0" w:color="auto"/>
              <w:right w:val="single" w:sz="4" w:space="0" w:color="auto"/>
            </w:tcBorders>
            <w:shd w:val="clear" w:color="auto" w:fill="auto"/>
            <w:noWrap/>
            <w:vAlign w:val="bottom"/>
            <w:hideMark/>
          </w:tcPr>
          <w:p w14:paraId="44CE313F" w14:textId="63471E10"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5 043</w:t>
            </w:r>
          </w:p>
        </w:tc>
        <w:tc>
          <w:tcPr>
            <w:tcW w:w="1260" w:type="dxa"/>
            <w:tcBorders>
              <w:top w:val="nil"/>
              <w:left w:val="nil"/>
              <w:bottom w:val="single" w:sz="4" w:space="0" w:color="auto"/>
              <w:right w:val="single" w:sz="4" w:space="0" w:color="auto"/>
            </w:tcBorders>
            <w:shd w:val="clear" w:color="auto" w:fill="auto"/>
            <w:noWrap/>
            <w:vAlign w:val="bottom"/>
            <w:hideMark/>
          </w:tcPr>
          <w:p w14:paraId="354411BC" w14:textId="3A592DF8"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9 764</w:t>
            </w:r>
          </w:p>
        </w:tc>
      </w:tr>
      <w:tr w:rsidR="00E927E2" w:rsidRPr="003966DC" w14:paraId="0A84D09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D9468A9" w14:textId="6DC0C51F"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Palau</w:t>
            </w:r>
          </w:p>
        </w:tc>
        <w:tc>
          <w:tcPr>
            <w:tcW w:w="1138" w:type="dxa"/>
            <w:tcBorders>
              <w:top w:val="nil"/>
              <w:left w:val="nil"/>
              <w:bottom w:val="single" w:sz="4" w:space="0" w:color="auto"/>
              <w:right w:val="single" w:sz="4" w:space="0" w:color="auto"/>
            </w:tcBorders>
            <w:shd w:val="clear" w:color="auto" w:fill="auto"/>
            <w:vAlign w:val="bottom"/>
            <w:hideMark/>
          </w:tcPr>
          <w:p w14:paraId="517FF203" w14:textId="69B3922D"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34743608" w14:textId="5D5545E3"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69499BAF" w14:textId="7DBEE9FD"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7E66D0E" w14:textId="0C2E0034"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DF27BD0" w14:textId="5BCA8509"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E927E2" w:rsidRPr="003966DC" w14:paraId="1A8BF66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442748A" w14:textId="0472EBC7"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Panama</w:t>
            </w:r>
          </w:p>
        </w:tc>
        <w:tc>
          <w:tcPr>
            <w:tcW w:w="1138" w:type="dxa"/>
            <w:tcBorders>
              <w:top w:val="nil"/>
              <w:left w:val="nil"/>
              <w:bottom w:val="single" w:sz="4" w:space="0" w:color="auto"/>
              <w:right w:val="single" w:sz="4" w:space="0" w:color="auto"/>
            </w:tcBorders>
            <w:shd w:val="clear" w:color="auto" w:fill="auto"/>
            <w:vAlign w:val="bottom"/>
            <w:hideMark/>
          </w:tcPr>
          <w:p w14:paraId="247DA382" w14:textId="27A6AD1F"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090</w:t>
            </w:r>
          </w:p>
        </w:tc>
        <w:tc>
          <w:tcPr>
            <w:tcW w:w="2552" w:type="dxa"/>
            <w:tcBorders>
              <w:top w:val="nil"/>
              <w:left w:val="nil"/>
              <w:bottom w:val="single" w:sz="4" w:space="0" w:color="auto"/>
              <w:right w:val="single" w:sz="4" w:space="0" w:color="auto"/>
            </w:tcBorders>
            <w:shd w:val="clear" w:color="auto" w:fill="auto"/>
            <w:noWrap/>
            <w:vAlign w:val="bottom"/>
            <w:hideMark/>
          </w:tcPr>
          <w:p w14:paraId="02F66FBF" w14:textId="489DF47E"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127</w:t>
            </w:r>
          </w:p>
        </w:tc>
        <w:tc>
          <w:tcPr>
            <w:tcW w:w="1217" w:type="dxa"/>
            <w:tcBorders>
              <w:top w:val="nil"/>
              <w:left w:val="nil"/>
              <w:bottom w:val="single" w:sz="4" w:space="0" w:color="auto"/>
              <w:right w:val="single" w:sz="4" w:space="0" w:color="auto"/>
            </w:tcBorders>
            <w:shd w:val="clear" w:color="auto" w:fill="auto"/>
            <w:noWrap/>
            <w:vAlign w:val="bottom"/>
            <w:hideMark/>
          </w:tcPr>
          <w:p w14:paraId="4329AABC" w14:textId="0A455AFD"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3 727</w:t>
            </w:r>
          </w:p>
        </w:tc>
        <w:tc>
          <w:tcPr>
            <w:tcW w:w="1213" w:type="dxa"/>
            <w:tcBorders>
              <w:top w:val="nil"/>
              <w:left w:val="nil"/>
              <w:bottom w:val="single" w:sz="4" w:space="0" w:color="auto"/>
              <w:right w:val="single" w:sz="4" w:space="0" w:color="auto"/>
            </w:tcBorders>
            <w:shd w:val="clear" w:color="auto" w:fill="auto"/>
            <w:noWrap/>
            <w:vAlign w:val="bottom"/>
            <w:hideMark/>
          </w:tcPr>
          <w:p w14:paraId="3087B88E" w14:textId="21C051DC"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3 982</w:t>
            </w:r>
          </w:p>
        </w:tc>
        <w:tc>
          <w:tcPr>
            <w:tcW w:w="1260" w:type="dxa"/>
            <w:tcBorders>
              <w:top w:val="nil"/>
              <w:left w:val="nil"/>
              <w:bottom w:val="single" w:sz="4" w:space="0" w:color="auto"/>
              <w:right w:val="single" w:sz="4" w:space="0" w:color="auto"/>
            </w:tcBorders>
            <w:shd w:val="clear" w:color="auto" w:fill="auto"/>
            <w:noWrap/>
            <w:vAlign w:val="bottom"/>
            <w:hideMark/>
          </w:tcPr>
          <w:p w14:paraId="61BFEA4A" w14:textId="6A11365E"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7 708</w:t>
            </w:r>
          </w:p>
        </w:tc>
      </w:tr>
      <w:tr w:rsidR="00E927E2" w:rsidRPr="003966DC" w14:paraId="12D526B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6784E8C" w14:textId="765BB0FB"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Papouasie-Nouvelle-Guinée</w:t>
            </w:r>
          </w:p>
        </w:tc>
        <w:tc>
          <w:tcPr>
            <w:tcW w:w="1138" w:type="dxa"/>
            <w:tcBorders>
              <w:top w:val="nil"/>
              <w:left w:val="nil"/>
              <w:bottom w:val="single" w:sz="4" w:space="0" w:color="auto"/>
              <w:right w:val="single" w:sz="4" w:space="0" w:color="auto"/>
            </w:tcBorders>
            <w:shd w:val="clear" w:color="auto" w:fill="auto"/>
            <w:vAlign w:val="bottom"/>
            <w:hideMark/>
          </w:tcPr>
          <w:p w14:paraId="5069F9C5" w14:textId="58C6B982"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2552" w:type="dxa"/>
            <w:tcBorders>
              <w:top w:val="nil"/>
              <w:left w:val="nil"/>
              <w:bottom w:val="single" w:sz="4" w:space="0" w:color="auto"/>
              <w:right w:val="single" w:sz="4" w:space="0" w:color="auto"/>
            </w:tcBorders>
            <w:shd w:val="clear" w:color="auto" w:fill="auto"/>
            <w:noWrap/>
            <w:vAlign w:val="bottom"/>
            <w:hideMark/>
          </w:tcPr>
          <w:p w14:paraId="0C9FDB27" w14:textId="34F9F4FC"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014</w:t>
            </w:r>
          </w:p>
        </w:tc>
        <w:tc>
          <w:tcPr>
            <w:tcW w:w="1217" w:type="dxa"/>
            <w:tcBorders>
              <w:top w:val="nil"/>
              <w:left w:val="nil"/>
              <w:bottom w:val="single" w:sz="4" w:space="0" w:color="auto"/>
              <w:right w:val="single" w:sz="4" w:space="0" w:color="auto"/>
            </w:tcBorders>
            <w:shd w:val="clear" w:color="auto" w:fill="auto"/>
            <w:noWrap/>
            <w:vAlign w:val="bottom"/>
            <w:hideMark/>
          </w:tcPr>
          <w:p w14:paraId="6BA71FD0" w14:textId="09506159"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414</w:t>
            </w:r>
          </w:p>
        </w:tc>
        <w:tc>
          <w:tcPr>
            <w:tcW w:w="1213" w:type="dxa"/>
            <w:tcBorders>
              <w:top w:val="nil"/>
              <w:left w:val="nil"/>
              <w:bottom w:val="single" w:sz="4" w:space="0" w:color="auto"/>
              <w:right w:val="single" w:sz="4" w:space="0" w:color="auto"/>
            </w:tcBorders>
            <w:shd w:val="clear" w:color="auto" w:fill="auto"/>
            <w:noWrap/>
            <w:vAlign w:val="bottom"/>
            <w:hideMark/>
          </w:tcPr>
          <w:p w14:paraId="057C54B2" w14:textId="59A46E5E"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442</w:t>
            </w:r>
          </w:p>
        </w:tc>
        <w:tc>
          <w:tcPr>
            <w:tcW w:w="1260" w:type="dxa"/>
            <w:tcBorders>
              <w:top w:val="nil"/>
              <w:left w:val="nil"/>
              <w:bottom w:val="single" w:sz="4" w:space="0" w:color="auto"/>
              <w:right w:val="single" w:sz="4" w:space="0" w:color="auto"/>
            </w:tcBorders>
            <w:shd w:val="clear" w:color="auto" w:fill="auto"/>
            <w:noWrap/>
            <w:vAlign w:val="bottom"/>
            <w:hideMark/>
          </w:tcPr>
          <w:p w14:paraId="0DC9D3F5" w14:textId="142AF161"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856</w:t>
            </w:r>
          </w:p>
        </w:tc>
      </w:tr>
      <w:tr w:rsidR="00E927E2" w:rsidRPr="003966DC" w14:paraId="6D30A59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639E8C2" w14:textId="6FC5349B"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Paraguay</w:t>
            </w:r>
          </w:p>
        </w:tc>
        <w:tc>
          <w:tcPr>
            <w:tcW w:w="1138" w:type="dxa"/>
            <w:tcBorders>
              <w:top w:val="nil"/>
              <w:left w:val="nil"/>
              <w:bottom w:val="single" w:sz="4" w:space="0" w:color="auto"/>
              <w:right w:val="single" w:sz="4" w:space="0" w:color="auto"/>
            </w:tcBorders>
            <w:shd w:val="clear" w:color="auto" w:fill="auto"/>
            <w:vAlign w:val="bottom"/>
            <w:hideMark/>
          </w:tcPr>
          <w:p w14:paraId="46A32481" w14:textId="2CFD86F7"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026</w:t>
            </w:r>
          </w:p>
        </w:tc>
        <w:tc>
          <w:tcPr>
            <w:tcW w:w="2552" w:type="dxa"/>
            <w:tcBorders>
              <w:top w:val="nil"/>
              <w:left w:val="nil"/>
              <w:bottom w:val="single" w:sz="4" w:space="0" w:color="auto"/>
              <w:right w:val="single" w:sz="4" w:space="0" w:color="auto"/>
            </w:tcBorders>
            <w:shd w:val="clear" w:color="auto" w:fill="auto"/>
            <w:noWrap/>
            <w:vAlign w:val="bottom"/>
            <w:hideMark/>
          </w:tcPr>
          <w:p w14:paraId="7BBC5462" w14:textId="5B9736E2"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037</w:t>
            </w:r>
          </w:p>
        </w:tc>
        <w:tc>
          <w:tcPr>
            <w:tcW w:w="1217" w:type="dxa"/>
            <w:tcBorders>
              <w:top w:val="nil"/>
              <w:left w:val="nil"/>
              <w:bottom w:val="single" w:sz="4" w:space="0" w:color="auto"/>
              <w:right w:val="single" w:sz="4" w:space="0" w:color="auto"/>
            </w:tcBorders>
            <w:shd w:val="clear" w:color="auto" w:fill="auto"/>
            <w:noWrap/>
            <w:vAlign w:val="bottom"/>
            <w:hideMark/>
          </w:tcPr>
          <w:p w14:paraId="02FE268C" w14:textId="315F9EFF"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1 077</w:t>
            </w:r>
          </w:p>
        </w:tc>
        <w:tc>
          <w:tcPr>
            <w:tcW w:w="1213" w:type="dxa"/>
            <w:tcBorders>
              <w:top w:val="nil"/>
              <w:left w:val="nil"/>
              <w:bottom w:val="single" w:sz="4" w:space="0" w:color="auto"/>
              <w:right w:val="single" w:sz="4" w:space="0" w:color="auto"/>
            </w:tcBorders>
            <w:shd w:val="clear" w:color="auto" w:fill="auto"/>
            <w:noWrap/>
            <w:vAlign w:val="bottom"/>
            <w:hideMark/>
          </w:tcPr>
          <w:p w14:paraId="6B196E8C" w14:textId="3C63773A"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1 150</w:t>
            </w:r>
          </w:p>
        </w:tc>
        <w:tc>
          <w:tcPr>
            <w:tcW w:w="1260" w:type="dxa"/>
            <w:tcBorders>
              <w:top w:val="nil"/>
              <w:left w:val="nil"/>
              <w:bottom w:val="single" w:sz="4" w:space="0" w:color="auto"/>
              <w:right w:val="single" w:sz="4" w:space="0" w:color="auto"/>
            </w:tcBorders>
            <w:shd w:val="clear" w:color="auto" w:fill="auto"/>
            <w:noWrap/>
            <w:vAlign w:val="bottom"/>
            <w:hideMark/>
          </w:tcPr>
          <w:p w14:paraId="49B2D8B6" w14:textId="4EE1B6B3"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2 227</w:t>
            </w:r>
          </w:p>
        </w:tc>
      </w:tr>
      <w:tr w:rsidR="00F16735" w:rsidRPr="003966DC" w14:paraId="549F0EB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71319D6C" w14:textId="2CC84E9C" w:rsidR="00F16735" w:rsidRPr="003966DC" w:rsidRDefault="00F16735" w:rsidP="00F16735">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Pays-Bas (Royaume des)</w:t>
            </w:r>
          </w:p>
        </w:tc>
        <w:tc>
          <w:tcPr>
            <w:tcW w:w="1138" w:type="dxa"/>
            <w:tcBorders>
              <w:top w:val="nil"/>
              <w:left w:val="nil"/>
              <w:bottom w:val="single" w:sz="4" w:space="0" w:color="auto"/>
              <w:right w:val="single" w:sz="4" w:space="0" w:color="auto"/>
            </w:tcBorders>
            <w:shd w:val="clear" w:color="auto" w:fill="auto"/>
            <w:vAlign w:val="bottom"/>
          </w:tcPr>
          <w:p w14:paraId="177128EE" w14:textId="428E7D57" w:rsidR="00F16735" w:rsidRPr="003966DC" w:rsidRDefault="00F16735" w:rsidP="00F1673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377</w:t>
            </w:r>
          </w:p>
        </w:tc>
        <w:tc>
          <w:tcPr>
            <w:tcW w:w="2552" w:type="dxa"/>
            <w:tcBorders>
              <w:top w:val="nil"/>
              <w:left w:val="nil"/>
              <w:bottom w:val="single" w:sz="4" w:space="0" w:color="auto"/>
              <w:right w:val="single" w:sz="4" w:space="0" w:color="auto"/>
            </w:tcBorders>
            <w:shd w:val="clear" w:color="auto" w:fill="auto"/>
            <w:noWrap/>
            <w:vAlign w:val="bottom"/>
          </w:tcPr>
          <w:p w14:paraId="6B3BED21" w14:textId="0420EEEA" w:rsidR="00F16735" w:rsidRPr="003966DC" w:rsidRDefault="00F16735" w:rsidP="00F1673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944</w:t>
            </w:r>
          </w:p>
        </w:tc>
        <w:tc>
          <w:tcPr>
            <w:tcW w:w="1217" w:type="dxa"/>
            <w:tcBorders>
              <w:top w:val="nil"/>
              <w:left w:val="nil"/>
              <w:bottom w:val="single" w:sz="4" w:space="0" w:color="auto"/>
              <w:right w:val="single" w:sz="4" w:space="0" w:color="auto"/>
            </w:tcBorders>
            <w:shd w:val="clear" w:color="auto" w:fill="auto"/>
            <w:noWrap/>
            <w:vAlign w:val="bottom"/>
          </w:tcPr>
          <w:p w14:paraId="7504ED71" w14:textId="3E22D57F" w:rsidR="00F16735" w:rsidRPr="003966DC" w:rsidRDefault="00F16735" w:rsidP="00F1673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57 017</w:t>
            </w:r>
          </w:p>
        </w:tc>
        <w:tc>
          <w:tcPr>
            <w:tcW w:w="1213" w:type="dxa"/>
            <w:tcBorders>
              <w:top w:val="nil"/>
              <w:left w:val="nil"/>
              <w:bottom w:val="single" w:sz="4" w:space="0" w:color="auto"/>
              <w:right w:val="single" w:sz="4" w:space="0" w:color="auto"/>
            </w:tcBorders>
            <w:shd w:val="clear" w:color="auto" w:fill="auto"/>
            <w:noWrap/>
            <w:vAlign w:val="bottom"/>
          </w:tcPr>
          <w:p w14:paraId="5915FBF7" w14:textId="596534BD" w:rsidR="00F16735" w:rsidRPr="003966DC" w:rsidRDefault="00F16735" w:rsidP="00F1673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60 919</w:t>
            </w:r>
          </w:p>
        </w:tc>
        <w:tc>
          <w:tcPr>
            <w:tcW w:w="1260" w:type="dxa"/>
            <w:tcBorders>
              <w:top w:val="nil"/>
              <w:left w:val="nil"/>
              <w:bottom w:val="single" w:sz="4" w:space="0" w:color="auto"/>
              <w:right w:val="single" w:sz="4" w:space="0" w:color="auto"/>
            </w:tcBorders>
            <w:shd w:val="clear" w:color="auto" w:fill="auto"/>
            <w:noWrap/>
            <w:vAlign w:val="bottom"/>
          </w:tcPr>
          <w:p w14:paraId="3B700C92" w14:textId="1AA51B11" w:rsidR="00F16735" w:rsidRPr="003966DC" w:rsidRDefault="00F16735" w:rsidP="00F16735">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117 936</w:t>
            </w:r>
          </w:p>
        </w:tc>
      </w:tr>
      <w:tr w:rsidR="00E927E2" w:rsidRPr="003966DC" w14:paraId="6ABCF13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E4D8C23" w14:textId="7D1C798A"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Pérou</w:t>
            </w:r>
          </w:p>
        </w:tc>
        <w:tc>
          <w:tcPr>
            <w:tcW w:w="1138" w:type="dxa"/>
            <w:tcBorders>
              <w:top w:val="nil"/>
              <w:left w:val="nil"/>
              <w:bottom w:val="single" w:sz="4" w:space="0" w:color="auto"/>
              <w:right w:val="single" w:sz="4" w:space="0" w:color="auto"/>
            </w:tcBorders>
            <w:shd w:val="clear" w:color="auto" w:fill="auto"/>
            <w:vAlign w:val="bottom"/>
            <w:hideMark/>
          </w:tcPr>
          <w:p w14:paraId="00060558" w14:textId="337B6933"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163</w:t>
            </w:r>
          </w:p>
        </w:tc>
        <w:tc>
          <w:tcPr>
            <w:tcW w:w="2552" w:type="dxa"/>
            <w:tcBorders>
              <w:top w:val="nil"/>
              <w:left w:val="nil"/>
              <w:bottom w:val="single" w:sz="4" w:space="0" w:color="auto"/>
              <w:right w:val="single" w:sz="4" w:space="0" w:color="auto"/>
            </w:tcBorders>
            <w:shd w:val="clear" w:color="auto" w:fill="auto"/>
            <w:noWrap/>
            <w:vAlign w:val="bottom"/>
            <w:hideMark/>
          </w:tcPr>
          <w:p w14:paraId="0207A05E" w14:textId="5C409818"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230</w:t>
            </w:r>
          </w:p>
        </w:tc>
        <w:tc>
          <w:tcPr>
            <w:tcW w:w="1217" w:type="dxa"/>
            <w:tcBorders>
              <w:top w:val="nil"/>
              <w:left w:val="nil"/>
              <w:bottom w:val="single" w:sz="4" w:space="0" w:color="auto"/>
              <w:right w:val="single" w:sz="4" w:space="0" w:color="auto"/>
            </w:tcBorders>
            <w:shd w:val="clear" w:color="auto" w:fill="auto"/>
            <w:noWrap/>
            <w:vAlign w:val="bottom"/>
            <w:hideMark/>
          </w:tcPr>
          <w:p w14:paraId="799FEDBE" w14:textId="442AC792"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6 749</w:t>
            </w:r>
          </w:p>
        </w:tc>
        <w:tc>
          <w:tcPr>
            <w:tcW w:w="1213" w:type="dxa"/>
            <w:tcBorders>
              <w:top w:val="nil"/>
              <w:left w:val="nil"/>
              <w:bottom w:val="single" w:sz="4" w:space="0" w:color="auto"/>
              <w:right w:val="single" w:sz="4" w:space="0" w:color="auto"/>
            </w:tcBorders>
            <w:shd w:val="clear" w:color="auto" w:fill="auto"/>
            <w:noWrap/>
            <w:vAlign w:val="bottom"/>
            <w:hideMark/>
          </w:tcPr>
          <w:p w14:paraId="07709758" w14:textId="3836FE03"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7 211</w:t>
            </w:r>
          </w:p>
        </w:tc>
        <w:tc>
          <w:tcPr>
            <w:tcW w:w="1260" w:type="dxa"/>
            <w:tcBorders>
              <w:top w:val="nil"/>
              <w:left w:val="nil"/>
              <w:bottom w:val="single" w:sz="4" w:space="0" w:color="auto"/>
              <w:right w:val="single" w:sz="4" w:space="0" w:color="auto"/>
            </w:tcBorders>
            <w:shd w:val="clear" w:color="auto" w:fill="auto"/>
            <w:noWrap/>
            <w:vAlign w:val="bottom"/>
            <w:hideMark/>
          </w:tcPr>
          <w:p w14:paraId="056ABC0D" w14:textId="30BB87FE"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13 960</w:t>
            </w:r>
          </w:p>
        </w:tc>
      </w:tr>
      <w:tr w:rsidR="00E927E2" w:rsidRPr="003966DC" w14:paraId="5EE2009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D7F01E1" w14:textId="7AC08FAE"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Philippines</w:t>
            </w:r>
          </w:p>
        </w:tc>
        <w:tc>
          <w:tcPr>
            <w:tcW w:w="1138" w:type="dxa"/>
            <w:tcBorders>
              <w:top w:val="nil"/>
              <w:left w:val="nil"/>
              <w:bottom w:val="single" w:sz="4" w:space="0" w:color="auto"/>
              <w:right w:val="single" w:sz="4" w:space="0" w:color="auto"/>
            </w:tcBorders>
            <w:shd w:val="clear" w:color="auto" w:fill="auto"/>
            <w:vAlign w:val="bottom"/>
            <w:hideMark/>
          </w:tcPr>
          <w:p w14:paraId="3C77FD57" w14:textId="6A4726FA"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212</w:t>
            </w:r>
          </w:p>
        </w:tc>
        <w:tc>
          <w:tcPr>
            <w:tcW w:w="2552" w:type="dxa"/>
            <w:tcBorders>
              <w:top w:val="nil"/>
              <w:left w:val="nil"/>
              <w:bottom w:val="single" w:sz="4" w:space="0" w:color="auto"/>
              <w:right w:val="single" w:sz="4" w:space="0" w:color="auto"/>
            </w:tcBorders>
            <w:shd w:val="clear" w:color="auto" w:fill="auto"/>
            <w:noWrap/>
            <w:vAlign w:val="bottom"/>
            <w:hideMark/>
          </w:tcPr>
          <w:p w14:paraId="623EBBF5" w14:textId="4C28D22A"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299</w:t>
            </w:r>
          </w:p>
        </w:tc>
        <w:tc>
          <w:tcPr>
            <w:tcW w:w="1217" w:type="dxa"/>
            <w:tcBorders>
              <w:top w:val="nil"/>
              <w:left w:val="nil"/>
              <w:bottom w:val="single" w:sz="4" w:space="0" w:color="auto"/>
              <w:right w:val="single" w:sz="4" w:space="0" w:color="auto"/>
            </w:tcBorders>
            <w:shd w:val="clear" w:color="auto" w:fill="auto"/>
            <w:noWrap/>
            <w:vAlign w:val="bottom"/>
            <w:hideMark/>
          </w:tcPr>
          <w:p w14:paraId="1BBD9F8A" w14:textId="255CD904"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8 778</w:t>
            </w:r>
          </w:p>
        </w:tc>
        <w:tc>
          <w:tcPr>
            <w:tcW w:w="1213" w:type="dxa"/>
            <w:tcBorders>
              <w:top w:val="nil"/>
              <w:left w:val="nil"/>
              <w:bottom w:val="single" w:sz="4" w:space="0" w:color="auto"/>
              <w:right w:val="single" w:sz="4" w:space="0" w:color="auto"/>
            </w:tcBorders>
            <w:shd w:val="clear" w:color="auto" w:fill="auto"/>
            <w:noWrap/>
            <w:vAlign w:val="bottom"/>
            <w:hideMark/>
          </w:tcPr>
          <w:p w14:paraId="549E3C6F" w14:textId="75FE3BB4"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9 379</w:t>
            </w:r>
          </w:p>
        </w:tc>
        <w:tc>
          <w:tcPr>
            <w:tcW w:w="1260" w:type="dxa"/>
            <w:tcBorders>
              <w:top w:val="nil"/>
              <w:left w:val="nil"/>
              <w:bottom w:val="single" w:sz="4" w:space="0" w:color="auto"/>
              <w:right w:val="single" w:sz="4" w:space="0" w:color="auto"/>
            </w:tcBorders>
            <w:shd w:val="clear" w:color="auto" w:fill="auto"/>
            <w:noWrap/>
            <w:vAlign w:val="bottom"/>
            <w:hideMark/>
          </w:tcPr>
          <w:p w14:paraId="55815D38" w14:textId="35454CA5"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18 157</w:t>
            </w:r>
          </w:p>
        </w:tc>
      </w:tr>
      <w:tr w:rsidR="00E927E2" w:rsidRPr="003966DC" w14:paraId="33CED40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F3D7321" w14:textId="7FD88E5A"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Pologne</w:t>
            </w:r>
          </w:p>
        </w:tc>
        <w:tc>
          <w:tcPr>
            <w:tcW w:w="1138" w:type="dxa"/>
            <w:tcBorders>
              <w:top w:val="nil"/>
              <w:left w:val="nil"/>
              <w:bottom w:val="single" w:sz="4" w:space="0" w:color="auto"/>
              <w:right w:val="single" w:sz="4" w:space="0" w:color="auto"/>
            </w:tcBorders>
            <w:shd w:val="clear" w:color="auto" w:fill="auto"/>
            <w:vAlign w:val="bottom"/>
            <w:hideMark/>
          </w:tcPr>
          <w:p w14:paraId="13767D67" w14:textId="6401B61E"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837</w:t>
            </w:r>
          </w:p>
        </w:tc>
        <w:tc>
          <w:tcPr>
            <w:tcW w:w="2552" w:type="dxa"/>
            <w:tcBorders>
              <w:top w:val="nil"/>
              <w:left w:val="nil"/>
              <w:bottom w:val="single" w:sz="4" w:space="0" w:color="auto"/>
              <w:right w:val="single" w:sz="4" w:space="0" w:color="auto"/>
            </w:tcBorders>
            <w:shd w:val="clear" w:color="auto" w:fill="auto"/>
            <w:noWrap/>
            <w:vAlign w:val="bottom"/>
            <w:hideMark/>
          </w:tcPr>
          <w:p w14:paraId="43B585AD" w14:textId="17A0724C"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182</w:t>
            </w:r>
          </w:p>
        </w:tc>
        <w:tc>
          <w:tcPr>
            <w:tcW w:w="1217" w:type="dxa"/>
            <w:tcBorders>
              <w:top w:val="nil"/>
              <w:left w:val="nil"/>
              <w:bottom w:val="single" w:sz="4" w:space="0" w:color="auto"/>
              <w:right w:val="single" w:sz="4" w:space="0" w:color="auto"/>
            </w:tcBorders>
            <w:shd w:val="clear" w:color="auto" w:fill="auto"/>
            <w:noWrap/>
            <w:vAlign w:val="bottom"/>
            <w:hideMark/>
          </w:tcPr>
          <w:p w14:paraId="25D60C99" w14:textId="3E9A3148"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34 658</w:t>
            </w:r>
          </w:p>
        </w:tc>
        <w:tc>
          <w:tcPr>
            <w:tcW w:w="1213" w:type="dxa"/>
            <w:tcBorders>
              <w:top w:val="nil"/>
              <w:left w:val="nil"/>
              <w:bottom w:val="single" w:sz="4" w:space="0" w:color="auto"/>
              <w:right w:val="single" w:sz="4" w:space="0" w:color="auto"/>
            </w:tcBorders>
            <w:shd w:val="clear" w:color="auto" w:fill="auto"/>
            <w:noWrap/>
            <w:vAlign w:val="bottom"/>
            <w:hideMark/>
          </w:tcPr>
          <w:p w14:paraId="1FAE1FC0" w14:textId="3C615ABE"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37 029</w:t>
            </w:r>
          </w:p>
        </w:tc>
        <w:tc>
          <w:tcPr>
            <w:tcW w:w="1260" w:type="dxa"/>
            <w:tcBorders>
              <w:top w:val="nil"/>
              <w:left w:val="nil"/>
              <w:bottom w:val="single" w:sz="4" w:space="0" w:color="auto"/>
              <w:right w:val="single" w:sz="4" w:space="0" w:color="auto"/>
            </w:tcBorders>
            <w:shd w:val="clear" w:color="auto" w:fill="auto"/>
            <w:noWrap/>
            <w:vAlign w:val="bottom"/>
            <w:hideMark/>
          </w:tcPr>
          <w:p w14:paraId="7604DE3D" w14:textId="7DE2FEB7"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71 687</w:t>
            </w:r>
          </w:p>
        </w:tc>
      </w:tr>
      <w:tr w:rsidR="00E927E2" w:rsidRPr="003966DC" w14:paraId="50BF9D1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0A8F2C7" w14:textId="180ADCBF"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Portugal</w:t>
            </w:r>
          </w:p>
        </w:tc>
        <w:tc>
          <w:tcPr>
            <w:tcW w:w="1138" w:type="dxa"/>
            <w:tcBorders>
              <w:top w:val="nil"/>
              <w:left w:val="nil"/>
              <w:bottom w:val="single" w:sz="4" w:space="0" w:color="auto"/>
              <w:right w:val="single" w:sz="4" w:space="0" w:color="auto"/>
            </w:tcBorders>
            <w:shd w:val="clear" w:color="auto" w:fill="auto"/>
            <w:vAlign w:val="bottom"/>
            <w:hideMark/>
          </w:tcPr>
          <w:p w14:paraId="0C7674CB" w14:textId="19350E70"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353</w:t>
            </w:r>
          </w:p>
        </w:tc>
        <w:tc>
          <w:tcPr>
            <w:tcW w:w="2552" w:type="dxa"/>
            <w:tcBorders>
              <w:top w:val="nil"/>
              <w:left w:val="nil"/>
              <w:bottom w:val="single" w:sz="4" w:space="0" w:color="auto"/>
              <w:right w:val="single" w:sz="4" w:space="0" w:color="auto"/>
            </w:tcBorders>
            <w:shd w:val="clear" w:color="auto" w:fill="auto"/>
            <w:noWrap/>
            <w:vAlign w:val="bottom"/>
            <w:hideMark/>
          </w:tcPr>
          <w:p w14:paraId="376B4193" w14:textId="3E9F21E1"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498</w:t>
            </w:r>
          </w:p>
        </w:tc>
        <w:tc>
          <w:tcPr>
            <w:tcW w:w="1217" w:type="dxa"/>
            <w:tcBorders>
              <w:top w:val="nil"/>
              <w:left w:val="nil"/>
              <w:bottom w:val="single" w:sz="4" w:space="0" w:color="auto"/>
              <w:right w:val="single" w:sz="4" w:space="0" w:color="auto"/>
            </w:tcBorders>
            <w:shd w:val="clear" w:color="auto" w:fill="auto"/>
            <w:noWrap/>
            <w:vAlign w:val="bottom"/>
            <w:hideMark/>
          </w:tcPr>
          <w:p w14:paraId="28BF763A" w14:textId="0852AE91"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14 617</w:t>
            </w:r>
          </w:p>
        </w:tc>
        <w:tc>
          <w:tcPr>
            <w:tcW w:w="1213" w:type="dxa"/>
            <w:tcBorders>
              <w:top w:val="nil"/>
              <w:left w:val="nil"/>
              <w:bottom w:val="single" w:sz="4" w:space="0" w:color="auto"/>
              <w:right w:val="single" w:sz="4" w:space="0" w:color="auto"/>
            </w:tcBorders>
            <w:shd w:val="clear" w:color="auto" w:fill="auto"/>
            <w:noWrap/>
            <w:vAlign w:val="bottom"/>
            <w:hideMark/>
          </w:tcPr>
          <w:p w14:paraId="54275008" w14:textId="66FF9C5B"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15 617</w:t>
            </w:r>
          </w:p>
        </w:tc>
        <w:tc>
          <w:tcPr>
            <w:tcW w:w="1260" w:type="dxa"/>
            <w:tcBorders>
              <w:top w:val="nil"/>
              <w:left w:val="nil"/>
              <w:bottom w:val="single" w:sz="4" w:space="0" w:color="auto"/>
              <w:right w:val="single" w:sz="4" w:space="0" w:color="auto"/>
            </w:tcBorders>
            <w:shd w:val="clear" w:color="auto" w:fill="auto"/>
            <w:noWrap/>
            <w:vAlign w:val="bottom"/>
            <w:hideMark/>
          </w:tcPr>
          <w:p w14:paraId="03362F42" w14:textId="771E4B49"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30 233</w:t>
            </w:r>
          </w:p>
        </w:tc>
      </w:tr>
      <w:tr w:rsidR="00E927E2" w:rsidRPr="003966DC" w14:paraId="77143E2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1FB4CD5" w14:textId="277CF15C" w:rsidR="00E927E2" w:rsidRPr="003966DC" w:rsidRDefault="00E927E2" w:rsidP="00E927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Qatar</w:t>
            </w:r>
          </w:p>
        </w:tc>
        <w:tc>
          <w:tcPr>
            <w:tcW w:w="1138" w:type="dxa"/>
            <w:tcBorders>
              <w:top w:val="nil"/>
              <w:left w:val="nil"/>
              <w:bottom w:val="single" w:sz="4" w:space="0" w:color="auto"/>
              <w:right w:val="single" w:sz="4" w:space="0" w:color="auto"/>
            </w:tcBorders>
            <w:shd w:val="clear" w:color="auto" w:fill="auto"/>
            <w:vAlign w:val="bottom"/>
            <w:hideMark/>
          </w:tcPr>
          <w:p w14:paraId="00BF7C6C" w14:textId="27B27EA1"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269</w:t>
            </w:r>
          </w:p>
        </w:tc>
        <w:tc>
          <w:tcPr>
            <w:tcW w:w="2552" w:type="dxa"/>
            <w:tcBorders>
              <w:top w:val="nil"/>
              <w:left w:val="nil"/>
              <w:bottom w:val="single" w:sz="4" w:space="0" w:color="auto"/>
              <w:right w:val="single" w:sz="4" w:space="0" w:color="auto"/>
            </w:tcBorders>
            <w:shd w:val="clear" w:color="auto" w:fill="auto"/>
            <w:noWrap/>
            <w:vAlign w:val="bottom"/>
            <w:hideMark/>
          </w:tcPr>
          <w:p w14:paraId="4D14E412" w14:textId="68ACA9BD"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380</w:t>
            </w:r>
          </w:p>
        </w:tc>
        <w:tc>
          <w:tcPr>
            <w:tcW w:w="1217" w:type="dxa"/>
            <w:tcBorders>
              <w:top w:val="nil"/>
              <w:left w:val="nil"/>
              <w:bottom w:val="single" w:sz="4" w:space="0" w:color="auto"/>
              <w:right w:val="single" w:sz="4" w:space="0" w:color="auto"/>
            </w:tcBorders>
            <w:shd w:val="clear" w:color="auto" w:fill="auto"/>
            <w:noWrap/>
            <w:vAlign w:val="bottom"/>
            <w:hideMark/>
          </w:tcPr>
          <w:p w14:paraId="357E6028" w14:textId="603B35DD"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11 138</w:t>
            </w:r>
          </w:p>
        </w:tc>
        <w:tc>
          <w:tcPr>
            <w:tcW w:w="1213" w:type="dxa"/>
            <w:tcBorders>
              <w:top w:val="nil"/>
              <w:left w:val="nil"/>
              <w:bottom w:val="single" w:sz="4" w:space="0" w:color="auto"/>
              <w:right w:val="single" w:sz="4" w:space="0" w:color="auto"/>
            </w:tcBorders>
            <w:shd w:val="clear" w:color="auto" w:fill="auto"/>
            <w:noWrap/>
            <w:vAlign w:val="bottom"/>
            <w:hideMark/>
          </w:tcPr>
          <w:p w14:paraId="4C3BA6C3" w14:textId="5A8E5359"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11 901</w:t>
            </w:r>
          </w:p>
        </w:tc>
        <w:tc>
          <w:tcPr>
            <w:tcW w:w="1260" w:type="dxa"/>
            <w:tcBorders>
              <w:top w:val="nil"/>
              <w:left w:val="nil"/>
              <w:bottom w:val="single" w:sz="4" w:space="0" w:color="auto"/>
              <w:right w:val="single" w:sz="4" w:space="0" w:color="auto"/>
            </w:tcBorders>
            <w:shd w:val="clear" w:color="auto" w:fill="auto"/>
            <w:noWrap/>
            <w:vAlign w:val="bottom"/>
            <w:hideMark/>
          </w:tcPr>
          <w:p w14:paraId="27796494" w14:textId="21206509" w:rsidR="00E927E2" w:rsidRPr="003966DC" w:rsidRDefault="00E927E2" w:rsidP="00E927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23 039</w:t>
            </w:r>
          </w:p>
        </w:tc>
      </w:tr>
      <w:tr w:rsidR="005B26E2" w:rsidRPr="003966DC" w14:paraId="5D089BA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F13BFE8" w14:textId="3429D659" w:rsidR="005B26E2" w:rsidRPr="003966DC" w:rsidRDefault="005B26E2" w:rsidP="005B26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République arabe syrienne</w:t>
            </w:r>
          </w:p>
        </w:tc>
        <w:tc>
          <w:tcPr>
            <w:tcW w:w="1138" w:type="dxa"/>
            <w:tcBorders>
              <w:top w:val="nil"/>
              <w:left w:val="nil"/>
              <w:bottom w:val="single" w:sz="4" w:space="0" w:color="auto"/>
              <w:right w:val="single" w:sz="4" w:space="0" w:color="auto"/>
            </w:tcBorders>
            <w:shd w:val="clear" w:color="auto" w:fill="auto"/>
            <w:vAlign w:val="bottom"/>
          </w:tcPr>
          <w:p w14:paraId="73B602FE" w14:textId="568ADACE"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009</w:t>
            </w:r>
          </w:p>
        </w:tc>
        <w:tc>
          <w:tcPr>
            <w:tcW w:w="2552" w:type="dxa"/>
            <w:tcBorders>
              <w:top w:val="nil"/>
              <w:left w:val="nil"/>
              <w:bottom w:val="single" w:sz="4" w:space="0" w:color="auto"/>
              <w:right w:val="single" w:sz="4" w:space="0" w:color="auto"/>
            </w:tcBorders>
            <w:shd w:val="clear" w:color="auto" w:fill="auto"/>
            <w:noWrap/>
            <w:vAlign w:val="bottom"/>
          </w:tcPr>
          <w:p w14:paraId="289DB0B4" w14:textId="17888FE5"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013</w:t>
            </w:r>
          </w:p>
        </w:tc>
        <w:tc>
          <w:tcPr>
            <w:tcW w:w="1217" w:type="dxa"/>
            <w:tcBorders>
              <w:top w:val="nil"/>
              <w:left w:val="nil"/>
              <w:bottom w:val="single" w:sz="4" w:space="0" w:color="auto"/>
              <w:right w:val="single" w:sz="4" w:space="0" w:color="auto"/>
            </w:tcBorders>
            <w:shd w:val="clear" w:color="auto" w:fill="auto"/>
            <w:noWrap/>
            <w:vAlign w:val="bottom"/>
          </w:tcPr>
          <w:p w14:paraId="4490A88E" w14:textId="0AD7AEA5"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373</w:t>
            </w:r>
          </w:p>
        </w:tc>
        <w:tc>
          <w:tcPr>
            <w:tcW w:w="1213" w:type="dxa"/>
            <w:tcBorders>
              <w:top w:val="nil"/>
              <w:left w:val="nil"/>
              <w:bottom w:val="single" w:sz="4" w:space="0" w:color="auto"/>
              <w:right w:val="single" w:sz="4" w:space="0" w:color="auto"/>
            </w:tcBorders>
            <w:shd w:val="clear" w:color="auto" w:fill="auto"/>
            <w:noWrap/>
            <w:vAlign w:val="bottom"/>
          </w:tcPr>
          <w:p w14:paraId="7C9F2E24" w14:textId="0F53AF09"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398</w:t>
            </w:r>
          </w:p>
        </w:tc>
        <w:tc>
          <w:tcPr>
            <w:tcW w:w="1260" w:type="dxa"/>
            <w:tcBorders>
              <w:top w:val="nil"/>
              <w:left w:val="nil"/>
              <w:bottom w:val="single" w:sz="4" w:space="0" w:color="auto"/>
              <w:right w:val="single" w:sz="4" w:space="0" w:color="auto"/>
            </w:tcBorders>
            <w:shd w:val="clear" w:color="auto" w:fill="auto"/>
            <w:noWrap/>
            <w:vAlign w:val="bottom"/>
          </w:tcPr>
          <w:p w14:paraId="01BA2420" w14:textId="186E9D80"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771</w:t>
            </w:r>
          </w:p>
        </w:tc>
      </w:tr>
      <w:tr w:rsidR="003375E9" w:rsidRPr="003966DC" w14:paraId="7DE539B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0C18F90B" w14:textId="15F5A669" w:rsidR="003375E9" w:rsidRPr="003966DC" w:rsidRDefault="003375E9" w:rsidP="003375E9">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République centrafricaine</w:t>
            </w:r>
          </w:p>
        </w:tc>
        <w:tc>
          <w:tcPr>
            <w:tcW w:w="1138" w:type="dxa"/>
            <w:tcBorders>
              <w:top w:val="nil"/>
              <w:left w:val="nil"/>
              <w:bottom w:val="single" w:sz="4" w:space="0" w:color="auto"/>
              <w:right w:val="single" w:sz="4" w:space="0" w:color="auto"/>
            </w:tcBorders>
            <w:shd w:val="clear" w:color="auto" w:fill="auto"/>
            <w:vAlign w:val="bottom"/>
          </w:tcPr>
          <w:p w14:paraId="3516D524" w14:textId="760DC537" w:rsidR="003375E9" w:rsidRPr="003966DC" w:rsidRDefault="003375E9" w:rsidP="003375E9">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tcPr>
          <w:p w14:paraId="47FB9E1E" w14:textId="6FEC880F" w:rsidR="003375E9" w:rsidRPr="003966DC" w:rsidRDefault="003375E9" w:rsidP="003375E9">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tcPr>
          <w:p w14:paraId="1AEDCF26" w14:textId="7E22A0CF" w:rsidR="003375E9" w:rsidRPr="003966DC" w:rsidRDefault="003375E9" w:rsidP="003375E9">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tcPr>
          <w:p w14:paraId="3030AE03" w14:textId="11801FA3" w:rsidR="003375E9" w:rsidRPr="003966DC" w:rsidRDefault="003375E9" w:rsidP="003375E9">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tcPr>
          <w:p w14:paraId="56906E53" w14:textId="7B4A5C32" w:rsidR="003375E9" w:rsidRPr="003966DC" w:rsidRDefault="003375E9" w:rsidP="003375E9">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C47440" w:rsidRPr="003966DC" w14:paraId="14B6524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EA16DCE" w14:textId="5D8354E2" w:rsidR="00C47440" w:rsidRPr="003966DC" w:rsidRDefault="00C47440" w:rsidP="00C4744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République de Corée</w:t>
            </w:r>
          </w:p>
        </w:tc>
        <w:tc>
          <w:tcPr>
            <w:tcW w:w="1138" w:type="dxa"/>
            <w:tcBorders>
              <w:top w:val="nil"/>
              <w:left w:val="nil"/>
              <w:bottom w:val="single" w:sz="4" w:space="0" w:color="auto"/>
              <w:right w:val="single" w:sz="4" w:space="0" w:color="auto"/>
            </w:tcBorders>
            <w:shd w:val="clear" w:color="auto" w:fill="auto"/>
            <w:vAlign w:val="bottom"/>
            <w:hideMark/>
          </w:tcPr>
          <w:p w14:paraId="71FE599D" w14:textId="2A9335BA"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574</w:t>
            </w:r>
          </w:p>
        </w:tc>
        <w:tc>
          <w:tcPr>
            <w:tcW w:w="2552" w:type="dxa"/>
            <w:tcBorders>
              <w:top w:val="nil"/>
              <w:left w:val="nil"/>
              <w:bottom w:val="single" w:sz="4" w:space="0" w:color="auto"/>
              <w:right w:val="single" w:sz="4" w:space="0" w:color="auto"/>
            </w:tcBorders>
            <w:shd w:val="clear" w:color="auto" w:fill="auto"/>
            <w:noWrap/>
            <w:vAlign w:val="bottom"/>
            <w:hideMark/>
          </w:tcPr>
          <w:p w14:paraId="45C0DDD0" w14:textId="2830A10E"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634</w:t>
            </w:r>
          </w:p>
        </w:tc>
        <w:tc>
          <w:tcPr>
            <w:tcW w:w="1217" w:type="dxa"/>
            <w:tcBorders>
              <w:top w:val="nil"/>
              <w:left w:val="nil"/>
              <w:bottom w:val="single" w:sz="4" w:space="0" w:color="auto"/>
              <w:right w:val="single" w:sz="4" w:space="0" w:color="auto"/>
            </w:tcBorders>
            <w:shd w:val="clear" w:color="auto" w:fill="auto"/>
            <w:noWrap/>
            <w:vAlign w:val="bottom"/>
            <w:hideMark/>
          </w:tcPr>
          <w:p w14:paraId="130A3F1F" w14:textId="72D0CCBA"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106 582</w:t>
            </w:r>
          </w:p>
        </w:tc>
        <w:tc>
          <w:tcPr>
            <w:tcW w:w="1213" w:type="dxa"/>
            <w:tcBorders>
              <w:top w:val="nil"/>
              <w:left w:val="nil"/>
              <w:bottom w:val="single" w:sz="4" w:space="0" w:color="auto"/>
              <w:right w:val="single" w:sz="4" w:space="0" w:color="auto"/>
            </w:tcBorders>
            <w:shd w:val="clear" w:color="auto" w:fill="auto"/>
            <w:noWrap/>
            <w:vAlign w:val="bottom"/>
            <w:hideMark/>
          </w:tcPr>
          <w:p w14:paraId="0B24317A" w14:textId="4F4B0031"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113 874</w:t>
            </w:r>
          </w:p>
        </w:tc>
        <w:tc>
          <w:tcPr>
            <w:tcW w:w="1260" w:type="dxa"/>
            <w:tcBorders>
              <w:top w:val="nil"/>
              <w:left w:val="nil"/>
              <w:bottom w:val="single" w:sz="4" w:space="0" w:color="auto"/>
              <w:right w:val="single" w:sz="4" w:space="0" w:color="auto"/>
            </w:tcBorders>
            <w:shd w:val="clear" w:color="auto" w:fill="auto"/>
            <w:noWrap/>
            <w:vAlign w:val="bottom"/>
            <w:hideMark/>
          </w:tcPr>
          <w:p w14:paraId="068AC50E" w14:textId="0B534520"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220 456</w:t>
            </w:r>
          </w:p>
        </w:tc>
      </w:tr>
      <w:tr w:rsidR="00C47440" w:rsidRPr="003966DC" w14:paraId="65892AB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17E2284" w14:textId="31377A1F" w:rsidR="00C47440" w:rsidRPr="003966DC" w:rsidRDefault="00C47440" w:rsidP="00C4744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République de Mold</w:t>
            </w:r>
            <w:r w:rsidR="007217A2" w:rsidRPr="003966DC">
              <w:rPr>
                <w:rFonts w:eastAsia="Times New Roman"/>
                <w:color w:val="000000" w:themeColor="text1"/>
                <w:sz w:val="18"/>
                <w:szCs w:val="18"/>
                <w:lang w:val="fr-FR" w:eastAsia="en-CA"/>
              </w:rPr>
              <w:t>ova</w:t>
            </w:r>
          </w:p>
        </w:tc>
        <w:tc>
          <w:tcPr>
            <w:tcW w:w="1138" w:type="dxa"/>
            <w:tcBorders>
              <w:top w:val="nil"/>
              <w:left w:val="nil"/>
              <w:bottom w:val="single" w:sz="4" w:space="0" w:color="auto"/>
              <w:right w:val="single" w:sz="4" w:space="0" w:color="auto"/>
            </w:tcBorders>
            <w:shd w:val="clear" w:color="auto" w:fill="auto"/>
            <w:vAlign w:val="bottom"/>
            <w:hideMark/>
          </w:tcPr>
          <w:p w14:paraId="4EFEDD72" w14:textId="39458369"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005</w:t>
            </w:r>
          </w:p>
        </w:tc>
        <w:tc>
          <w:tcPr>
            <w:tcW w:w="2552" w:type="dxa"/>
            <w:tcBorders>
              <w:top w:val="nil"/>
              <w:left w:val="nil"/>
              <w:bottom w:val="single" w:sz="4" w:space="0" w:color="auto"/>
              <w:right w:val="single" w:sz="4" w:space="0" w:color="auto"/>
            </w:tcBorders>
            <w:shd w:val="clear" w:color="auto" w:fill="auto"/>
            <w:noWrap/>
            <w:vAlign w:val="bottom"/>
            <w:hideMark/>
          </w:tcPr>
          <w:p w14:paraId="228240CC" w14:textId="39AA0976"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1217" w:type="dxa"/>
            <w:tcBorders>
              <w:top w:val="nil"/>
              <w:left w:val="nil"/>
              <w:bottom w:val="single" w:sz="4" w:space="0" w:color="auto"/>
              <w:right w:val="single" w:sz="4" w:space="0" w:color="auto"/>
            </w:tcBorders>
            <w:shd w:val="clear" w:color="auto" w:fill="auto"/>
            <w:noWrap/>
            <w:vAlign w:val="bottom"/>
            <w:hideMark/>
          </w:tcPr>
          <w:p w14:paraId="79FC988A" w14:textId="61948997"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6A74DC71" w14:textId="3B44264F"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2039D410" w14:textId="407E6CC8"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428</w:t>
            </w:r>
          </w:p>
        </w:tc>
      </w:tr>
      <w:tr w:rsidR="009E58A3" w:rsidRPr="003966DC" w14:paraId="7303004E"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1122BAE" w14:textId="138CA60A" w:rsidR="009E58A3" w:rsidRPr="003966DC" w:rsidRDefault="009E58A3" w:rsidP="009E58A3">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République démocratique du Congo</w:t>
            </w:r>
          </w:p>
        </w:tc>
        <w:tc>
          <w:tcPr>
            <w:tcW w:w="1138" w:type="dxa"/>
            <w:tcBorders>
              <w:top w:val="nil"/>
              <w:left w:val="nil"/>
              <w:bottom w:val="single" w:sz="4" w:space="0" w:color="auto"/>
              <w:right w:val="single" w:sz="4" w:space="0" w:color="auto"/>
            </w:tcBorders>
            <w:shd w:val="clear" w:color="auto" w:fill="auto"/>
            <w:vAlign w:val="bottom"/>
          </w:tcPr>
          <w:p w14:paraId="71228E4C" w14:textId="00F4C8B1" w:rsidR="009E58A3" w:rsidRPr="003966DC" w:rsidRDefault="009E58A3" w:rsidP="009E58A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2552" w:type="dxa"/>
            <w:tcBorders>
              <w:top w:val="nil"/>
              <w:left w:val="nil"/>
              <w:bottom w:val="single" w:sz="4" w:space="0" w:color="auto"/>
              <w:right w:val="single" w:sz="4" w:space="0" w:color="auto"/>
            </w:tcBorders>
            <w:shd w:val="clear" w:color="auto" w:fill="auto"/>
            <w:noWrap/>
            <w:vAlign w:val="bottom"/>
          </w:tcPr>
          <w:p w14:paraId="55B9DC84" w14:textId="7B7158B0" w:rsidR="009E58A3" w:rsidRPr="003966DC" w:rsidRDefault="009E58A3" w:rsidP="009E58A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tcPr>
          <w:p w14:paraId="564D84CD" w14:textId="64E24B13" w:rsidR="009E58A3" w:rsidRPr="003966DC" w:rsidRDefault="009E58A3" w:rsidP="009E58A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293</w:t>
            </w:r>
          </w:p>
        </w:tc>
        <w:tc>
          <w:tcPr>
            <w:tcW w:w="1213" w:type="dxa"/>
            <w:tcBorders>
              <w:top w:val="nil"/>
              <w:left w:val="nil"/>
              <w:bottom w:val="single" w:sz="4" w:space="0" w:color="auto"/>
              <w:right w:val="single" w:sz="4" w:space="0" w:color="auto"/>
            </w:tcBorders>
            <w:shd w:val="clear" w:color="auto" w:fill="auto"/>
            <w:noWrap/>
            <w:vAlign w:val="bottom"/>
          </w:tcPr>
          <w:p w14:paraId="76EC85EF" w14:textId="5866F3C3" w:rsidR="009E58A3" w:rsidRPr="003966DC" w:rsidRDefault="009E58A3" w:rsidP="009E58A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313</w:t>
            </w:r>
          </w:p>
        </w:tc>
        <w:tc>
          <w:tcPr>
            <w:tcW w:w="1260" w:type="dxa"/>
            <w:tcBorders>
              <w:top w:val="nil"/>
              <w:left w:val="nil"/>
              <w:bottom w:val="single" w:sz="4" w:space="0" w:color="auto"/>
              <w:right w:val="single" w:sz="4" w:space="0" w:color="auto"/>
            </w:tcBorders>
            <w:shd w:val="clear" w:color="auto" w:fill="auto"/>
            <w:noWrap/>
            <w:vAlign w:val="bottom"/>
          </w:tcPr>
          <w:p w14:paraId="6ADB1D61" w14:textId="00A27435" w:rsidR="009E58A3" w:rsidRPr="003966DC" w:rsidRDefault="009E58A3" w:rsidP="009E58A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607</w:t>
            </w:r>
          </w:p>
        </w:tc>
      </w:tr>
      <w:tr w:rsidR="009E58A3" w:rsidRPr="003966DC" w14:paraId="5B56B1B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5E0CE58" w14:textId="4FDDD81A" w:rsidR="009E58A3" w:rsidRPr="003966DC" w:rsidRDefault="009E58A3" w:rsidP="009E58A3">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République démocratique populaire lao</w:t>
            </w:r>
          </w:p>
        </w:tc>
        <w:tc>
          <w:tcPr>
            <w:tcW w:w="1138" w:type="dxa"/>
            <w:tcBorders>
              <w:top w:val="nil"/>
              <w:left w:val="nil"/>
              <w:bottom w:val="single" w:sz="4" w:space="0" w:color="auto"/>
              <w:right w:val="single" w:sz="4" w:space="0" w:color="auto"/>
            </w:tcBorders>
            <w:shd w:val="clear" w:color="auto" w:fill="auto"/>
            <w:vAlign w:val="bottom"/>
          </w:tcPr>
          <w:p w14:paraId="3C58D95D" w14:textId="0F34F5D5" w:rsidR="009E58A3" w:rsidRPr="003966DC" w:rsidRDefault="009E58A3" w:rsidP="009E58A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2552" w:type="dxa"/>
            <w:tcBorders>
              <w:top w:val="nil"/>
              <w:left w:val="nil"/>
              <w:bottom w:val="single" w:sz="4" w:space="0" w:color="auto"/>
              <w:right w:val="single" w:sz="4" w:space="0" w:color="auto"/>
            </w:tcBorders>
            <w:shd w:val="clear" w:color="auto" w:fill="auto"/>
            <w:noWrap/>
            <w:vAlign w:val="bottom"/>
          </w:tcPr>
          <w:p w14:paraId="3797A4FE" w14:textId="6C7D9B0D" w:rsidR="009E58A3" w:rsidRPr="003966DC" w:rsidRDefault="009E58A3" w:rsidP="009E58A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tcPr>
          <w:p w14:paraId="4FA186CE" w14:textId="6DC809DD" w:rsidR="009E58A3" w:rsidRPr="003966DC" w:rsidRDefault="009E58A3" w:rsidP="009E58A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290</w:t>
            </w:r>
          </w:p>
        </w:tc>
        <w:tc>
          <w:tcPr>
            <w:tcW w:w="1213" w:type="dxa"/>
            <w:tcBorders>
              <w:top w:val="nil"/>
              <w:left w:val="nil"/>
              <w:bottom w:val="single" w:sz="4" w:space="0" w:color="auto"/>
              <w:right w:val="single" w:sz="4" w:space="0" w:color="auto"/>
            </w:tcBorders>
            <w:shd w:val="clear" w:color="auto" w:fill="auto"/>
            <w:noWrap/>
            <w:vAlign w:val="bottom"/>
          </w:tcPr>
          <w:p w14:paraId="02BD6136" w14:textId="2E2F6297" w:rsidR="009E58A3" w:rsidRPr="003966DC" w:rsidRDefault="009E58A3" w:rsidP="009E58A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310</w:t>
            </w:r>
          </w:p>
        </w:tc>
        <w:tc>
          <w:tcPr>
            <w:tcW w:w="1260" w:type="dxa"/>
            <w:tcBorders>
              <w:top w:val="nil"/>
              <w:left w:val="nil"/>
              <w:bottom w:val="single" w:sz="4" w:space="0" w:color="auto"/>
              <w:right w:val="single" w:sz="4" w:space="0" w:color="auto"/>
            </w:tcBorders>
            <w:shd w:val="clear" w:color="auto" w:fill="auto"/>
            <w:noWrap/>
            <w:vAlign w:val="bottom"/>
          </w:tcPr>
          <w:p w14:paraId="3646F5F6" w14:textId="6AE605B5" w:rsidR="009E58A3" w:rsidRPr="003966DC" w:rsidRDefault="009E58A3" w:rsidP="009E58A3">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600</w:t>
            </w:r>
          </w:p>
        </w:tc>
      </w:tr>
      <w:tr w:rsidR="00286944" w:rsidRPr="003966DC" w14:paraId="598DDF6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1E1FD344" w14:textId="6759AF5E" w:rsidR="00286944" w:rsidRPr="003966DC" w:rsidRDefault="00286944" w:rsidP="00286944">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République dominicaine</w:t>
            </w:r>
          </w:p>
        </w:tc>
        <w:tc>
          <w:tcPr>
            <w:tcW w:w="1138" w:type="dxa"/>
            <w:tcBorders>
              <w:top w:val="nil"/>
              <w:left w:val="nil"/>
              <w:bottom w:val="single" w:sz="4" w:space="0" w:color="auto"/>
              <w:right w:val="single" w:sz="4" w:space="0" w:color="auto"/>
            </w:tcBorders>
            <w:shd w:val="clear" w:color="auto" w:fill="auto"/>
            <w:vAlign w:val="bottom"/>
          </w:tcPr>
          <w:p w14:paraId="45F8881B" w14:textId="327BE22E"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067</w:t>
            </w:r>
          </w:p>
        </w:tc>
        <w:tc>
          <w:tcPr>
            <w:tcW w:w="2552" w:type="dxa"/>
            <w:tcBorders>
              <w:top w:val="nil"/>
              <w:left w:val="nil"/>
              <w:bottom w:val="single" w:sz="4" w:space="0" w:color="auto"/>
              <w:right w:val="single" w:sz="4" w:space="0" w:color="auto"/>
            </w:tcBorders>
            <w:shd w:val="clear" w:color="auto" w:fill="auto"/>
            <w:noWrap/>
            <w:vAlign w:val="bottom"/>
          </w:tcPr>
          <w:p w14:paraId="6A8A5AAF" w14:textId="13AC6CE9"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095</w:t>
            </w:r>
          </w:p>
        </w:tc>
        <w:tc>
          <w:tcPr>
            <w:tcW w:w="1217" w:type="dxa"/>
            <w:tcBorders>
              <w:top w:val="nil"/>
              <w:left w:val="nil"/>
              <w:bottom w:val="single" w:sz="4" w:space="0" w:color="auto"/>
              <w:right w:val="single" w:sz="4" w:space="0" w:color="auto"/>
            </w:tcBorders>
            <w:shd w:val="clear" w:color="auto" w:fill="auto"/>
            <w:noWrap/>
            <w:vAlign w:val="bottom"/>
          </w:tcPr>
          <w:p w14:paraId="58C5D479" w14:textId="1113653E"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2 774</w:t>
            </w:r>
          </w:p>
        </w:tc>
        <w:tc>
          <w:tcPr>
            <w:tcW w:w="1213" w:type="dxa"/>
            <w:tcBorders>
              <w:top w:val="nil"/>
              <w:left w:val="nil"/>
              <w:bottom w:val="single" w:sz="4" w:space="0" w:color="auto"/>
              <w:right w:val="single" w:sz="4" w:space="0" w:color="auto"/>
            </w:tcBorders>
            <w:shd w:val="clear" w:color="auto" w:fill="auto"/>
            <w:noWrap/>
            <w:vAlign w:val="bottom"/>
          </w:tcPr>
          <w:p w14:paraId="38750B30" w14:textId="301FC64E"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2 964</w:t>
            </w:r>
          </w:p>
        </w:tc>
        <w:tc>
          <w:tcPr>
            <w:tcW w:w="1260" w:type="dxa"/>
            <w:tcBorders>
              <w:top w:val="nil"/>
              <w:left w:val="nil"/>
              <w:bottom w:val="single" w:sz="4" w:space="0" w:color="auto"/>
              <w:right w:val="single" w:sz="4" w:space="0" w:color="auto"/>
            </w:tcBorders>
            <w:shd w:val="clear" w:color="auto" w:fill="auto"/>
            <w:noWrap/>
            <w:vAlign w:val="bottom"/>
          </w:tcPr>
          <w:p w14:paraId="7D3AF31F" w14:textId="4E075C73" w:rsidR="00286944" w:rsidRPr="003966DC" w:rsidRDefault="00286944" w:rsidP="00286944">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5 738</w:t>
            </w:r>
          </w:p>
        </w:tc>
      </w:tr>
      <w:tr w:rsidR="00141852" w:rsidRPr="003966DC" w14:paraId="65365A4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5160E05" w14:textId="4B6E5AE5" w:rsidR="00141852" w:rsidRPr="003966DC" w:rsidRDefault="00141852" w:rsidP="0014185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République populaire démocratique de Corée</w:t>
            </w:r>
          </w:p>
        </w:tc>
        <w:tc>
          <w:tcPr>
            <w:tcW w:w="1138" w:type="dxa"/>
            <w:tcBorders>
              <w:top w:val="nil"/>
              <w:left w:val="nil"/>
              <w:bottom w:val="single" w:sz="4" w:space="0" w:color="auto"/>
              <w:right w:val="single" w:sz="4" w:space="0" w:color="auto"/>
            </w:tcBorders>
            <w:shd w:val="clear" w:color="auto" w:fill="auto"/>
            <w:vAlign w:val="bottom"/>
          </w:tcPr>
          <w:p w14:paraId="7A24A0AB" w14:textId="60503906"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005</w:t>
            </w:r>
          </w:p>
        </w:tc>
        <w:tc>
          <w:tcPr>
            <w:tcW w:w="2552" w:type="dxa"/>
            <w:tcBorders>
              <w:top w:val="nil"/>
              <w:left w:val="nil"/>
              <w:bottom w:val="single" w:sz="4" w:space="0" w:color="auto"/>
              <w:right w:val="single" w:sz="4" w:space="0" w:color="auto"/>
            </w:tcBorders>
            <w:shd w:val="clear" w:color="auto" w:fill="auto"/>
            <w:noWrap/>
            <w:vAlign w:val="bottom"/>
          </w:tcPr>
          <w:p w14:paraId="6A34AB91" w14:textId="5E133F25"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1217" w:type="dxa"/>
            <w:tcBorders>
              <w:top w:val="nil"/>
              <w:left w:val="nil"/>
              <w:bottom w:val="single" w:sz="4" w:space="0" w:color="auto"/>
              <w:right w:val="single" w:sz="4" w:space="0" w:color="auto"/>
            </w:tcBorders>
            <w:shd w:val="clear" w:color="auto" w:fill="auto"/>
            <w:noWrap/>
            <w:vAlign w:val="bottom"/>
          </w:tcPr>
          <w:p w14:paraId="01A6C5CD" w14:textId="4DE88396"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207</w:t>
            </w:r>
          </w:p>
        </w:tc>
        <w:tc>
          <w:tcPr>
            <w:tcW w:w="1213" w:type="dxa"/>
            <w:tcBorders>
              <w:top w:val="nil"/>
              <w:left w:val="nil"/>
              <w:bottom w:val="single" w:sz="4" w:space="0" w:color="auto"/>
              <w:right w:val="single" w:sz="4" w:space="0" w:color="auto"/>
            </w:tcBorders>
            <w:shd w:val="clear" w:color="auto" w:fill="auto"/>
            <w:noWrap/>
            <w:vAlign w:val="bottom"/>
          </w:tcPr>
          <w:p w14:paraId="75FF0111" w14:textId="6C0CEE07"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221</w:t>
            </w:r>
          </w:p>
        </w:tc>
        <w:tc>
          <w:tcPr>
            <w:tcW w:w="1260" w:type="dxa"/>
            <w:tcBorders>
              <w:top w:val="nil"/>
              <w:left w:val="nil"/>
              <w:bottom w:val="single" w:sz="4" w:space="0" w:color="auto"/>
              <w:right w:val="single" w:sz="4" w:space="0" w:color="auto"/>
            </w:tcBorders>
            <w:shd w:val="clear" w:color="auto" w:fill="auto"/>
            <w:noWrap/>
            <w:vAlign w:val="bottom"/>
          </w:tcPr>
          <w:p w14:paraId="52D8E0D6" w14:textId="471468E5"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428</w:t>
            </w:r>
          </w:p>
        </w:tc>
      </w:tr>
      <w:tr w:rsidR="005B26E2" w:rsidRPr="003966DC" w14:paraId="4288FB4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F7BEC92" w14:textId="3A460F15" w:rsidR="005B26E2" w:rsidRPr="003966DC" w:rsidRDefault="005B26E2" w:rsidP="005B26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République unie de Tanzanie</w:t>
            </w:r>
          </w:p>
        </w:tc>
        <w:tc>
          <w:tcPr>
            <w:tcW w:w="1138" w:type="dxa"/>
            <w:tcBorders>
              <w:top w:val="nil"/>
              <w:left w:val="nil"/>
              <w:bottom w:val="single" w:sz="4" w:space="0" w:color="auto"/>
              <w:right w:val="single" w:sz="4" w:space="0" w:color="auto"/>
            </w:tcBorders>
            <w:shd w:val="clear" w:color="auto" w:fill="auto"/>
            <w:vAlign w:val="bottom"/>
          </w:tcPr>
          <w:p w14:paraId="402F6532" w14:textId="415AD8A9"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2552" w:type="dxa"/>
            <w:tcBorders>
              <w:top w:val="nil"/>
              <w:left w:val="nil"/>
              <w:bottom w:val="single" w:sz="4" w:space="0" w:color="auto"/>
              <w:right w:val="single" w:sz="4" w:space="0" w:color="auto"/>
            </w:tcBorders>
            <w:shd w:val="clear" w:color="auto" w:fill="auto"/>
            <w:noWrap/>
            <w:vAlign w:val="bottom"/>
          </w:tcPr>
          <w:p w14:paraId="754A05EE" w14:textId="2C5101C3"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tcPr>
          <w:p w14:paraId="33D26257" w14:textId="74943289"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293</w:t>
            </w:r>
          </w:p>
        </w:tc>
        <w:tc>
          <w:tcPr>
            <w:tcW w:w="1213" w:type="dxa"/>
            <w:tcBorders>
              <w:top w:val="nil"/>
              <w:left w:val="nil"/>
              <w:bottom w:val="single" w:sz="4" w:space="0" w:color="auto"/>
              <w:right w:val="single" w:sz="4" w:space="0" w:color="auto"/>
            </w:tcBorders>
            <w:shd w:val="clear" w:color="auto" w:fill="auto"/>
            <w:noWrap/>
            <w:vAlign w:val="bottom"/>
          </w:tcPr>
          <w:p w14:paraId="29136638" w14:textId="74639532"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313</w:t>
            </w:r>
          </w:p>
        </w:tc>
        <w:tc>
          <w:tcPr>
            <w:tcW w:w="1260" w:type="dxa"/>
            <w:tcBorders>
              <w:top w:val="nil"/>
              <w:left w:val="nil"/>
              <w:bottom w:val="single" w:sz="4" w:space="0" w:color="auto"/>
              <w:right w:val="single" w:sz="4" w:space="0" w:color="auto"/>
            </w:tcBorders>
            <w:shd w:val="clear" w:color="auto" w:fill="auto"/>
            <w:noWrap/>
            <w:vAlign w:val="bottom"/>
          </w:tcPr>
          <w:p w14:paraId="6845382D" w14:textId="2B5FA0DE"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607</w:t>
            </w:r>
          </w:p>
        </w:tc>
      </w:tr>
      <w:tr w:rsidR="00C47440" w:rsidRPr="003966DC" w14:paraId="792F53B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A37FA67" w14:textId="174D7910" w:rsidR="00C47440" w:rsidRPr="003966DC" w:rsidRDefault="00C47440" w:rsidP="00C4744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Roumanie</w:t>
            </w:r>
          </w:p>
        </w:tc>
        <w:tc>
          <w:tcPr>
            <w:tcW w:w="1138" w:type="dxa"/>
            <w:tcBorders>
              <w:top w:val="nil"/>
              <w:left w:val="nil"/>
              <w:bottom w:val="single" w:sz="4" w:space="0" w:color="auto"/>
              <w:right w:val="single" w:sz="4" w:space="0" w:color="auto"/>
            </w:tcBorders>
            <w:shd w:val="clear" w:color="auto" w:fill="auto"/>
            <w:vAlign w:val="bottom"/>
            <w:hideMark/>
          </w:tcPr>
          <w:p w14:paraId="308E3868" w14:textId="10CE33BF"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312</w:t>
            </w:r>
          </w:p>
        </w:tc>
        <w:tc>
          <w:tcPr>
            <w:tcW w:w="2552" w:type="dxa"/>
            <w:tcBorders>
              <w:top w:val="nil"/>
              <w:left w:val="nil"/>
              <w:bottom w:val="single" w:sz="4" w:space="0" w:color="auto"/>
              <w:right w:val="single" w:sz="4" w:space="0" w:color="auto"/>
            </w:tcBorders>
            <w:shd w:val="clear" w:color="auto" w:fill="auto"/>
            <w:noWrap/>
            <w:vAlign w:val="bottom"/>
            <w:hideMark/>
          </w:tcPr>
          <w:p w14:paraId="5B16B257" w14:textId="1914607D"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440</w:t>
            </w:r>
          </w:p>
        </w:tc>
        <w:tc>
          <w:tcPr>
            <w:tcW w:w="1217" w:type="dxa"/>
            <w:tcBorders>
              <w:top w:val="nil"/>
              <w:left w:val="nil"/>
              <w:bottom w:val="single" w:sz="4" w:space="0" w:color="auto"/>
              <w:right w:val="single" w:sz="4" w:space="0" w:color="auto"/>
            </w:tcBorders>
            <w:shd w:val="clear" w:color="auto" w:fill="auto"/>
            <w:noWrap/>
            <w:vAlign w:val="bottom"/>
            <w:hideMark/>
          </w:tcPr>
          <w:p w14:paraId="10C4952A" w14:textId="148F90A1"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12 919</w:t>
            </w:r>
          </w:p>
        </w:tc>
        <w:tc>
          <w:tcPr>
            <w:tcW w:w="1213" w:type="dxa"/>
            <w:tcBorders>
              <w:top w:val="nil"/>
              <w:left w:val="nil"/>
              <w:bottom w:val="single" w:sz="4" w:space="0" w:color="auto"/>
              <w:right w:val="single" w:sz="4" w:space="0" w:color="auto"/>
            </w:tcBorders>
            <w:shd w:val="clear" w:color="auto" w:fill="auto"/>
            <w:noWrap/>
            <w:vAlign w:val="bottom"/>
            <w:hideMark/>
          </w:tcPr>
          <w:p w14:paraId="609B32C4" w14:textId="62AC2636"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13 803</w:t>
            </w:r>
          </w:p>
        </w:tc>
        <w:tc>
          <w:tcPr>
            <w:tcW w:w="1260" w:type="dxa"/>
            <w:tcBorders>
              <w:top w:val="nil"/>
              <w:left w:val="nil"/>
              <w:bottom w:val="single" w:sz="4" w:space="0" w:color="auto"/>
              <w:right w:val="single" w:sz="4" w:space="0" w:color="auto"/>
            </w:tcBorders>
            <w:shd w:val="clear" w:color="auto" w:fill="auto"/>
            <w:noWrap/>
            <w:vAlign w:val="bottom"/>
            <w:hideMark/>
          </w:tcPr>
          <w:p w14:paraId="3CF7601F" w14:textId="0142C887"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26 722</w:t>
            </w:r>
          </w:p>
        </w:tc>
      </w:tr>
      <w:tr w:rsidR="005B26E2" w:rsidRPr="003966DC" w14:paraId="1B2EEC3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6AC50070" w14:textId="74CD9565" w:rsidR="005B26E2" w:rsidRPr="003966DC" w:rsidRDefault="005B26E2" w:rsidP="005B26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lastRenderedPageBreak/>
              <w:t>Royaume-Uni de Grande-Bretagne et d’Irlande du Nord</w:t>
            </w:r>
          </w:p>
        </w:tc>
        <w:tc>
          <w:tcPr>
            <w:tcW w:w="1138" w:type="dxa"/>
            <w:tcBorders>
              <w:top w:val="nil"/>
              <w:left w:val="nil"/>
              <w:bottom w:val="single" w:sz="4" w:space="0" w:color="auto"/>
              <w:right w:val="single" w:sz="4" w:space="0" w:color="auto"/>
            </w:tcBorders>
            <w:shd w:val="clear" w:color="auto" w:fill="auto"/>
            <w:vAlign w:val="bottom"/>
          </w:tcPr>
          <w:p w14:paraId="22AEBD0E" w14:textId="7FCC7E18"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375</w:t>
            </w:r>
          </w:p>
        </w:tc>
        <w:tc>
          <w:tcPr>
            <w:tcW w:w="2552" w:type="dxa"/>
            <w:tcBorders>
              <w:top w:val="nil"/>
              <w:left w:val="nil"/>
              <w:bottom w:val="single" w:sz="4" w:space="0" w:color="auto"/>
              <w:right w:val="single" w:sz="4" w:space="0" w:color="auto"/>
            </w:tcBorders>
            <w:shd w:val="clear" w:color="auto" w:fill="auto"/>
            <w:noWrap/>
            <w:vAlign w:val="bottom"/>
          </w:tcPr>
          <w:p w14:paraId="24977903" w14:textId="37E6A64B"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176</w:t>
            </w:r>
          </w:p>
        </w:tc>
        <w:tc>
          <w:tcPr>
            <w:tcW w:w="1217" w:type="dxa"/>
            <w:tcBorders>
              <w:top w:val="nil"/>
              <w:left w:val="nil"/>
              <w:bottom w:val="single" w:sz="4" w:space="0" w:color="auto"/>
              <w:right w:val="single" w:sz="4" w:space="0" w:color="auto"/>
            </w:tcBorders>
            <w:shd w:val="clear" w:color="auto" w:fill="auto"/>
            <w:noWrap/>
            <w:vAlign w:val="bottom"/>
          </w:tcPr>
          <w:p w14:paraId="620A2109" w14:textId="3F91170B"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181 155</w:t>
            </w:r>
          </w:p>
        </w:tc>
        <w:tc>
          <w:tcPr>
            <w:tcW w:w="1213" w:type="dxa"/>
            <w:tcBorders>
              <w:top w:val="nil"/>
              <w:left w:val="nil"/>
              <w:bottom w:val="single" w:sz="4" w:space="0" w:color="auto"/>
              <w:right w:val="single" w:sz="4" w:space="0" w:color="auto"/>
            </w:tcBorders>
            <w:shd w:val="clear" w:color="auto" w:fill="auto"/>
            <w:noWrap/>
            <w:vAlign w:val="bottom"/>
          </w:tcPr>
          <w:p w14:paraId="39A231E8" w14:textId="3C2DCD80"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193 551</w:t>
            </w:r>
          </w:p>
        </w:tc>
        <w:tc>
          <w:tcPr>
            <w:tcW w:w="1260" w:type="dxa"/>
            <w:tcBorders>
              <w:top w:val="nil"/>
              <w:left w:val="nil"/>
              <w:bottom w:val="single" w:sz="4" w:space="0" w:color="auto"/>
              <w:right w:val="single" w:sz="4" w:space="0" w:color="auto"/>
            </w:tcBorders>
            <w:shd w:val="clear" w:color="auto" w:fill="auto"/>
            <w:noWrap/>
            <w:vAlign w:val="bottom"/>
          </w:tcPr>
          <w:p w14:paraId="1E6170BE" w14:textId="44316C6F"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374 706</w:t>
            </w:r>
          </w:p>
        </w:tc>
      </w:tr>
      <w:tr w:rsidR="00C47440" w:rsidRPr="003966DC" w14:paraId="26483A3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7AB4DC7" w14:textId="7250801B" w:rsidR="00C47440" w:rsidRPr="003966DC" w:rsidRDefault="00C47440" w:rsidP="00C4744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Rwanda</w:t>
            </w:r>
          </w:p>
        </w:tc>
        <w:tc>
          <w:tcPr>
            <w:tcW w:w="1138" w:type="dxa"/>
            <w:tcBorders>
              <w:top w:val="nil"/>
              <w:left w:val="nil"/>
              <w:bottom w:val="single" w:sz="4" w:space="0" w:color="auto"/>
              <w:right w:val="single" w:sz="4" w:space="0" w:color="auto"/>
            </w:tcBorders>
            <w:shd w:val="clear" w:color="auto" w:fill="auto"/>
            <w:vAlign w:val="bottom"/>
            <w:hideMark/>
          </w:tcPr>
          <w:p w14:paraId="71D38B0E" w14:textId="0DA725BE"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2552" w:type="dxa"/>
            <w:tcBorders>
              <w:top w:val="nil"/>
              <w:left w:val="nil"/>
              <w:bottom w:val="single" w:sz="4" w:space="0" w:color="auto"/>
              <w:right w:val="single" w:sz="4" w:space="0" w:color="auto"/>
            </w:tcBorders>
            <w:shd w:val="clear" w:color="auto" w:fill="auto"/>
            <w:noWrap/>
            <w:vAlign w:val="bottom"/>
            <w:hideMark/>
          </w:tcPr>
          <w:p w14:paraId="5B8A8807" w14:textId="527A0305"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1217" w:type="dxa"/>
            <w:tcBorders>
              <w:top w:val="nil"/>
              <w:left w:val="nil"/>
              <w:bottom w:val="single" w:sz="4" w:space="0" w:color="auto"/>
              <w:right w:val="single" w:sz="4" w:space="0" w:color="auto"/>
            </w:tcBorders>
            <w:shd w:val="clear" w:color="auto" w:fill="auto"/>
            <w:noWrap/>
            <w:vAlign w:val="bottom"/>
            <w:hideMark/>
          </w:tcPr>
          <w:p w14:paraId="6C915CC4" w14:textId="637B4147"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1FA0BE72" w14:textId="0C208672"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74B6DCF9" w14:textId="56D27790"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257</w:t>
            </w:r>
          </w:p>
        </w:tc>
      </w:tr>
      <w:tr w:rsidR="00C47440" w:rsidRPr="003966DC" w14:paraId="7739841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BED157C" w14:textId="239390B0" w:rsidR="00C47440" w:rsidRPr="003966DC" w:rsidRDefault="00C47440" w:rsidP="00C4744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Saint-Kitts-et-Nevis</w:t>
            </w:r>
          </w:p>
        </w:tc>
        <w:tc>
          <w:tcPr>
            <w:tcW w:w="1138" w:type="dxa"/>
            <w:tcBorders>
              <w:top w:val="nil"/>
              <w:left w:val="nil"/>
              <w:bottom w:val="single" w:sz="4" w:space="0" w:color="auto"/>
              <w:right w:val="single" w:sz="4" w:space="0" w:color="auto"/>
            </w:tcBorders>
            <w:shd w:val="clear" w:color="auto" w:fill="auto"/>
            <w:vAlign w:val="bottom"/>
            <w:hideMark/>
          </w:tcPr>
          <w:p w14:paraId="115E0BEB" w14:textId="0887BAEC"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002</w:t>
            </w:r>
          </w:p>
        </w:tc>
        <w:tc>
          <w:tcPr>
            <w:tcW w:w="2552" w:type="dxa"/>
            <w:tcBorders>
              <w:top w:val="nil"/>
              <w:left w:val="nil"/>
              <w:bottom w:val="single" w:sz="4" w:space="0" w:color="auto"/>
              <w:right w:val="single" w:sz="4" w:space="0" w:color="auto"/>
            </w:tcBorders>
            <w:shd w:val="clear" w:color="auto" w:fill="auto"/>
            <w:noWrap/>
            <w:vAlign w:val="bottom"/>
            <w:hideMark/>
          </w:tcPr>
          <w:p w14:paraId="5FFBEFFD" w14:textId="4861DDE8"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1217" w:type="dxa"/>
            <w:tcBorders>
              <w:top w:val="nil"/>
              <w:left w:val="nil"/>
              <w:bottom w:val="single" w:sz="4" w:space="0" w:color="auto"/>
              <w:right w:val="single" w:sz="4" w:space="0" w:color="auto"/>
            </w:tcBorders>
            <w:shd w:val="clear" w:color="auto" w:fill="auto"/>
            <w:noWrap/>
            <w:vAlign w:val="bottom"/>
            <w:hideMark/>
          </w:tcPr>
          <w:p w14:paraId="5F32B0E6" w14:textId="08BDAEA0"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36B9484A" w14:textId="1F663531"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7D170576" w14:textId="2F135B90"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171</w:t>
            </w:r>
          </w:p>
        </w:tc>
      </w:tr>
      <w:tr w:rsidR="00C47440" w:rsidRPr="003966DC" w14:paraId="2B574795" w14:textId="77777777" w:rsidTr="00E77AEE">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A6E8752" w14:textId="77777777" w:rsidR="005363D4" w:rsidRDefault="00C47440" w:rsidP="005363D4">
            <w:pPr>
              <w:pStyle w:val="CBDTableNormal"/>
              <w:tabs>
                <w:tab w:val="clear" w:pos="567"/>
                <w:tab w:val="left" w:pos="178"/>
              </w:tabs>
              <w:spacing w:before="0" w:after="0"/>
              <w:ind w:left="144" w:hanging="144"/>
              <w:jc w:val="both"/>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Saint-Vincent-et-les</w:t>
            </w:r>
          </w:p>
          <w:p w14:paraId="53A8A8CF" w14:textId="0D4A372C" w:rsidR="00C47440" w:rsidRPr="003966DC" w:rsidRDefault="00C47440" w:rsidP="005363D4">
            <w:pPr>
              <w:pStyle w:val="CBDTableNormal"/>
              <w:tabs>
                <w:tab w:val="clear" w:pos="567"/>
                <w:tab w:val="left" w:pos="178"/>
              </w:tabs>
              <w:spacing w:before="0" w:after="0"/>
              <w:ind w:left="144" w:hanging="144"/>
              <w:jc w:val="both"/>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Grenadines</w:t>
            </w:r>
          </w:p>
        </w:tc>
        <w:tc>
          <w:tcPr>
            <w:tcW w:w="1138" w:type="dxa"/>
            <w:tcBorders>
              <w:top w:val="nil"/>
              <w:left w:val="nil"/>
              <w:bottom w:val="single" w:sz="4" w:space="0" w:color="auto"/>
              <w:right w:val="single" w:sz="4" w:space="0" w:color="auto"/>
            </w:tcBorders>
            <w:shd w:val="clear" w:color="auto" w:fill="auto"/>
            <w:vAlign w:val="bottom"/>
            <w:hideMark/>
          </w:tcPr>
          <w:p w14:paraId="08610204" w14:textId="0272DD3A"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0C970DC0" w14:textId="391DBC4C"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19F73E5E" w14:textId="55BAEADD"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D2057CB" w14:textId="36655DC4"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CD4D0B4" w14:textId="69CAFC32"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6B2486" w:rsidRPr="003966DC" w14:paraId="02404C3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5309E2CF" w14:textId="013263CF" w:rsidR="006B2486" w:rsidRPr="003966DC" w:rsidRDefault="006B2486" w:rsidP="006B2486">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Sainte-Lucie</w:t>
            </w:r>
          </w:p>
        </w:tc>
        <w:tc>
          <w:tcPr>
            <w:tcW w:w="1138" w:type="dxa"/>
            <w:tcBorders>
              <w:top w:val="nil"/>
              <w:left w:val="nil"/>
              <w:bottom w:val="single" w:sz="4" w:space="0" w:color="auto"/>
              <w:right w:val="single" w:sz="4" w:space="0" w:color="auto"/>
            </w:tcBorders>
            <w:shd w:val="clear" w:color="auto" w:fill="auto"/>
            <w:vAlign w:val="bottom"/>
          </w:tcPr>
          <w:p w14:paraId="3D4F0780" w14:textId="1935F7EF" w:rsidR="006B2486" w:rsidRPr="003966DC" w:rsidRDefault="006B2486" w:rsidP="006B248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002</w:t>
            </w:r>
          </w:p>
        </w:tc>
        <w:tc>
          <w:tcPr>
            <w:tcW w:w="2552" w:type="dxa"/>
            <w:tcBorders>
              <w:top w:val="nil"/>
              <w:left w:val="nil"/>
              <w:bottom w:val="single" w:sz="4" w:space="0" w:color="auto"/>
              <w:right w:val="single" w:sz="4" w:space="0" w:color="auto"/>
            </w:tcBorders>
            <w:shd w:val="clear" w:color="auto" w:fill="auto"/>
            <w:noWrap/>
            <w:vAlign w:val="bottom"/>
          </w:tcPr>
          <w:p w14:paraId="1BDF8D59" w14:textId="1F62AC99" w:rsidR="006B2486" w:rsidRPr="003966DC" w:rsidRDefault="006B2486" w:rsidP="006B248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1217" w:type="dxa"/>
            <w:tcBorders>
              <w:top w:val="nil"/>
              <w:left w:val="nil"/>
              <w:bottom w:val="single" w:sz="4" w:space="0" w:color="auto"/>
              <w:right w:val="single" w:sz="4" w:space="0" w:color="auto"/>
            </w:tcBorders>
            <w:shd w:val="clear" w:color="auto" w:fill="auto"/>
            <w:noWrap/>
            <w:vAlign w:val="bottom"/>
          </w:tcPr>
          <w:p w14:paraId="6A3E4C9F" w14:textId="54835D5D" w:rsidR="006B2486" w:rsidRPr="003966DC" w:rsidRDefault="006B2486" w:rsidP="006B248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83</w:t>
            </w:r>
          </w:p>
        </w:tc>
        <w:tc>
          <w:tcPr>
            <w:tcW w:w="1213" w:type="dxa"/>
            <w:tcBorders>
              <w:top w:val="nil"/>
              <w:left w:val="nil"/>
              <w:bottom w:val="single" w:sz="4" w:space="0" w:color="auto"/>
              <w:right w:val="single" w:sz="4" w:space="0" w:color="auto"/>
            </w:tcBorders>
            <w:shd w:val="clear" w:color="auto" w:fill="auto"/>
            <w:noWrap/>
            <w:vAlign w:val="bottom"/>
          </w:tcPr>
          <w:p w14:paraId="730E5FED" w14:textId="4EA1965F" w:rsidR="006B2486" w:rsidRPr="003966DC" w:rsidRDefault="006B2486" w:rsidP="006B248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88</w:t>
            </w:r>
          </w:p>
        </w:tc>
        <w:tc>
          <w:tcPr>
            <w:tcW w:w="1260" w:type="dxa"/>
            <w:tcBorders>
              <w:top w:val="nil"/>
              <w:left w:val="nil"/>
              <w:bottom w:val="single" w:sz="4" w:space="0" w:color="auto"/>
              <w:right w:val="single" w:sz="4" w:space="0" w:color="auto"/>
            </w:tcBorders>
            <w:shd w:val="clear" w:color="auto" w:fill="auto"/>
            <w:noWrap/>
            <w:vAlign w:val="bottom"/>
          </w:tcPr>
          <w:p w14:paraId="09830415" w14:textId="28128F55" w:rsidR="006B2486" w:rsidRPr="003966DC" w:rsidRDefault="006B2486" w:rsidP="006B2486">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171</w:t>
            </w:r>
          </w:p>
        </w:tc>
      </w:tr>
      <w:tr w:rsidR="00C47440" w:rsidRPr="003966DC" w14:paraId="3EA2459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E61EFD3" w14:textId="23E4B977" w:rsidR="00C47440" w:rsidRPr="003966DC" w:rsidRDefault="00C47440" w:rsidP="00C4744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Samoa</w:t>
            </w:r>
          </w:p>
        </w:tc>
        <w:tc>
          <w:tcPr>
            <w:tcW w:w="1138" w:type="dxa"/>
            <w:tcBorders>
              <w:top w:val="nil"/>
              <w:left w:val="nil"/>
              <w:bottom w:val="single" w:sz="4" w:space="0" w:color="auto"/>
              <w:right w:val="single" w:sz="4" w:space="0" w:color="auto"/>
            </w:tcBorders>
            <w:shd w:val="clear" w:color="auto" w:fill="auto"/>
            <w:vAlign w:val="bottom"/>
            <w:hideMark/>
          </w:tcPr>
          <w:p w14:paraId="1E3A638C" w14:textId="14BFDE94"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4109A8EF" w14:textId="38514015"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2AA29FB5" w14:textId="76C1C7E5"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BD5B626" w14:textId="45B39F46"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0B9B004" w14:textId="16F20D50"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C47440" w:rsidRPr="003966DC" w14:paraId="7223865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6FEB372" w14:textId="48BB1753" w:rsidR="00C47440" w:rsidRPr="003966DC" w:rsidRDefault="00C47440" w:rsidP="00C47440">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Sénégal</w:t>
            </w:r>
          </w:p>
        </w:tc>
        <w:tc>
          <w:tcPr>
            <w:tcW w:w="1138" w:type="dxa"/>
            <w:tcBorders>
              <w:top w:val="nil"/>
              <w:left w:val="nil"/>
              <w:bottom w:val="single" w:sz="4" w:space="0" w:color="auto"/>
              <w:right w:val="single" w:sz="4" w:space="0" w:color="auto"/>
            </w:tcBorders>
            <w:shd w:val="clear" w:color="auto" w:fill="auto"/>
            <w:vAlign w:val="bottom"/>
            <w:hideMark/>
          </w:tcPr>
          <w:p w14:paraId="24371C65" w14:textId="44498AF7"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2552" w:type="dxa"/>
            <w:tcBorders>
              <w:top w:val="nil"/>
              <w:left w:val="nil"/>
              <w:bottom w:val="single" w:sz="4" w:space="0" w:color="auto"/>
              <w:right w:val="single" w:sz="4" w:space="0" w:color="auto"/>
            </w:tcBorders>
            <w:shd w:val="clear" w:color="auto" w:fill="auto"/>
            <w:noWrap/>
            <w:vAlign w:val="bottom"/>
            <w:hideMark/>
          </w:tcPr>
          <w:p w14:paraId="71490B75" w14:textId="3F491142"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hideMark/>
          </w:tcPr>
          <w:p w14:paraId="1A496D42" w14:textId="03BAB708"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0DF14A3B" w14:textId="5122E5B3"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7CB97752" w14:textId="42D2F40C" w:rsidR="00C47440" w:rsidRPr="003966DC" w:rsidRDefault="00C47440" w:rsidP="00C47440">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600</w:t>
            </w:r>
          </w:p>
        </w:tc>
      </w:tr>
      <w:tr w:rsidR="007F021A" w:rsidRPr="003966DC" w14:paraId="52C2EDAE"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E593B1" w14:textId="7190B101" w:rsidR="007F021A" w:rsidRPr="003966DC" w:rsidRDefault="007F021A" w:rsidP="007F021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Serbie</w:t>
            </w:r>
          </w:p>
        </w:tc>
        <w:tc>
          <w:tcPr>
            <w:tcW w:w="1138" w:type="dxa"/>
            <w:tcBorders>
              <w:top w:val="nil"/>
              <w:left w:val="nil"/>
              <w:bottom w:val="single" w:sz="4" w:space="0" w:color="auto"/>
              <w:right w:val="single" w:sz="4" w:space="0" w:color="auto"/>
            </w:tcBorders>
            <w:shd w:val="clear" w:color="auto" w:fill="auto"/>
            <w:vAlign w:val="bottom"/>
            <w:hideMark/>
          </w:tcPr>
          <w:p w14:paraId="1D5FD049" w14:textId="22A78E44"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032</w:t>
            </w:r>
          </w:p>
        </w:tc>
        <w:tc>
          <w:tcPr>
            <w:tcW w:w="2552" w:type="dxa"/>
            <w:tcBorders>
              <w:top w:val="nil"/>
              <w:left w:val="nil"/>
              <w:bottom w:val="single" w:sz="4" w:space="0" w:color="auto"/>
              <w:right w:val="single" w:sz="4" w:space="0" w:color="auto"/>
            </w:tcBorders>
            <w:shd w:val="clear" w:color="auto" w:fill="auto"/>
            <w:noWrap/>
            <w:vAlign w:val="bottom"/>
            <w:hideMark/>
          </w:tcPr>
          <w:p w14:paraId="7FC631F8" w14:textId="34B4FBF8"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045</w:t>
            </w:r>
          </w:p>
        </w:tc>
        <w:tc>
          <w:tcPr>
            <w:tcW w:w="1217" w:type="dxa"/>
            <w:tcBorders>
              <w:top w:val="nil"/>
              <w:left w:val="nil"/>
              <w:bottom w:val="single" w:sz="4" w:space="0" w:color="auto"/>
              <w:right w:val="single" w:sz="4" w:space="0" w:color="auto"/>
            </w:tcBorders>
            <w:shd w:val="clear" w:color="auto" w:fill="auto"/>
            <w:noWrap/>
            <w:vAlign w:val="bottom"/>
            <w:hideMark/>
          </w:tcPr>
          <w:p w14:paraId="7177F2CC" w14:textId="47BB27F3"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1 325</w:t>
            </w:r>
          </w:p>
        </w:tc>
        <w:tc>
          <w:tcPr>
            <w:tcW w:w="1213" w:type="dxa"/>
            <w:tcBorders>
              <w:top w:val="nil"/>
              <w:left w:val="nil"/>
              <w:bottom w:val="single" w:sz="4" w:space="0" w:color="auto"/>
              <w:right w:val="single" w:sz="4" w:space="0" w:color="auto"/>
            </w:tcBorders>
            <w:shd w:val="clear" w:color="auto" w:fill="auto"/>
            <w:noWrap/>
            <w:vAlign w:val="bottom"/>
            <w:hideMark/>
          </w:tcPr>
          <w:p w14:paraId="21AA781E" w14:textId="71F87329"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1 416</w:t>
            </w:r>
          </w:p>
        </w:tc>
        <w:tc>
          <w:tcPr>
            <w:tcW w:w="1260" w:type="dxa"/>
            <w:tcBorders>
              <w:top w:val="nil"/>
              <w:left w:val="nil"/>
              <w:bottom w:val="single" w:sz="4" w:space="0" w:color="auto"/>
              <w:right w:val="single" w:sz="4" w:space="0" w:color="auto"/>
            </w:tcBorders>
            <w:shd w:val="clear" w:color="auto" w:fill="auto"/>
            <w:noWrap/>
            <w:vAlign w:val="bottom"/>
            <w:hideMark/>
          </w:tcPr>
          <w:p w14:paraId="23CEE20E" w14:textId="6366DC96"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2 741</w:t>
            </w:r>
          </w:p>
        </w:tc>
      </w:tr>
      <w:tr w:rsidR="007F021A" w:rsidRPr="003966DC" w14:paraId="7F31031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B2507B3" w14:textId="6DFDBD0B" w:rsidR="007F021A" w:rsidRPr="003966DC" w:rsidRDefault="007F021A" w:rsidP="007F021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Seychelles</w:t>
            </w:r>
          </w:p>
        </w:tc>
        <w:tc>
          <w:tcPr>
            <w:tcW w:w="1138" w:type="dxa"/>
            <w:tcBorders>
              <w:top w:val="nil"/>
              <w:left w:val="nil"/>
              <w:bottom w:val="single" w:sz="4" w:space="0" w:color="auto"/>
              <w:right w:val="single" w:sz="4" w:space="0" w:color="auto"/>
            </w:tcBorders>
            <w:shd w:val="clear" w:color="auto" w:fill="auto"/>
            <w:vAlign w:val="bottom"/>
            <w:hideMark/>
          </w:tcPr>
          <w:p w14:paraId="76A52F8C" w14:textId="2B58A1F7"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002</w:t>
            </w:r>
          </w:p>
        </w:tc>
        <w:tc>
          <w:tcPr>
            <w:tcW w:w="2552" w:type="dxa"/>
            <w:tcBorders>
              <w:top w:val="nil"/>
              <w:left w:val="nil"/>
              <w:bottom w:val="single" w:sz="4" w:space="0" w:color="auto"/>
              <w:right w:val="single" w:sz="4" w:space="0" w:color="auto"/>
            </w:tcBorders>
            <w:shd w:val="clear" w:color="auto" w:fill="auto"/>
            <w:noWrap/>
            <w:vAlign w:val="bottom"/>
            <w:hideMark/>
          </w:tcPr>
          <w:p w14:paraId="3A1DFFAD" w14:textId="7878F09B"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1217" w:type="dxa"/>
            <w:tcBorders>
              <w:top w:val="nil"/>
              <w:left w:val="nil"/>
              <w:bottom w:val="single" w:sz="4" w:space="0" w:color="auto"/>
              <w:right w:val="single" w:sz="4" w:space="0" w:color="auto"/>
            </w:tcBorders>
            <w:shd w:val="clear" w:color="auto" w:fill="auto"/>
            <w:noWrap/>
            <w:vAlign w:val="bottom"/>
            <w:hideMark/>
          </w:tcPr>
          <w:p w14:paraId="2BE66664" w14:textId="015A4A52"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40F2DC4D" w14:textId="19B4890E"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3FFA44DF" w14:textId="3DFAAEEF"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171</w:t>
            </w:r>
          </w:p>
        </w:tc>
      </w:tr>
      <w:tr w:rsidR="007F021A" w:rsidRPr="003966DC" w14:paraId="3089AAA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6516327" w14:textId="5C8B541D" w:rsidR="007F021A" w:rsidRPr="003966DC" w:rsidRDefault="007F021A" w:rsidP="007F021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Sierra Leone</w:t>
            </w:r>
          </w:p>
        </w:tc>
        <w:tc>
          <w:tcPr>
            <w:tcW w:w="1138" w:type="dxa"/>
            <w:tcBorders>
              <w:top w:val="nil"/>
              <w:left w:val="nil"/>
              <w:bottom w:val="single" w:sz="4" w:space="0" w:color="auto"/>
              <w:right w:val="single" w:sz="4" w:space="0" w:color="auto"/>
            </w:tcBorders>
            <w:shd w:val="clear" w:color="auto" w:fill="auto"/>
            <w:vAlign w:val="bottom"/>
            <w:hideMark/>
          </w:tcPr>
          <w:p w14:paraId="4B558D22" w14:textId="474C54CD"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2C143382" w14:textId="71A1F735"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1E08DA1F" w14:textId="1DB0EAA5"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4A48D36" w14:textId="0A6A5814"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7CA2210" w14:textId="2CC1B0BD"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7F021A" w:rsidRPr="003966DC" w14:paraId="6D0AA6A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C64EFFC" w14:textId="5AF1A80A" w:rsidR="007F021A" w:rsidRPr="003966DC" w:rsidRDefault="007F021A" w:rsidP="007F021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Slovaquie</w:t>
            </w:r>
          </w:p>
        </w:tc>
        <w:tc>
          <w:tcPr>
            <w:tcW w:w="1138" w:type="dxa"/>
            <w:tcBorders>
              <w:top w:val="nil"/>
              <w:left w:val="nil"/>
              <w:bottom w:val="single" w:sz="4" w:space="0" w:color="auto"/>
              <w:right w:val="single" w:sz="4" w:space="0" w:color="auto"/>
            </w:tcBorders>
            <w:shd w:val="clear" w:color="auto" w:fill="auto"/>
            <w:vAlign w:val="bottom"/>
            <w:hideMark/>
          </w:tcPr>
          <w:p w14:paraId="3757612D" w14:textId="203CCABE"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155</w:t>
            </w:r>
          </w:p>
        </w:tc>
        <w:tc>
          <w:tcPr>
            <w:tcW w:w="2552" w:type="dxa"/>
            <w:tcBorders>
              <w:top w:val="nil"/>
              <w:left w:val="nil"/>
              <w:bottom w:val="single" w:sz="4" w:space="0" w:color="auto"/>
              <w:right w:val="single" w:sz="4" w:space="0" w:color="auto"/>
            </w:tcBorders>
            <w:shd w:val="clear" w:color="auto" w:fill="auto"/>
            <w:noWrap/>
            <w:vAlign w:val="bottom"/>
            <w:hideMark/>
          </w:tcPr>
          <w:p w14:paraId="2E37D1E4" w14:textId="7CE11183"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219</w:t>
            </w:r>
          </w:p>
        </w:tc>
        <w:tc>
          <w:tcPr>
            <w:tcW w:w="1217" w:type="dxa"/>
            <w:tcBorders>
              <w:top w:val="nil"/>
              <w:left w:val="nil"/>
              <w:bottom w:val="single" w:sz="4" w:space="0" w:color="auto"/>
              <w:right w:val="single" w:sz="4" w:space="0" w:color="auto"/>
            </w:tcBorders>
            <w:shd w:val="clear" w:color="auto" w:fill="auto"/>
            <w:noWrap/>
            <w:vAlign w:val="bottom"/>
            <w:hideMark/>
          </w:tcPr>
          <w:p w14:paraId="2E7BE9CD" w14:textId="7C294785"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6 418</w:t>
            </w:r>
          </w:p>
        </w:tc>
        <w:tc>
          <w:tcPr>
            <w:tcW w:w="1213" w:type="dxa"/>
            <w:tcBorders>
              <w:top w:val="nil"/>
              <w:left w:val="nil"/>
              <w:bottom w:val="single" w:sz="4" w:space="0" w:color="auto"/>
              <w:right w:val="single" w:sz="4" w:space="0" w:color="auto"/>
            </w:tcBorders>
            <w:shd w:val="clear" w:color="auto" w:fill="auto"/>
            <w:noWrap/>
            <w:vAlign w:val="bottom"/>
            <w:hideMark/>
          </w:tcPr>
          <w:p w14:paraId="62C52C5F" w14:textId="56A9C222"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6 857</w:t>
            </w:r>
          </w:p>
        </w:tc>
        <w:tc>
          <w:tcPr>
            <w:tcW w:w="1260" w:type="dxa"/>
            <w:tcBorders>
              <w:top w:val="nil"/>
              <w:left w:val="nil"/>
              <w:bottom w:val="single" w:sz="4" w:space="0" w:color="auto"/>
              <w:right w:val="single" w:sz="4" w:space="0" w:color="auto"/>
            </w:tcBorders>
            <w:shd w:val="clear" w:color="auto" w:fill="auto"/>
            <w:noWrap/>
            <w:vAlign w:val="bottom"/>
            <w:hideMark/>
          </w:tcPr>
          <w:p w14:paraId="41441C9E" w14:textId="49898644"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13 275</w:t>
            </w:r>
          </w:p>
        </w:tc>
      </w:tr>
      <w:tr w:rsidR="007F021A" w:rsidRPr="003966DC" w14:paraId="4B23BF3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CA8128F" w14:textId="3C6F4CAD" w:rsidR="007F021A" w:rsidRPr="003966DC" w:rsidRDefault="007F021A" w:rsidP="007F021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Slovénie</w:t>
            </w:r>
          </w:p>
        </w:tc>
        <w:tc>
          <w:tcPr>
            <w:tcW w:w="1138" w:type="dxa"/>
            <w:tcBorders>
              <w:top w:val="nil"/>
              <w:left w:val="nil"/>
              <w:bottom w:val="single" w:sz="4" w:space="0" w:color="auto"/>
              <w:right w:val="single" w:sz="4" w:space="0" w:color="auto"/>
            </w:tcBorders>
            <w:shd w:val="clear" w:color="auto" w:fill="auto"/>
            <w:vAlign w:val="bottom"/>
            <w:hideMark/>
          </w:tcPr>
          <w:p w14:paraId="66DCD349" w14:textId="33E14B7A"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079</w:t>
            </w:r>
          </w:p>
        </w:tc>
        <w:tc>
          <w:tcPr>
            <w:tcW w:w="2552" w:type="dxa"/>
            <w:tcBorders>
              <w:top w:val="nil"/>
              <w:left w:val="nil"/>
              <w:bottom w:val="single" w:sz="4" w:space="0" w:color="auto"/>
              <w:right w:val="single" w:sz="4" w:space="0" w:color="auto"/>
            </w:tcBorders>
            <w:shd w:val="clear" w:color="auto" w:fill="auto"/>
            <w:noWrap/>
            <w:vAlign w:val="bottom"/>
            <w:hideMark/>
          </w:tcPr>
          <w:p w14:paraId="40A28178" w14:textId="16DFB408"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112</w:t>
            </w:r>
          </w:p>
        </w:tc>
        <w:tc>
          <w:tcPr>
            <w:tcW w:w="1217" w:type="dxa"/>
            <w:tcBorders>
              <w:top w:val="nil"/>
              <w:left w:val="nil"/>
              <w:bottom w:val="single" w:sz="4" w:space="0" w:color="auto"/>
              <w:right w:val="single" w:sz="4" w:space="0" w:color="auto"/>
            </w:tcBorders>
            <w:shd w:val="clear" w:color="auto" w:fill="auto"/>
            <w:noWrap/>
            <w:vAlign w:val="bottom"/>
            <w:hideMark/>
          </w:tcPr>
          <w:p w14:paraId="354DAC4A" w14:textId="3BF0B878"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3 271</w:t>
            </w:r>
          </w:p>
        </w:tc>
        <w:tc>
          <w:tcPr>
            <w:tcW w:w="1213" w:type="dxa"/>
            <w:tcBorders>
              <w:top w:val="nil"/>
              <w:left w:val="nil"/>
              <w:bottom w:val="single" w:sz="4" w:space="0" w:color="auto"/>
              <w:right w:val="single" w:sz="4" w:space="0" w:color="auto"/>
            </w:tcBorders>
            <w:shd w:val="clear" w:color="auto" w:fill="auto"/>
            <w:noWrap/>
            <w:vAlign w:val="bottom"/>
            <w:hideMark/>
          </w:tcPr>
          <w:p w14:paraId="7FD76899" w14:textId="1CE19E4D"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3 495</w:t>
            </w:r>
          </w:p>
        </w:tc>
        <w:tc>
          <w:tcPr>
            <w:tcW w:w="1260" w:type="dxa"/>
            <w:tcBorders>
              <w:top w:val="nil"/>
              <w:left w:val="nil"/>
              <w:bottom w:val="single" w:sz="4" w:space="0" w:color="auto"/>
              <w:right w:val="single" w:sz="4" w:space="0" w:color="auto"/>
            </w:tcBorders>
            <w:shd w:val="clear" w:color="auto" w:fill="auto"/>
            <w:noWrap/>
            <w:vAlign w:val="bottom"/>
            <w:hideMark/>
          </w:tcPr>
          <w:p w14:paraId="05D4ADFF" w14:textId="1682A71F"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6 766</w:t>
            </w:r>
          </w:p>
        </w:tc>
      </w:tr>
      <w:tr w:rsidR="007F021A" w:rsidRPr="003966DC" w14:paraId="3C8CBAD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162240C" w14:textId="1DBDB604" w:rsidR="007F021A" w:rsidRPr="003966DC" w:rsidRDefault="007F021A" w:rsidP="007F021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Somalie</w:t>
            </w:r>
          </w:p>
        </w:tc>
        <w:tc>
          <w:tcPr>
            <w:tcW w:w="1138" w:type="dxa"/>
            <w:tcBorders>
              <w:top w:val="nil"/>
              <w:left w:val="nil"/>
              <w:bottom w:val="single" w:sz="4" w:space="0" w:color="auto"/>
              <w:right w:val="single" w:sz="4" w:space="0" w:color="auto"/>
            </w:tcBorders>
            <w:shd w:val="clear" w:color="auto" w:fill="auto"/>
            <w:vAlign w:val="bottom"/>
            <w:hideMark/>
          </w:tcPr>
          <w:p w14:paraId="6D0DB301" w14:textId="688C8681"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41992014" w14:textId="0FCF6A73"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2A707CB4" w14:textId="2BF3B39F"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86CCC46" w14:textId="6338EE66"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0E56CD3" w14:textId="1A1EBDD6"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3759DA" w:rsidRPr="003966DC" w14:paraId="26F606E4" w14:textId="77777777" w:rsidTr="00375B52">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7DE96C73" w14:textId="0C807FA0" w:rsidR="003759DA" w:rsidRPr="003966DC" w:rsidRDefault="003759DA" w:rsidP="003759D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Soudan</w:t>
            </w:r>
          </w:p>
        </w:tc>
        <w:tc>
          <w:tcPr>
            <w:tcW w:w="1138" w:type="dxa"/>
            <w:tcBorders>
              <w:top w:val="nil"/>
              <w:left w:val="nil"/>
              <w:bottom w:val="single" w:sz="4" w:space="0" w:color="auto"/>
              <w:right w:val="single" w:sz="4" w:space="0" w:color="auto"/>
            </w:tcBorders>
            <w:shd w:val="clear" w:color="auto" w:fill="auto"/>
            <w:vAlign w:val="bottom"/>
          </w:tcPr>
          <w:p w14:paraId="7EF27282" w14:textId="072520F2" w:rsidR="003759DA" w:rsidRPr="003966DC" w:rsidRDefault="003759DA" w:rsidP="003759D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2552" w:type="dxa"/>
            <w:tcBorders>
              <w:top w:val="nil"/>
              <w:left w:val="nil"/>
              <w:bottom w:val="single" w:sz="4" w:space="0" w:color="auto"/>
              <w:right w:val="single" w:sz="4" w:space="0" w:color="auto"/>
            </w:tcBorders>
            <w:shd w:val="clear" w:color="auto" w:fill="auto"/>
            <w:noWrap/>
            <w:vAlign w:val="bottom"/>
          </w:tcPr>
          <w:p w14:paraId="361FD372" w14:textId="2480F292" w:rsidR="003759DA" w:rsidRPr="003966DC" w:rsidRDefault="003759DA" w:rsidP="003759D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tcPr>
          <w:p w14:paraId="7DFF9DBE" w14:textId="36045249" w:rsidR="003759DA" w:rsidRPr="003966DC" w:rsidRDefault="003759DA" w:rsidP="003759D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293</w:t>
            </w:r>
          </w:p>
        </w:tc>
        <w:tc>
          <w:tcPr>
            <w:tcW w:w="1213" w:type="dxa"/>
            <w:tcBorders>
              <w:top w:val="nil"/>
              <w:left w:val="nil"/>
              <w:bottom w:val="single" w:sz="4" w:space="0" w:color="auto"/>
              <w:right w:val="single" w:sz="4" w:space="0" w:color="auto"/>
            </w:tcBorders>
            <w:shd w:val="clear" w:color="auto" w:fill="auto"/>
            <w:noWrap/>
            <w:vAlign w:val="bottom"/>
          </w:tcPr>
          <w:p w14:paraId="5253805A" w14:textId="5ED58B24" w:rsidR="003759DA" w:rsidRPr="003966DC" w:rsidRDefault="003759DA" w:rsidP="003759D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313</w:t>
            </w:r>
          </w:p>
        </w:tc>
        <w:tc>
          <w:tcPr>
            <w:tcW w:w="1260" w:type="dxa"/>
            <w:tcBorders>
              <w:top w:val="nil"/>
              <w:left w:val="nil"/>
              <w:bottom w:val="single" w:sz="4" w:space="0" w:color="auto"/>
              <w:right w:val="single" w:sz="4" w:space="0" w:color="auto"/>
            </w:tcBorders>
            <w:shd w:val="clear" w:color="auto" w:fill="auto"/>
            <w:noWrap/>
            <w:vAlign w:val="bottom"/>
          </w:tcPr>
          <w:p w14:paraId="686FE01F" w14:textId="4147CF00" w:rsidR="003759DA" w:rsidRPr="003966DC" w:rsidRDefault="003759DA" w:rsidP="003759D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607</w:t>
            </w:r>
          </w:p>
        </w:tc>
      </w:tr>
      <w:tr w:rsidR="007F021A" w:rsidRPr="003966DC" w14:paraId="0950C93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FEB1451" w14:textId="3953230A" w:rsidR="007F021A" w:rsidRPr="003966DC" w:rsidRDefault="007F021A" w:rsidP="007F021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Sri Lanka</w:t>
            </w:r>
          </w:p>
        </w:tc>
        <w:tc>
          <w:tcPr>
            <w:tcW w:w="1138" w:type="dxa"/>
            <w:tcBorders>
              <w:top w:val="nil"/>
              <w:left w:val="nil"/>
              <w:bottom w:val="single" w:sz="4" w:space="0" w:color="auto"/>
              <w:right w:val="single" w:sz="4" w:space="0" w:color="auto"/>
            </w:tcBorders>
            <w:shd w:val="clear" w:color="auto" w:fill="auto"/>
            <w:vAlign w:val="bottom"/>
            <w:hideMark/>
          </w:tcPr>
          <w:p w14:paraId="48772504" w14:textId="07F4218D"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045</w:t>
            </w:r>
          </w:p>
        </w:tc>
        <w:tc>
          <w:tcPr>
            <w:tcW w:w="2552" w:type="dxa"/>
            <w:tcBorders>
              <w:top w:val="nil"/>
              <w:left w:val="nil"/>
              <w:bottom w:val="single" w:sz="4" w:space="0" w:color="auto"/>
              <w:right w:val="single" w:sz="4" w:space="0" w:color="auto"/>
            </w:tcBorders>
            <w:shd w:val="clear" w:color="auto" w:fill="auto"/>
            <w:noWrap/>
            <w:vAlign w:val="bottom"/>
            <w:hideMark/>
          </w:tcPr>
          <w:p w14:paraId="1DD3F022" w14:textId="18674C81"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064</w:t>
            </w:r>
          </w:p>
        </w:tc>
        <w:tc>
          <w:tcPr>
            <w:tcW w:w="1217" w:type="dxa"/>
            <w:tcBorders>
              <w:top w:val="nil"/>
              <w:left w:val="nil"/>
              <w:bottom w:val="single" w:sz="4" w:space="0" w:color="auto"/>
              <w:right w:val="single" w:sz="4" w:space="0" w:color="auto"/>
            </w:tcBorders>
            <w:shd w:val="clear" w:color="auto" w:fill="auto"/>
            <w:noWrap/>
            <w:vAlign w:val="bottom"/>
            <w:hideMark/>
          </w:tcPr>
          <w:p w14:paraId="66B00E7B" w14:textId="05982C13"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1 863</w:t>
            </w:r>
          </w:p>
        </w:tc>
        <w:tc>
          <w:tcPr>
            <w:tcW w:w="1213" w:type="dxa"/>
            <w:tcBorders>
              <w:top w:val="nil"/>
              <w:left w:val="nil"/>
              <w:bottom w:val="single" w:sz="4" w:space="0" w:color="auto"/>
              <w:right w:val="single" w:sz="4" w:space="0" w:color="auto"/>
            </w:tcBorders>
            <w:shd w:val="clear" w:color="auto" w:fill="auto"/>
            <w:noWrap/>
            <w:vAlign w:val="bottom"/>
            <w:hideMark/>
          </w:tcPr>
          <w:p w14:paraId="0B28857D" w14:textId="39DF93D8"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1 991</w:t>
            </w:r>
          </w:p>
        </w:tc>
        <w:tc>
          <w:tcPr>
            <w:tcW w:w="1260" w:type="dxa"/>
            <w:tcBorders>
              <w:top w:val="nil"/>
              <w:left w:val="nil"/>
              <w:bottom w:val="single" w:sz="4" w:space="0" w:color="auto"/>
              <w:right w:val="single" w:sz="4" w:space="0" w:color="auto"/>
            </w:tcBorders>
            <w:shd w:val="clear" w:color="auto" w:fill="auto"/>
            <w:noWrap/>
            <w:vAlign w:val="bottom"/>
            <w:hideMark/>
          </w:tcPr>
          <w:p w14:paraId="2C95C91B" w14:textId="51378F1F"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3 854</w:t>
            </w:r>
          </w:p>
        </w:tc>
      </w:tr>
      <w:tr w:rsidR="005B26E2" w:rsidRPr="003966DC" w14:paraId="40511A8F" w14:textId="77777777" w:rsidTr="00855DEB">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7B44ADA7" w14:textId="583BB2FE" w:rsidR="005B26E2" w:rsidRPr="003966DC" w:rsidRDefault="005B26E2" w:rsidP="005B26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Suède</w:t>
            </w:r>
          </w:p>
        </w:tc>
        <w:tc>
          <w:tcPr>
            <w:tcW w:w="1138" w:type="dxa"/>
            <w:tcBorders>
              <w:top w:val="nil"/>
              <w:left w:val="nil"/>
              <w:bottom w:val="single" w:sz="4" w:space="0" w:color="auto"/>
              <w:right w:val="single" w:sz="4" w:space="0" w:color="auto"/>
            </w:tcBorders>
            <w:shd w:val="clear" w:color="auto" w:fill="auto"/>
            <w:vAlign w:val="bottom"/>
          </w:tcPr>
          <w:p w14:paraId="14C6DBFA" w14:textId="56C4938B"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871</w:t>
            </w:r>
          </w:p>
        </w:tc>
        <w:tc>
          <w:tcPr>
            <w:tcW w:w="2552" w:type="dxa"/>
            <w:tcBorders>
              <w:top w:val="nil"/>
              <w:left w:val="nil"/>
              <w:bottom w:val="single" w:sz="4" w:space="0" w:color="auto"/>
              <w:right w:val="single" w:sz="4" w:space="0" w:color="auto"/>
            </w:tcBorders>
            <w:shd w:val="clear" w:color="auto" w:fill="auto"/>
            <w:noWrap/>
            <w:vAlign w:val="bottom"/>
          </w:tcPr>
          <w:p w14:paraId="2BF1C67C" w14:textId="6719129B"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230</w:t>
            </w:r>
          </w:p>
        </w:tc>
        <w:tc>
          <w:tcPr>
            <w:tcW w:w="1217" w:type="dxa"/>
            <w:tcBorders>
              <w:top w:val="nil"/>
              <w:left w:val="nil"/>
              <w:bottom w:val="single" w:sz="4" w:space="0" w:color="auto"/>
              <w:right w:val="single" w:sz="4" w:space="0" w:color="auto"/>
            </w:tcBorders>
            <w:shd w:val="clear" w:color="auto" w:fill="auto"/>
            <w:noWrap/>
            <w:vAlign w:val="bottom"/>
          </w:tcPr>
          <w:p w14:paraId="75585384" w14:textId="47C31DBD"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36 065</w:t>
            </w:r>
          </w:p>
        </w:tc>
        <w:tc>
          <w:tcPr>
            <w:tcW w:w="1213" w:type="dxa"/>
            <w:tcBorders>
              <w:top w:val="nil"/>
              <w:left w:val="nil"/>
              <w:bottom w:val="single" w:sz="4" w:space="0" w:color="auto"/>
              <w:right w:val="single" w:sz="4" w:space="0" w:color="auto"/>
            </w:tcBorders>
            <w:shd w:val="clear" w:color="auto" w:fill="auto"/>
            <w:noWrap/>
            <w:vAlign w:val="bottom"/>
          </w:tcPr>
          <w:p w14:paraId="5888F24D" w14:textId="2358A624"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38 533</w:t>
            </w:r>
          </w:p>
        </w:tc>
        <w:tc>
          <w:tcPr>
            <w:tcW w:w="1260" w:type="dxa"/>
            <w:tcBorders>
              <w:top w:val="nil"/>
              <w:left w:val="nil"/>
              <w:bottom w:val="single" w:sz="4" w:space="0" w:color="auto"/>
              <w:right w:val="single" w:sz="4" w:space="0" w:color="auto"/>
            </w:tcBorders>
            <w:shd w:val="clear" w:color="auto" w:fill="auto"/>
            <w:noWrap/>
            <w:vAlign w:val="bottom"/>
          </w:tcPr>
          <w:p w14:paraId="18C45DD9" w14:textId="1AEA7BB0"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74 599</w:t>
            </w:r>
          </w:p>
        </w:tc>
      </w:tr>
      <w:tr w:rsidR="005B26E2" w:rsidRPr="003966DC" w14:paraId="34CB6264" w14:textId="77777777" w:rsidTr="003759DA">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0274B9CB" w14:textId="3097C2CA" w:rsidR="005B26E2" w:rsidRPr="003966DC" w:rsidRDefault="005B26E2" w:rsidP="005B26E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Suisse</w:t>
            </w:r>
          </w:p>
        </w:tc>
        <w:tc>
          <w:tcPr>
            <w:tcW w:w="1138" w:type="dxa"/>
            <w:tcBorders>
              <w:top w:val="nil"/>
              <w:left w:val="nil"/>
              <w:bottom w:val="single" w:sz="4" w:space="0" w:color="auto"/>
              <w:right w:val="single" w:sz="4" w:space="0" w:color="auto"/>
            </w:tcBorders>
            <w:shd w:val="clear" w:color="auto" w:fill="auto"/>
            <w:vAlign w:val="bottom"/>
          </w:tcPr>
          <w:p w14:paraId="53084C0E" w14:textId="38ED5DA3"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134</w:t>
            </w:r>
          </w:p>
        </w:tc>
        <w:tc>
          <w:tcPr>
            <w:tcW w:w="2552" w:type="dxa"/>
            <w:tcBorders>
              <w:top w:val="nil"/>
              <w:left w:val="nil"/>
              <w:bottom w:val="single" w:sz="4" w:space="0" w:color="auto"/>
              <w:right w:val="single" w:sz="4" w:space="0" w:color="auto"/>
            </w:tcBorders>
            <w:shd w:val="clear" w:color="auto" w:fill="auto"/>
            <w:noWrap/>
            <w:vAlign w:val="bottom"/>
          </w:tcPr>
          <w:p w14:paraId="005A8E7B" w14:textId="50B53714"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601</w:t>
            </w:r>
          </w:p>
        </w:tc>
        <w:tc>
          <w:tcPr>
            <w:tcW w:w="1217" w:type="dxa"/>
            <w:tcBorders>
              <w:top w:val="nil"/>
              <w:left w:val="nil"/>
              <w:bottom w:val="single" w:sz="4" w:space="0" w:color="auto"/>
              <w:right w:val="single" w:sz="4" w:space="0" w:color="auto"/>
            </w:tcBorders>
            <w:shd w:val="clear" w:color="auto" w:fill="auto"/>
            <w:noWrap/>
            <w:vAlign w:val="bottom"/>
          </w:tcPr>
          <w:p w14:paraId="2D18C38D" w14:textId="1EE268B0"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46 955</w:t>
            </w:r>
          </w:p>
        </w:tc>
        <w:tc>
          <w:tcPr>
            <w:tcW w:w="1213" w:type="dxa"/>
            <w:tcBorders>
              <w:top w:val="nil"/>
              <w:left w:val="nil"/>
              <w:bottom w:val="single" w:sz="4" w:space="0" w:color="auto"/>
              <w:right w:val="single" w:sz="4" w:space="0" w:color="auto"/>
            </w:tcBorders>
            <w:shd w:val="clear" w:color="auto" w:fill="auto"/>
            <w:noWrap/>
            <w:vAlign w:val="bottom"/>
          </w:tcPr>
          <w:p w14:paraId="2A12BAE9" w14:textId="6ED6E214"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50 168</w:t>
            </w:r>
          </w:p>
        </w:tc>
        <w:tc>
          <w:tcPr>
            <w:tcW w:w="1260" w:type="dxa"/>
            <w:tcBorders>
              <w:top w:val="nil"/>
              <w:left w:val="nil"/>
              <w:bottom w:val="single" w:sz="4" w:space="0" w:color="auto"/>
              <w:right w:val="single" w:sz="4" w:space="0" w:color="auto"/>
            </w:tcBorders>
            <w:shd w:val="clear" w:color="auto" w:fill="auto"/>
            <w:noWrap/>
            <w:vAlign w:val="bottom"/>
          </w:tcPr>
          <w:p w14:paraId="2B9957D5" w14:textId="44AC17AB" w:rsidR="005B26E2" w:rsidRPr="003966DC" w:rsidRDefault="005B26E2" w:rsidP="005B26E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97 124</w:t>
            </w:r>
          </w:p>
        </w:tc>
      </w:tr>
      <w:tr w:rsidR="007F021A" w:rsidRPr="003966DC" w14:paraId="13589F8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98A7243" w14:textId="7B8350EC" w:rsidR="007F021A" w:rsidRPr="003966DC" w:rsidRDefault="007F021A" w:rsidP="007F021A">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Suriname</w:t>
            </w:r>
          </w:p>
        </w:tc>
        <w:tc>
          <w:tcPr>
            <w:tcW w:w="1138" w:type="dxa"/>
            <w:tcBorders>
              <w:top w:val="nil"/>
              <w:left w:val="nil"/>
              <w:bottom w:val="single" w:sz="4" w:space="0" w:color="auto"/>
              <w:right w:val="single" w:sz="4" w:space="0" w:color="auto"/>
            </w:tcBorders>
            <w:shd w:val="clear" w:color="auto" w:fill="auto"/>
            <w:vAlign w:val="bottom"/>
            <w:hideMark/>
          </w:tcPr>
          <w:p w14:paraId="4F4E6FAC" w14:textId="7DDFDF77"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2552" w:type="dxa"/>
            <w:tcBorders>
              <w:top w:val="nil"/>
              <w:left w:val="nil"/>
              <w:bottom w:val="single" w:sz="4" w:space="0" w:color="auto"/>
              <w:right w:val="single" w:sz="4" w:space="0" w:color="auto"/>
            </w:tcBorders>
            <w:shd w:val="clear" w:color="auto" w:fill="auto"/>
            <w:noWrap/>
            <w:vAlign w:val="bottom"/>
            <w:hideMark/>
          </w:tcPr>
          <w:p w14:paraId="0F1EF2BA" w14:textId="04D3DD76"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1217" w:type="dxa"/>
            <w:tcBorders>
              <w:top w:val="nil"/>
              <w:left w:val="nil"/>
              <w:bottom w:val="single" w:sz="4" w:space="0" w:color="auto"/>
              <w:right w:val="single" w:sz="4" w:space="0" w:color="auto"/>
            </w:tcBorders>
            <w:shd w:val="clear" w:color="auto" w:fill="auto"/>
            <w:noWrap/>
            <w:vAlign w:val="bottom"/>
            <w:hideMark/>
          </w:tcPr>
          <w:p w14:paraId="315289DC" w14:textId="44415F60"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467F90EB" w14:textId="37C53FAD"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26E7529A" w14:textId="2528905D" w:rsidR="007F021A" w:rsidRPr="003966DC" w:rsidRDefault="007F021A" w:rsidP="007F021A">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257</w:t>
            </w:r>
          </w:p>
        </w:tc>
      </w:tr>
      <w:tr w:rsidR="006E526B" w:rsidRPr="003966DC" w14:paraId="15399A1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F7243A9" w14:textId="3F3CAB65" w:rsidR="006E526B" w:rsidRPr="003966DC" w:rsidRDefault="006E526B" w:rsidP="006E526B">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Tadjikistan</w:t>
            </w:r>
          </w:p>
        </w:tc>
        <w:tc>
          <w:tcPr>
            <w:tcW w:w="1138" w:type="dxa"/>
            <w:tcBorders>
              <w:top w:val="nil"/>
              <w:left w:val="nil"/>
              <w:bottom w:val="single" w:sz="4" w:space="0" w:color="auto"/>
              <w:right w:val="single" w:sz="4" w:space="0" w:color="auto"/>
            </w:tcBorders>
            <w:shd w:val="clear" w:color="auto" w:fill="auto"/>
            <w:vAlign w:val="bottom"/>
            <w:hideMark/>
          </w:tcPr>
          <w:p w14:paraId="6D9A9BFC" w14:textId="0C42E266"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2552" w:type="dxa"/>
            <w:tcBorders>
              <w:top w:val="nil"/>
              <w:left w:val="nil"/>
              <w:bottom w:val="single" w:sz="4" w:space="0" w:color="auto"/>
              <w:right w:val="single" w:sz="4" w:space="0" w:color="auto"/>
            </w:tcBorders>
            <w:shd w:val="clear" w:color="auto" w:fill="auto"/>
            <w:noWrap/>
            <w:vAlign w:val="bottom"/>
            <w:hideMark/>
          </w:tcPr>
          <w:p w14:paraId="5F5EFA79" w14:textId="3B368F66"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1217" w:type="dxa"/>
            <w:tcBorders>
              <w:top w:val="nil"/>
              <w:left w:val="nil"/>
              <w:bottom w:val="single" w:sz="4" w:space="0" w:color="auto"/>
              <w:right w:val="single" w:sz="4" w:space="0" w:color="auto"/>
            </w:tcBorders>
            <w:shd w:val="clear" w:color="auto" w:fill="auto"/>
            <w:noWrap/>
            <w:vAlign w:val="bottom"/>
            <w:hideMark/>
          </w:tcPr>
          <w:p w14:paraId="59BBCB66" w14:textId="070C59FD"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1476E0EC" w14:textId="0B4807C1"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2F9F818C" w14:textId="655E3860"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257</w:t>
            </w:r>
          </w:p>
        </w:tc>
      </w:tr>
      <w:tr w:rsidR="0086470C" w:rsidRPr="003966DC" w14:paraId="4CFE976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88254E9" w14:textId="68B98D0A" w:rsidR="0086470C" w:rsidRPr="003966DC" w:rsidRDefault="0086470C" w:rsidP="0086470C">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Tchad</w:t>
            </w:r>
          </w:p>
        </w:tc>
        <w:tc>
          <w:tcPr>
            <w:tcW w:w="1138" w:type="dxa"/>
            <w:tcBorders>
              <w:top w:val="nil"/>
              <w:left w:val="nil"/>
              <w:bottom w:val="single" w:sz="4" w:space="0" w:color="auto"/>
              <w:right w:val="single" w:sz="4" w:space="0" w:color="auto"/>
            </w:tcBorders>
            <w:shd w:val="clear" w:color="auto" w:fill="auto"/>
            <w:vAlign w:val="bottom"/>
          </w:tcPr>
          <w:p w14:paraId="4B004004" w14:textId="1586DEC4" w:rsidR="0086470C" w:rsidRPr="003966DC" w:rsidRDefault="0086470C" w:rsidP="008647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2552" w:type="dxa"/>
            <w:tcBorders>
              <w:top w:val="nil"/>
              <w:left w:val="nil"/>
              <w:bottom w:val="single" w:sz="4" w:space="0" w:color="auto"/>
              <w:right w:val="single" w:sz="4" w:space="0" w:color="auto"/>
            </w:tcBorders>
            <w:shd w:val="clear" w:color="auto" w:fill="auto"/>
            <w:noWrap/>
            <w:vAlign w:val="bottom"/>
          </w:tcPr>
          <w:p w14:paraId="63A4BD55" w14:textId="54CE66E5" w:rsidR="0086470C" w:rsidRPr="003966DC" w:rsidRDefault="0086470C" w:rsidP="008647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004</w:t>
            </w:r>
          </w:p>
        </w:tc>
        <w:tc>
          <w:tcPr>
            <w:tcW w:w="1217" w:type="dxa"/>
            <w:tcBorders>
              <w:top w:val="nil"/>
              <w:left w:val="nil"/>
              <w:bottom w:val="single" w:sz="4" w:space="0" w:color="auto"/>
              <w:right w:val="single" w:sz="4" w:space="0" w:color="auto"/>
            </w:tcBorders>
            <w:shd w:val="clear" w:color="auto" w:fill="auto"/>
            <w:noWrap/>
            <w:vAlign w:val="bottom"/>
          </w:tcPr>
          <w:p w14:paraId="42004497" w14:textId="1434CA59" w:rsidR="0086470C" w:rsidRPr="003966DC" w:rsidRDefault="0086470C" w:rsidP="008647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124</w:t>
            </w:r>
          </w:p>
        </w:tc>
        <w:tc>
          <w:tcPr>
            <w:tcW w:w="1213" w:type="dxa"/>
            <w:tcBorders>
              <w:top w:val="nil"/>
              <w:left w:val="nil"/>
              <w:bottom w:val="single" w:sz="4" w:space="0" w:color="auto"/>
              <w:right w:val="single" w:sz="4" w:space="0" w:color="auto"/>
            </w:tcBorders>
            <w:shd w:val="clear" w:color="auto" w:fill="auto"/>
            <w:noWrap/>
            <w:vAlign w:val="bottom"/>
          </w:tcPr>
          <w:p w14:paraId="1F541F1D" w14:textId="48437EFD" w:rsidR="0086470C" w:rsidRPr="003966DC" w:rsidRDefault="0086470C" w:rsidP="008647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133</w:t>
            </w:r>
          </w:p>
        </w:tc>
        <w:tc>
          <w:tcPr>
            <w:tcW w:w="1260" w:type="dxa"/>
            <w:tcBorders>
              <w:top w:val="nil"/>
              <w:left w:val="nil"/>
              <w:bottom w:val="single" w:sz="4" w:space="0" w:color="auto"/>
              <w:right w:val="single" w:sz="4" w:space="0" w:color="auto"/>
            </w:tcBorders>
            <w:shd w:val="clear" w:color="auto" w:fill="auto"/>
            <w:noWrap/>
            <w:vAlign w:val="bottom"/>
          </w:tcPr>
          <w:p w14:paraId="793A4F3C" w14:textId="606B94C3" w:rsidR="0086470C" w:rsidRPr="003966DC" w:rsidRDefault="0086470C" w:rsidP="0086470C">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257</w:t>
            </w:r>
          </w:p>
        </w:tc>
      </w:tr>
      <w:tr w:rsidR="00141852" w:rsidRPr="003966DC" w14:paraId="6D85239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C7B0217" w14:textId="672319C7" w:rsidR="00141852" w:rsidRPr="003966DC" w:rsidRDefault="00141852" w:rsidP="00141852">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Tché</w:t>
            </w:r>
            <w:r w:rsidR="00F4007E">
              <w:rPr>
                <w:rFonts w:eastAsia="Times New Roman"/>
                <w:color w:val="000000" w:themeColor="text1"/>
                <w:sz w:val="18"/>
                <w:szCs w:val="18"/>
                <w:lang w:val="fr-FR" w:eastAsia="en-CA"/>
              </w:rPr>
              <w:t>qui</w:t>
            </w:r>
            <w:r w:rsidRPr="003966DC">
              <w:rPr>
                <w:rFonts w:eastAsia="Times New Roman"/>
                <w:color w:val="000000" w:themeColor="text1"/>
                <w:sz w:val="18"/>
                <w:szCs w:val="18"/>
                <w:lang w:val="fr-FR" w:eastAsia="en-CA"/>
              </w:rPr>
              <w:t>e</w:t>
            </w:r>
          </w:p>
        </w:tc>
        <w:tc>
          <w:tcPr>
            <w:tcW w:w="1138" w:type="dxa"/>
            <w:tcBorders>
              <w:top w:val="nil"/>
              <w:left w:val="nil"/>
              <w:bottom w:val="single" w:sz="4" w:space="0" w:color="auto"/>
              <w:right w:val="single" w:sz="4" w:space="0" w:color="auto"/>
            </w:tcBorders>
            <w:shd w:val="clear" w:color="auto" w:fill="auto"/>
            <w:vAlign w:val="bottom"/>
          </w:tcPr>
          <w:p w14:paraId="260BFC28" w14:textId="111C0979"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340</w:t>
            </w:r>
          </w:p>
        </w:tc>
        <w:tc>
          <w:tcPr>
            <w:tcW w:w="2552" w:type="dxa"/>
            <w:tcBorders>
              <w:top w:val="nil"/>
              <w:left w:val="nil"/>
              <w:bottom w:val="single" w:sz="4" w:space="0" w:color="auto"/>
              <w:right w:val="single" w:sz="4" w:space="0" w:color="auto"/>
            </w:tcBorders>
            <w:shd w:val="clear" w:color="auto" w:fill="auto"/>
            <w:noWrap/>
            <w:vAlign w:val="bottom"/>
          </w:tcPr>
          <w:p w14:paraId="34D54F2B" w14:textId="61BF242F"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480</w:t>
            </w:r>
          </w:p>
        </w:tc>
        <w:tc>
          <w:tcPr>
            <w:tcW w:w="1217" w:type="dxa"/>
            <w:tcBorders>
              <w:top w:val="nil"/>
              <w:left w:val="nil"/>
              <w:bottom w:val="single" w:sz="4" w:space="0" w:color="auto"/>
              <w:right w:val="single" w:sz="4" w:space="0" w:color="auto"/>
            </w:tcBorders>
            <w:shd w:val="clear" w:color="auto" w:fill="auto"/>
            <w:noWrap/>
            <w:vAlign w:val="bottom"/>
          </w:tcPr>
          <w:p w14:paraId="764AE6C8" w14:textId="0951FE02"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14 078</w:t>
            </w:r>
          </w:p>
        </w:tc>
        <w:tc>
          <w:tcPr>
            <w:tcW w:w="1213" w:type="dxa"/>
            <w:tcBorders>
              <w:top w:val="nil"/>
              <w:left w:val="nil"/>
              <w:bottom w:val="single" w:sz="4" w:space="0" w:color="auto"/>
              <w:right w:val="single" w:sz="4" w:space="0" w:color="auto"/>
            </w:tcBorders>
            <w:shd w:val="clear" w:color="auto" w:fill="auto"/>
            <w:noWrap/>
            <w:vAlign w:val="bottom"/>
          </w:tcPr>
          <w:p w14:paraId="32846F68" w14:textId="298A5351"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15 042</w:t>
            </w:r>
          </w:p>
        </w:tc>
        <w:tc>
          <w:tcPr>
            <w:tcW w:w="1260" w:type="dxa"/>
            <w:tcBorders>
              <w:top w:val="nil"/>
              <w:left w:val="nil"/>
              <w:bottom w:val="single" w:sz="4" w:space="0" w:color="auto"/>
              <w:right w:val="single" w:sz="4" w:space="0" w:color="auto"/>
            </w:tcBorders>
            <w:shd w:val="clear" w:color="auto" w:fill="auto"/>
            <w:noWrap/>
            <w:vAlign w:val="bottom"/>
          </w:tcPr>
          <w:p w14:paraId="1DB2C03A" w14:textId="3AAB13EE" w:rsidR="00141852" w:rsidRPr="003966DC" w:rsidRDefault="00141852" w:rsidP="00141852">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29 120</w:t>
            </w:r>
          </w:p>
        </w:tc>
      </w:tr>
      <w:tr w:rsidR="006E526B" w:rsidRPr="003966DC" w14:paraId="1104878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DD97A6F" w14:textId="22A615CB" w:rsidR="006E526B" w:rsidRPr="003966DC" w:rsidRDefault="006E526B" w:rsidP="006E526B">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Thaïlande</w:t>
            </w:r>
          </w:p>
        </w:tc>
        <w:tc>
          <w:tcPr>
            <w:tcW w:w="1138" w:type="dxa"/>
            <w:tcBorders>
              <w:top w:val="nil"/>
              <w:left w:val="nil"/>
              <w:bottom w:val="single" w:sz="4" w:space="0" w:color="auto"/>
              <w:right w:val="single" w:sz="4" w:space="0" w:color="auto"/>
            </w:tcBorders>
            <w:shd w:val="clear" w:color="auto" w:fill="auto"/>
            <w:vAlign w:val="bottom"/>
            <w:hideMark/>
          </w:tcPr>
          <w:p w14:paraId="7B3AEDDB" w14:textId="20B1DA9C"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368</w:t>
            </w:r>
          </w:p>
        </w:tc>
        <w:tc>
          <w:tcPr>
            <w:tcW w:w="2552" w:type="dxa"/>
            <w:tcBorders>
              <w:top w:val="nil"/>
              <w:left w:val="nil"/>
              <w:bottom w:val="single" w:sz="4" w:space="0" w:color="auto"/>
              <w:right w:val="single" w:sz="4" w:space="0" w:color="auto"/>
            </w:tcBorders>
            <w:shd w:val="clear" w:color="auto" w:fill="auto"/>
            <w:noWrap/>
            <w:vAlign w:val="bottom"/>
            <w:hideMark/>
          </w:tcPr>
          <w:p w14:paraId="1EC3DC3A" w14:textId="73C15A32"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520</w:t>
            </w:r>
          </w:p>
        </w:tc>
        <w:tc>
          <w:tcPr>
            <w:tcW w:w="1217" w:type="dxa"/>
            <w:tcBorders>
              <w:top w:val="nil"/>
              <w:left w:val="nil"/>
              <w:bottom w:val="single" w:sz="4" w:space="0" w:color="auto"/>
              <w:right w:val="single" w:sz="4" w:space="0" w:color="auto"/>
            </w:tcBorders>
            <w:shd w:val="clear" w:color="auto" w:fill="auto"/>
            <w:noWrap/>
            <w:vAlign w:val="bottom"/>
            <w:hideMark/>
          </w:tcPr>
          <w:p w14:paraId="5AE465AD" w14:textId="26EFB87F"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15 238</w:t>
            </w:r>
          </w:p>
        </w:tc>
        <w:tc>
          <w:tcPr>
            <w:tcW w:w="1213" w:type="dxa"/>
            <w:tcBorders>
              <w:top w:val="nil"/>
              <w:left w:val="nil"/>
              <w:bottom w:val="single" w:sz="4" w:space="0" w:color="auto"/>
              <w:right w:val="single" w:sz="4" w:space="0" w:color="auto"/>
            </w:tcBorders>
            <w:shd w:val="clear" w:color="auto" w:fill="auto"/>
            <w:noWrap/>
            <w:vAlign w:val="bottom"/>
            <w:hideMark/>
          </w:tcPr>
          <w:p w14:paraId="071D7811" w14:textId="5585B8C7"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16 280</w:t>
            </w:r>
          </w:p>
        </w:tc>
        <w:tc>
          <w:tcPr>
            <w:tcW w:w="1260" w:type="dxa"/>
            <w:tcBorders>
              <w:top w:val="nil"/>
              <w:left w:val="nil"/>
              <w:bottom w:val="single" w:sz="4" w:space="0" w:color="auto"/>
              <w:right w:val="single" w:sz="4" w:space="0" w:color="auto"/>
            </w:tcBorders>
            <w:shd w:val="clear" w:color="auto" w:fill="auto"/>
            <w:noWrap/>
            <w:vAlign w:val="bottom"/>
            <w:hideMark/>
          </w:tcPr>
          <w:p w14:paraId="1093CBF7" w14:textId="060E7F91"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31 518</w:t>
            </w:r>
          </w:p>
        </w:tc>
      </w:tr>
      <w:tr w:rsidR="006E526B" w:rsidRPr="003966DC" w14:paraId="726D43F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5CFA30C" w14:textId="61C1C884" w:rsidR="006E526B" w:rsidRPr="003966DC" w:rsidRDefault="006E526B" w:rsidP="006E526B">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Togo</w:t>
            </w:r>
          </w:p>
        </w:tc>
        <w:tc>
          <w:tcPr>
            <w:tcW w:w="1138" w:type="dxa"/>
            <w:tcBorders>
              <w:top w:val="nil"/>
              <w:left w:val="nil"/>
              <w:bottom w:val="single" w:sz="4" w:space="0" w:color="auto"/>
              <w:right w:val="single" w:sz="4" w:space="0" w:color="auto"/>
            </w:tcBorders>
            <w:shd w:val="clear" w:color="auto" w:fill="auto"/>
            <w:vAlign w:val="bottom"/>
            <w:hideMark/>
          </w:tcPr>
          <w:p w14:paraId="39AF0A3B" w14:textId="4282AEEA"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002</w:t>
            </w:r>
          </w:p>
        </w:tc>
        <w:tc>
          <w:tcPr>
            <w:tcW w:w="2552" w:type="dxa"/>
            <w:tcBorders>
              <w:top w:val="nil"/>
              <w:left w:val="nil"/>
              <w:bottom w:val="single" w:sz="4" w:space="0" w:color="auto"/>
              <w:right w:val="single" w:sz="4" w:space="0" w:color="auto"/>
            </w:tcBorders>
            <w:shd w:val="clear" w:color="auto" w:fill="auto"/>
            <w:noWrap/>
            <w:vAlign w:val="bottom"/>
            <w:hideMark/>
          </w:tcPr>
          <w:p w14:paraId="0B28517A" w14:textId="1F0E433D"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003</w:t>
            </w:r>
          </w:p>
        </w:tc>
        <w:tc>
          <w:tcPr>
            <w:tcW w:w="1217" w:type="dxa"/>
            <w:tcBorders>
              <w:top w:val="nil"/>
              <w:left w:val="nil"/>
              <w:bottom w:val="single" w:sz="4" w:space="0" w:color="auto"/>
              <w:right w:val="single" w:sz="4" w:space="0" w:color="auto"/>
            </w:tcBorders>
            <w:shd w:val="clear" w:color="auto" w:fill="auto"/>
            <w:noWrap/>
            <w:vAlign w:val="bottom"/>
            <w:hideMark/>
          </w:tcPr>
          <w:p w14:paraId="24CA7935" w14:textId="453642E9"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0698AF76" w14:textId="35F3F795"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2A90071A" w14:textId="6B6DE96A"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171</w:t>
            </w:r>
          </w:p>
        </w:tc>
      </w:tr>
      <w:tr w:rsidR="006E526B" w:rsidRPr="003966DC" w14:paraId="3BFB94A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4D62F0E" w14:textId="5CF82605" w:rsidR="006E526B" w:rsidRPr="003966DC" w:rsidRDefault="006E526B" w:rsidP="006E526B">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Tonga</w:t>
            </w:r>
          </w:p>
        </w:tc>
        <w:tc>
          <w:tcPr>
            <w:tcW w:w="1138" w:type="dxa"/>
            <w:tcBorders>
              <w:top w:val="nil"/>
              <w:left w:val="nil"/>
              <w:bottom w:val="single" w:sz="4" w:space="0" w:color="auto"/>
              <w:right w:val="single" w:sz="4" w:space="0" w:color="auto"/>
            </w:tcBorders>
            <w:shd w:val="clear" w:color="auto" w:fill="auto"/>
            <w:vAlign w:val="bottom"/>
            <w:hideMark/>
          </w:tcPr>
          <w:p w14:paraId="07D80687" w14:textId="168E160E"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2552" w:type="dxa"/>
            <w:tcBorders>
              <w:top w:val="nil"/>
              <w:left w:val="nil"/>
              <w:bottom w:val="single" w:sz="4" w:space="0" w:color="auto"/>
              <w:right w:val="single" w:sz="4" w:space="0" w:color="auto"/>
            </w:tcBorders>
            <w:shd w:val="clear" w:color="auto" w:fill="auto"/>
            <w:noWrap/>
            <w:vAlign w:val="bottom"/>
            <w:hideMark/>
          </w:tcPr>
          <w:p w14:paraId="057F25BD" w14:textId="2755B676"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001</w:t>
            </w:r>
          </w:p>
        </w:tc>
        <w:tc>
          <w:tcPr>
            <w:tcW w:w="1217" w:type="dxa"/>
            <w:tcBorders>
              <w:top w:val="nil"/>
              <w:left w:val="nil"/>
              <w:bottom w:val="single" w:sz="4" w:space="0" w:color="auto"/>
              <w:right w:val="single" w:sz="4" w:space="0" w:color="auto"/>
            </w:tcBorders>
            <w:shd w:val="clear" w:color="auto" w:fill="auto"/>
            <w:noWrap/>
            <w:vAlign w:val="bottom"/>
            <w:hideMark/>
          </w:tcPr>
          <w:p w14:paraId="79D77C14" w14:textId="10933541"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AC002DA" w14:textId="05791999"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33A3B24" w14:textId="11D7B6A9"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86</w:t>
            </w:r>
          </w:p>
        </w:tc>
      </w:tr>
      <w:tr w:rsidR="006E526B" w:rsidRPr="003966DC" w14:paraId="3C6AA3C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D832DA0" w14:textId="056A9343" w:rsidR="006E526B" w:rsidRPr="003966DC" w:rsidRDefault="006E526B" w:rsidP="006E526B">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Trinité-et-Tobago</w:t>
            </w:r>
          </w:p>
        </w:tc>
        <w:tc>
          <w:tcPr>
            <w:tcW w:w="1138" w:type="dxa"/>
            <w:tcBorders>
              <w:top w:val="nil"/>
              <w:left w:val="nil"/>
              <w:bottom w:val="single" w:sz="4" w:space="0" w:color="auto"/>
              <w:right w:val="single" w:sz="4" w:space="0" w:color="auto"/>
            </w:tcBorders>
            <w:shd w:val="clear" w:color="auto" w:fill="auto"/>
            <w:vAlign w:val="bottom"/>
            <w:hideMark/>
          </w:tcPr>
          <w:p w14:paraId="6C7A343B" w14:textId="703069E6"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037</w:t>
            </w:r>
          </w:p>
        </w:tc>
        <w:tc>
          <w:tcPr>
            <w:tcW w:w="2552" w:type="dxa"/>
            <w:tcBorders>
              <w:top w:val="nil"/>
              <w:left w:val="nil"/>
              <w:bottom w:val="single" w:sz="4" w:space="0" w:color="auto"/>
              <w:right w:val="single" w:sz="4" w:space="0" w:color="auto"/>
            </w:tcBorders>
            <w:shd w:val="clear" w:color="auto" w:fill="auto"/>
            <w:noWrap/>
            <w:vAlign w:val="bottom"/>
            <w:hideMark/>
          </w:tcPr>
          <w:p w14:paraId="2732A4DC" w14:textId="2FD084B6"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052</w:t>
            </w:r>
          </w:p>
        </w:tc>
        <w:tc>
          <w:tcPr>
            <w:tcW w:w="1217" w:type="dxa"/>
            <w:tcBorders>
              <w:top w:val="nil"/>
              <w:left w:val="nil"/>
              <w:bottom w:val="single" w:sz="4" w:space="0" w:color="auto"/>
              <w:right w:val="single" w:sz="4" w:space="0" w:color="auto"/>
            </w:tcBorders>
            <w:shd w:val="clear" w:color="auto" w:fill="auto"/>
            <w:noWrap/>
            <w:vAlign w:val="bottom"/>
            <w:hideMark/>
          </w:tcPr>
          <w:p w14:paraId="5CEB5546" w14:textId="754085E9"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1 532</w:t>
            </w:r>
          </w:p>
        </w:tc>
        <w:tc>
          <w:tcPr>
            <w:tcW w:w="1213" w:type="dxa"/>
            <w:tcBorders>
              <w:top w:val="nil"/>
              <w:left w:val="nil"/>
              <w:bottom w:val="single" w:sz="4" w:space="0" w:color="auto"/>
              <w:right w:val="single" w:sz="4" w:space="0" w:color="auto"/>
            </w:tcBorders>
            <w:shd w:val="clear" w:color="auto" w:fill="auto"/>
            <w:noWrap/>
            <w:vAlign w:val="bottom"/>
            <w:hideMark/>
          </w:tcPr>
          <w:p w14:paraId="4B3357F7" w14:textId="475E2A3D"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1 637</w:t>
            </w:r>
          </w:p>
        </w:tc>
        <w:tc>
          <w:tcPr>
            <w:tcW w:w="1260" w:type="dxa"/>
            <w:tcBorders>
              <w:top w:val="nil"/>
              <w:left w:val="nil"/>
              <w:bottom w:val="single" w:sz="4" w:space="0" w:color="auto"/>
              <w:right w:val="single" w:sz="4" w:space="0" w:color="auto"/>
            </w:tcBorders>
            <w:shd w:val="clear" w:color="auto" w:fill="auto"/>
            <w:noWrap/>
            <w:vAlign w:val="bottom"/>
            <w:hideMark/>
          </w:tcPr>
          <w:p w14:paraId="0BC26A09" w14:textId="028743E6"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3 169</w:t>
            </w:r>
          </w:p>
        </w:tc>
      </w:tr>
      <w:tr w:rsidR="006E526B" w:rsidRPr="003966DC" w14:paraId="0B6FA37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21AC2B7" w14:textId="6D55673E" w:rsidR="006E526B" w:rsidRPr="003966DC" w:rsidRDefault="006E526B" w:rsidP="006E526B">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Tunisie</w:t>
            </w:r>
          </w:p>
        </w:tc>
        <w:tc>
          <w:tcPr>
            <w:tcW w:w="1138" w:type="dxa"/>
            <w:tcBorders>
              <w:top w:val="nil"/>
              <w:left w:val="nil"/>
              <w:bottom w:val="single" w:sz="4" w:space="0" w:color="auto"/>
              <w:right w:val="single" w:sz="4" w:space="0" w:color="auto"/>
            </w:tcBorders>
            <w:shd w:val="clear" w:color="auto" w:fill="auto"/>
            <w:vAlign w:val="bottom"/>
            <w:hideMark/>
          </w:tcPr>
          <w:p w14:paraId="37ACDF1E" w14:textId="65EF0B26"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019</w:t>
            </w:r>
          </w:p>
        </w:tc>
        <w:tc>
          <w:tcPr>
            <w:tcW w:w="2552" w:type="dxa"/>
            <w:tcBorders>
              <w:top w:val="nil"/>
              <w:left w:val="nil"/>
              <w:bottom w:val="single" w:sz="4" w:space="0" w:color="auto"/>
              <w:right w:val="single" w:sz="4" w:space="0" w:color="auto"/>
            </w:tcBorders>
            <w:shd w:val="clear" w:color="auto" w:fill="auto"/>
            <w:noWrap/>
            <w:vAlign w:val="bottom"/>
            <w:hideMark/>
          </w:tcPr>
          <w:p w14:paraId="7DF8464E" w14:textId="6BA5DE5A"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027</w:t>
            </w:r>
          </w:p>
        </w:tc>
        <w:tc>
          <w:tcPr>
            <w:tcW w:w="1217" w:type="dxa"/>
            <w:tcBorders>
              <w:top w:val="nil"/>
              <w:left w:val="nil"/>
              <w:bottom w:val="single" w:sz="4" w:space="0" w:color="auto"/>
              <w:right w:val="single" w:sz="4" w:space="0" w:color="auto"/>
            </w:tcBorders>
            <w:shd w:val="clear" w:color="auto" w:fill="auto"/>
            <w:noWrap/>
            <w:vAlign w:val="bottom"/>
            <w:hideMark/>
          </w:tcPr>
          <w:p w14:paraId="38AE1852" w14:textId="1224DB0F"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09E7D08B" w14:textId="04428F14"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1D38144E" w14:textId="1A448AF3"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1 627</w:t>
            </w:r>
          </w:p>
        </w:tc>
      </w:tr>
      <w:tr w:rsidR="006E526B" w:rsidRPr="003966DC" w14:paraId="7554F40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4DEEFBC" w14:textId="72D223D0" w:rsidR="006E526B" w:rsidRPr="003966DC" w:rsidRDefault="00185D33" w:rsidP="006E526B">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Türkiye</w:t>
            </w:r>
          </w:p>
        </w:tc>
        <w:tc>
          <w:tcPr>
            <w:tcW w:w="1138" w:type="dxa"/>
            <w:tcBorders>
              <w:top w:val="nil"/>
              <w:left w:val="nil"/>
              <w:bottom w:val="single" w:sz="4" w:space="0" w:color="auto"/>
              <w:right w:val="single" w:sz="4" w:space="0" w:color="auto"/>
            </w:tcBorders>
            <w:shd w:val="clear" w:color="auto" w:fill="auto"/>
            <w:vAlign w:val="bottom"/>
            <w:hideMark/>
          </w:tcPr>
          <w:p w14:paraId="079FE188" w14:textId="7A63D0D2"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845</w:t>
            </w:r>
          </w:p>
        </w:tc>
        <w:tc>
          <w:tcPr>
            <w:tcW w:w="2552" w:type="dxa"/>
            <w:tcBorders>
              <w:top w:val="nil"/>
              <w:left w:val="nil"/>
              <w:bottom w:val="single" w:sz="4" w:space="0" w:color="auto"/>
              <w:right w:val="single" w:sz="4" w:space="0" w:color="auto"/>
            </w:tcBorders>
            <w:shd w:val="clear" w:color="auto" w:fill="auto"/>
            <w:noWrap/>
            <w:vAlign w:val="bottom"/>
            <w:hideMark/>
          </w:tcPr>
          <w:p w14:paraId="1B9BD6E8" w14:textId="0CEBBCC3"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193</w:t>
            </w:r>
          </w:p>
        </w:tc>
        <w:tc>
          <w:tcPr>
            <w:tcW w:w="1217" w:type="dxa"/>
            <w:tcBorders>
              <w:top w:val="nil"/>
              <w:left w:val="nil"/>
              <w:bottom w:val="single" w:sz="4" w:space="0" w:color="auto"/>
              <w:right w:val="single" w:sz="4" w:space="0" w:color="auto"/>
            </w:tcBorders>
            <w:shd w:val="clear" w:color="auto" w:fill="auto"/>
            <w:noWrap/>
            <w:vAlign w:val="bottom"/>
            <w:hideMark/>
          </w:tcPr>
          <w:p w14:paraId="4490341C" w14:textId="52934F31"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34 989</w:t>
            </w:r>
          </w:p>
        </w:tc>
        <w:tc>
          <w:tcPr>
            <w:tcW w:w="1213" w:type="dxa"/>
            <w:tcBorders>
              <w:top w:val="nil"/>
              <w:left w:val="nil"/>
              <w:bottom w:val="single" w:sz="4" w:space="0" w:color="auto"/>
              <w:right w:val="single" w:sz="4" w:space="0" w:color="auto"/>
            </w:tcBorders>
            <w:shd w:val="clear" w:color="auto" w:fill="auto"/>
            <w:noWrap/>
            <w:vAlign w:val="bottom"/>
            <w:hideMark/>
          </w:tcPr>
          <w:p w14:paraId="6B2BE7FE" w14:textId="7851DD25"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37 383</w:t>
            </w:r>
          </w:p>
        </w:tc>
        <w:tc>
          <w:tcPr>
            <w:tcW w:w="1260" w:type="dxa"/>
            <w:tcBorders>
              <w:top w:val="nil"/>
              <w:left w:val="nil"/>
              <w:bottom w:val="single" w:sz="4" w:space="0" w:color="auto"/>
              <w:right w:val="single" w:sz="4" w:space="0" w:color="auto"/>
            </w:tcBorders>
            <w:shd w:val="clear" w:color="auto" w:fill="auto"/>
            <w:noWrap/>
            <w:vAlign w:val="bottom"/>
            <w:hideMark/>
          </w:tcPr>
          <w:p w14:paraId="0E6FE29A" w14:textId="779DC62E"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72 372</w:t>
            </w:r>
          </w:p>
        </w:tc>
      </w:tr>
      <w:tr w:rsidR="006E526B" w:rsidRPr="003966DC" w14:paraId="63B973E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219DD5" w14:textId="7F5FF532" w:rsidR="006E526B" w:rsidRPr="003966DC" w:rsidRDefault="006E526B" w:rsidP="006E526B">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Turkménistan</w:t>
            </w:r>
          </w:p>
        </w:tc>
        <w:tc>
          <w:tcPr>
            <w:tcW w:w="1138" w:type="dxa"/>
            <w:tcBorders>
              <w:top w:val="nil"/>
              <w:left w:val="nil"/>
              <w:bottom w:val="single" w:sz="4" w:space="0" w:color="auto"/>
              <w:right w:val="single" w:sz="4" w:space="0" w:color="auto"/>
            </w:tcBorders>
            <w:shd w:val="clear" w:color="auto" w:fill="auto"/>
            <w:vAlign w:val="bottom"/>
            <w:hideMark/>
          </w:tcPr>
          <w:p w14:paraId="3FB0DBB5" w14:textId="2712D805"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034</w:t>
            </w:r>
          </w:p>
        </w:tc>
        <w:tc>
          <w:tcPr>
            <w:tcW w:w="2552" w:type="dxa"/>
            <w:tcBorders>
              <w:top w:val="nil"/>
              <w:left w:val="nil"/>
              <w:bottom w:val="single" w:sz="4" w:space="0" w:color="auto"/>
              <w:right w:val="single" w:sz="4" w:space="0" w:color="auto"/>
            </w:tcBorders>
            <w:shd w:val="clear" w:color="auto" w:fill="auto"/>
            <w:noWrap/>
            <w:vAlign w:val="bottom"/>
            <w:hideMark/>
          </w:tcPr>
          <w:p w14:paraId="7EE974BC" w14:textId="3010AE3C"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048</w:t>
            </w:r>
          </w:p>
        </w:tc>
        <w:tc>
          <w:tcPr>
            <w:tcW w:w="1217" w:type="dxa"/>
            <w:tcBorders>
              <w:top w:val="nil"/>
              <w:left w:val="nil"/>
              <w:bottom w:val="single" w:sz="4" w:space="0" w:color="auto"/>
              <w:right w:val="single" w:sz="4" w:space="0" w:color="auto"/>
            </w:tcBorders>
            <w:shd w:val="clear" w:color="auto" w:fill="auto"/>
            <w:noWrap/>
            <w:vAlign w:val="bottom"/>
            <w:hideMark/>
          </w:tcPr>
          <w:p w14:paraId="5D304329" w14:textId="7AC8C8B8"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1 408</w:t>
            </w:r>
          </w:p>
        </w:tc>
        <w:tc>
          <w:tcPr>
            <w:tcW w:w="1213" w:type="dxa"/>
            <w:tcBorders>
              <w:top w:val="nil"/>
              <w:left w:val="nil"/>
              <w:bottom w:val="single" w:sz="4" w:space="0" w:color="auto"/>
              <w:right w:val="single" w:sz="4" w:space="0" w:color="auto"/>
            </w:tcBorders>
            <w:shd w:val="clear" w:color="auto" w:fill="auto"/>
            <w:noWrap/>
            <w:vAlign w:val="bottom"/>
            <w:hideMark/>
          </w:tcPr>
          <w:p w14:paraId="1F8D6745" w14:textId="03C93E59"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1 504</w:t>
            </w:r>
          </w:p>
        </w:tc>
        <w:tc>
          <w:tcPr>
            <w:tcW w:w="1260" w:type="dxa"/>
            <w:tcBorders>
              <w:top w:val="nil"/>
              <w:left w:val="nil"/>
              <w:bottom w:val="single" w:sz="4" w:space="0" w:color="auto"/>
              <w:right w:val="single" w:sz="4" w:space="0" w:color="auto"/>
            </w:tcBorders>
            <w:shd w:val="clear" w:color="auto" w:fill="auto"/>
            <w:noWrap/>
            <w:vAlign w:val="bottom"/>
            <w:hideMark/>
          </w:tcPr>
          <w:p w14:paraId="0EBF80B6" w14:textId="5A69876A"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2 912</w:t>
            </w:r>
          </w:p>
        </w:tc>
      </w:tr>
      <w:tr w:rsidR="006E526B" w:rsidRPr="003966DC" w14:paraId="3EA5B85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3191829" w14:textId="26A5480D" w:rsidR="006E526B" w:rsidRPr="003966DC" w:rsidRDefault="006E526B" w:rsidP="006E526B">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Ukraine</w:t>
            </w:r>
          </w:p>
        </w:tc>
        <w:tc>
          <w:tcPr>
            <w:tcW w:w="1138" w:type="dxa"/>
            <w:tcBorders>
              <w:top w:val="nil"/>
              <w:left w:val="nil"/>
              <w:bottom w:val="single" w:sz="4" w:space="0" w:color="auto"/>
              <w:right w:val="single" w:sz="4" w:space="0" w:color="auto"/>
            </w:tcBorders>
            <w:shd w:val="clear" w:color="auto" w:fill="auto"/>
            <w:vAlign w:val="bottom"/>
            <w:hideMark/>
          </w:tcPr>
          <w:p w14:paraId="24C0E02C" w14:textId="0DA72DBF"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056</w:t>
            </w:r>
          </w:p>
        </w:tc>
        <w:tc>
          <w:tcPr>
            <w:tcW w:w="2552" w:type="dxa"/>
            <w:tcBorders>
              <w:top w:val="nil"/>
              <w:left w:val="nil"/>
              <w:bottom w:val="single" w:sz="4" w:space="0" w:color="auto"/>
              <w:right w:val="single" w:sz="4" w:space="0" w:color="auto"/>
            </w:tcBorders>
            <w:shd w:val="clear" w:color="auto" w:fill="auto"/>
            <w:noWrap/>
            <w:vAlign w:val="bottom"/>
            <w:hideMark/>
          </w:tcPr>
          <w:p w14:paraId="1664B474" w14:textId="53A9E584"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079</w:t>
            </w:r>
          </w:p>
        </w:tc>
        <w:tc>
          <w:tcPr>
            <w:tcW w:w="1217" w:type="dxa"/>
            <w:tcBorders>
              <w:top w:val="nil"/>
              <w:left w:val="nil"/>
              <w:bottom w:val="single" w:sz="4" w:space="0" w:color="auto"/>
              <w:right w:val="single" w:sz="4" w:space="0" w:color="auto"/>
            </w:tcBorders>
            <w:shd w:val="clear" w:color="auto" w:fill="auto"/>
            <w:noWrap/>
            <w:vAlign w:val="bottom"/>
            <w:hideMark/>
          </w:tcPr>
          <w:p w14:paraId="306B9005" w14:textId="1D7CD85C"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2 319</w:t>
            </w:r>
          </w:p>
        </w:tc>
        <w:tc>
          <w:tcPr>
            <w:tcW w:w="1213" w:type="dxa"/>
            <w:tcBorders>
              <w:top w:val="nil"/>
              <w:left w:val="nil"/>
              <w:bottom w:val="single" w:sz="4" w:space="0" w:color="auto"/>
              <w:right w:val="single" w:sz="4" w:space="0" w:color="auto"/>
            </w:tcBorders>
            <w:shd w:val="clear" w:color="auto" w:fill="auto"/>
            <w:noWrap/>
            <w:vAlign w:val="bottom"/>
            <w:hideMark/>
          </w:tcPr>
          <w:p w14:paraId="2980ED67" w14:textId="5984F5A5"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2 477</w:t>
            </w:r>
          </w:p>
        </w:tc>
        <w:tc>
          <w:tcPr>
            <w:tcW w:w="1260" w:type="dxa"/>
            <w:tcBorders>
              <w:top w:val="nil"/>
              <w:left w:val="nil"/>
              <w:bottom w:val="single" w:sz="4" w:space="0" w:color="auto"/>
              <w:right w:val="single" w:sz="4" w:space="0" w:color="auto"/>
            </w:tcBorders>
            <w:shd w:val="clear" w:color="auto" w:fill="auto"/>
            <w:noWrap/>
            <w:vAlign w:val="bottom"/>
            <w:hideMark/>
          </w:tcPr>
          <w:p w14:paraId="52205D3C" w14:textId="5CD0ABEF" w:rsidR="006E526B" w:rsidRPr="003966DC" w:rsidRDefault="006E526B" w:rsidP="006E526B">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4 796</w:t>
            </w:r>
          </w:p>
        </w:tc>
      </w:tr>
      <w:tr w:rsidR="00EA33FF" w:rsidRPr="003966DC" w14:paraId="564A596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67692F9E" w14:textId="481A0670" w:rsidR="00EA33FF" w:rsidRPr="003966DC" w:rsidRDefault="00EA33FF" w:rsidP="00EA33F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Union européenne</w:t>
            </w:r>
          </w:p>
        </w:tc>
        <w:tc>
          <w:tcPr>
            <w:tcW w:w="1138" w:type="dxa"/>
            <w:tcBorders>
              <w:top w:val="nil"/>
              <w:left w:val="nil"/>
              <w:bottom w:val="single" w:sz="4" w:space="0" w:color="auto"/>
              <w:right w:val="single" w:sz="4" w:space="0" w:color="auto"/>
            </w:tcBorders>
            <w:shd w:val="clear" w:color="auto" w:fill="auto"/>
            <w:vAlign w:val="bottom"/>
          </w:tcPr>
          <w:p w14:paraId="4954AB19" w14:textId="77777777" w:rsidR="00EA33FF" w:rsidRPr="003966DC" w:rsidRDefault="00EA33FF" w:rsidP="00EA33FF">
            <w:pPr>
              <w:jc w:val="right"/>
              <w:rPr>
                <w:rFonts w:eastAsia="Times New Roman"/>
                <w:color w:val="000000" w:themeColor="text1"/>
                <w:sz w:val="18"/>
                <w:szCs w:val="18"/>
                <w:lang w:val="fr-FR" w:eastAsia="en-CA"/>
              </w:rPr>
            </w:pPr>
          </w:p>
        </w:tc>
        <w:tc>
          <w:tcPr>
            <w:tcW w:w="2552" w:type="dxa"/>
            <w:tcBorders>
              <w:top w:val="nil"/>
              <w:left w:val="nil"/>
              <w:bottom w:val="single" w:sz="4" w:space="0" w:color="auto"/>
              <w:right w:val="single" w:sz="4" w:space="0" w:color="auto"/>
            </w:tcBorders>
            <w:shd w:val="clear" w:color="auto" w:fill="auto"/>
            <w:noWrap/>
            <w:vAlign w:val="bottom"/>
          </w:tcPr>
          <w:p w14:paraId="5034AABC" w14:textId="48391DB8" w:rsidR="00EA33FF" w:rsidRPr="003966DC" w:rsidRDefault="00EA33FF" w:rsidP="00EA33F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500</w:t>
            </w:r>
          </w:p>
        </w:tc>
        <w:tc>
          <w:tcPr>
            <w:tcW w:w="1217" w:type="dxa"/>
            <w:tcBorders>
              <w:top w:val="nil"/>
              <w:left w:val="nil"/>
              <w:bottom w:val="single" w:sz="4" w:space="0" w:color="auto"/>
              <w:right w:val="single" w:sz="4" w:space="0" w:color="auto"/>
            </w:tcBorders>
            <w:shd w:val="clear" w:color="auto" w:fill="auto"/>
            <w:noWrap/>
            <w:vAlign w:val="bottom"/>
          </w:tcPr>
          <w:p w14:paraId="0F86C12C" w14:textId="257A977D" w:rsidR="00EA33FF" w:rsidRPr="003966DC" w:rsidRDefault="00EA33FF" w:rsidP="00EA33F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73 326</w:t>
            </w:r>
          </w:p>
        </w:tc>
        <w:tc>
          <w:tcPr>
            <w:tcW w:w="1213" w:type="dxa"/>
            <w:tcBorders>
              <w:top w:val="nil"/>
              <w:left w:val="nil"/>
              <w:bottom w:val="single" w:sz="4" w:space="0" w:color="auto"/>
              <w:right w:val="single" w:sz="4" w:space="0" w:color="auto"/>
            </w:tcBorders>
            <w:shd w:val="clear" w:color="auto" w:fill="auto"/>
            <w:noWrap/>
            <w:vAlign w:val="bottom"/>
          </w:tcPr>
          <w:p w14:paraId="3FAD646A" w14:textId="6B125280" w:rsidR="00EA33FF" w:rsidRPr="003966DC" w:rsidRDefault="00EA33FF" w:rsidP="00EA33F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78 344</w:t>
            </w:r>
          </w:p>
        </w:tc>
        <w:tc>
          <w:tcPr>
            <w:tcW w:w="1260" w:type="dxa"/>
            <w:tcBorders>
              <w:top w:val="nil"/>
              <w:left w:val="nil"/>
              <w:bottom w:val="single" w:sz="4" w:space="0" w:color="auto"/>
              <w:right w:val="single" w:sz="4" w:space="0" w:color="auto"/>
            </w:tcBorders>
            <w:shd w:val="clear" w:color="auto" w:fill="auto"/>
            <w:noWrap/>
            <w:vAlign w:val="bottom"/>
          </w:tcPr>
          <w:p w14:paraId="79F20F85" w14:textId="38F3EC44" w:rsidR="00EA33FF" w:rsidRPr="003966DC" w:rsidRDefault="00EA33FF" w:rsidP="00EA33F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151 670</w:t>
            </w:r>
          </w:p>
        </w:tc>
      </w:tr>
      <w:tr w:rsidR="0019063F" w:rsidRPr="003966DC" w14:paraId="5B972FA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4E53177" w14:textId="24563292" w:rsidR="0019063F" w:rsidRPr="003966DC" w:rsidRDefault="0019063F" w:rsidP="0019063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Uruguay</w:t>
            </w:r>
          </w:p>
        </w:tc>
        <w:tc>
          <w:tcPr>
            <w:tcW w:w="1138" w:type="dxa"/>
            <w:tcBorders>
              <w:top w:val="nil"/>
              <w:left w:val="nil"/>
              <w:bottom w:val="single" w:sz="4" w:space="0" w:color="auto"/>
              <w:right w:val="single" w:sz="4" w:space="0" w:color="auto"/>
            </w:tcBorders>
            <w:shd w:val="clear" w:color="auto" w:fill="auto"/>
            <w:vAlign w:val="bottom"/>
            <w:hideMark/>
          </w:tcPr>
          <w:p w14:paraId="07A7781A" w14:textId="7ABA70C5"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092</w:t>
            </w:r>
          </w:p>
        </w:tc>
        <w:tc>
          <w:tcPr>
            <w:tcW w:w="2552" w:type="dxa"/>
            <w:tcBorders>
              <w:top w:val="nil"/>
              <w:left w:val="nil"/>
              <w:bottom w:val="single" w:sz="4" w:space="0" w:color="auto"/>
              <w:right w:val="single" w:sz="4" w:space="0" w:color="auto"/>
            </w:tcBorders>
            <w:shd w:val="clear" w:color="auto" w:fill="auto"/>
            <w:noWrap/>
            <w:vAlign w:val="bottom"/>
            <w:hideMark/>
          </w:tcPr>
          <w:p w14:paraId="3EB73711" w14:textId="58F9C912"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130</w:t>
            </w:r>
          </w:p>
        </w:tc>
        <w:tc>
          <w:tcPr>
            <w:tcW w:w="1217" w:type="dxa"/>
            <w:tcBorders>
              <w:top w:val="nil"/>
              <w:left w:val="nil"/>
              <w:bottom w:val="single" w:sz="4" w:space="0" w:color="auto"/>
              <w:right w:val="single" w:sz="4" w:space="0" w:color="auto"/>
            </w:tcBorders>
            <w:shd w:val="clear" w:color="auto" w:fill="auto"/>
            <w:noWrap/>
            <w:vAlign w:val="bottom"/>
            <w:hideMark/>
          </w:tcPr>
          <w:p w14:paraId="15C854CE" w14:textId="5AE1D30D"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3 809</w:t>
            </w:r>
          </w:p>
        </w:tc>
        <w:tc>
          <w:tcPr>
            <w:tcW w:w="1213" w:type="dxa"/>
            <w:tcBorders>
              <w:top w:val="nil"/>
              <w:left w:val="nil"/>
              <w:bottom w:val="single" w:sz="4" w:space="0" w:color="auto"/>
              <w:right w:val="single" w:sz="4" w:space="0" w:color="auto"/>
            </w:tcBorders>
            <w:shd w:val="clear" w:color="auto" w:fill="auto"/>
            <w:noWrap/>
            <w:vAlign w:val="bottom"/>
            <w:hideMark/>
          </w:tcPr>
          <w:p w14:paraId="416A1D35" w14:textId="246A75D0"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4 070</w:t>
            </w:r>
          </w:p>
        </w:tc>
        <w:tc>
          <w:tcPr>
            <w:tcW w:w="1260" w:type="dxa"/>
            <w:tcBorders>
              <w:top w:val="nil"/>
              <w:left w:val="nil"/>
              <w:bottom w:val="single" w:sz="4" w:space="0" w:color="auto"/>
              <w:right w:val="single" w:sz="4" w:space="0" w:color="auto"/>
            </w:tcBorders>
            <w:shd w:val="clear" w:color="auto" w:fill="auto"/>
            <w:noWrap/>
            <w:vAlign w:val="bottom"/>
            <w:hideMark/>
          </w:tcPr>
          <w:p w14:paraId="1EEF40D7" w14:textId="2336691B"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7 880</w:t>
            </w:r>
          </w:p>
        </w:tc>
      </w:tr>
      <w:tr w:rsidR="0019063F" w:rsidRPr="003966DC" w14:paraId="488A3483" w14:textId="77777777" w:rsidTr="00E77AEE">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1A4869D" w14:textId="77777777" w:rsidR="004804C8" w:rsidRDefault="0019063F" w:rsidP="0019063F">
            <w:pPr>
              <w:pStyle w:val="CBDTableNormal"/>
              <w:tabs>
                <w:tab w:val="clear" w:pos="567"/>
                <w:tab w:val="left" w:pos="178"/>
              </w:tabs>
              <w:spacing w:before="0" w:after="0"/>
              <w:ind w:left="144" w:hanging="144"/>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Venezuela (République</w:t>
            </w:r>
          </w:p>
          <w:p w14:paraId="6A485E36" w14:textId="1FCCEEA8" w:rsidR="0019063F" w:rsidRPr="003966DC" w:rsidRDefault="0019063F" w:rsidP="0019063F">
            <w:pPr>
              <w:pStyle w:val="CBDTableNormal"/>
              <w:tabs>
                <w:tab w:val="clear" w:pos="567"/>
                <w:tab w:val="left" w:pos="178"/>
              </w:tabs>
              <w:spacing w:before="0" w:after="0"/>
              <w:ind w:left="144" w:hanging="144"/>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bolivarienne du)</w:t>
            </w:r>
          </w:p>
        </w:tc>
        <w:tc>
          <w:tcPr>
            <w:tcW w:w="1138" w:type="dxa"/>
            <w:tcBorders>
              <w:top w:val="nil"/>
              <w:left w:val="nil"/>
              <w:bottom w:val="single" w:sz="4" w:space="0" w:color="auto"/>
              <w:right w:val="single" w:sz="4" w:space="0" w:color="auto"/>
            </w:tcBorders>
            <w:shd w:val="clear" w:color="auto" w:fill="auto"/>
            <w:vAlign w:val="bottom"/>
            <w:hideMark/>
          </w:tcPr>
          <w:p w14:paraId="7553361A" w14:textId="7C409A12"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175</w:t>
            </w:r>
          </w:p>
        </w:tc>
        <w:tc>
          <w:tcPr>
            <w:tcW w:w="2552" w:type="dxa"/>
            <w:tcBorders>
              <w:top w:val="nil"/>
              <w:left w:val="nil"/>
              <w:bottom w:val="single" w:sz="4" w:space="0" w:color="auto"/>
              <w:right w:val="single" w:sz="4" w:space="0" w:color="auto"/>
            </w:tcBorders>
            <w:shd w:val="clear" w:color="auto" w:fill="auto"/>
            <w:noWrap/>
            <w:vAlign w:val="bottom"/>
            <w:hideMark/>
          </w:tcPr>
          <w:p w14:paraId="144F6BC0" w14:textId="67CB6BBA"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247</w:t>
            </w:r>
          </w:p>
        </w:tc>
        <w:tc>
          <w:tcPr>
            <w:tcW w:w="1217" w:type="dxa"/>
            <w:tcBorders>
              <w:top w:val="nil"/>
              <w:left w:val="nil"/>
              <w:bottom w:val="single" w:sz="4" w:space="0" w:color="auto"/>
              <w:right w:val="single" w:sz="4" w:space="0" w:color="auto"/>
            </w:tcBorders>
            <w:shd w:val="clear" w:color="auto" w:fill="auto"/>
            <w:noWrap/>
            <w:vAlign w:val="bottom"/>
            <w:hideMark/>
          </w:tcPr>
          <w:p w14:paraId="45E5523B" w14:textId="58A84840"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7 246</w:t>
            </w:r>
          </w:p>
        </w:tc>
        <w:tc>
          <w:tcPr>
            <w:tcW w:w="1213" w:type="dxa"/>
            <w:tcBorders>
              <w:top w:val="nil"/>
              <w:left w:val="nil"/>
              <w:bottom w:val="single" w:sz="4" w:space="0" w:color="auto"/>
              <w:right w:val="single" w:sz="4" w:space="0" w:color="auto"/>
            </w:tcBorders>
            <w:shd w:val="clear" w:color="auto" w:fill="auto"/>
            <w:noWrap/>
            <w:vAlign w:val="bottom"/>
            <w:hideMark/>
          </w:tcPr>
          <w:p w14:paraId="09908518" w14:textId="4AE8A9B9"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7 742</w:t>
            </w:r>
          </w:p>
        </w:tc>
        <w:tc>
          <w:tcPr>
            <w:tcW w:w="1260" w:type="dxa"/>
            <w:tcBorders>
              <w:top w:val="nil"/>
              <w:left w:val="nil"/>
              <w:bottom w:val="single" w:sz="4" w:space="0" w:color="auto"/>
              <w:right w:val="single" w:sz="4" w:space="0" w:color="auto"/>
            </w:tcBorders>
            <w:shd w:val="clear" w:color="auto" w:fill="auto"/>
            <w:noWrap/>
            <w:vAlign w:val="bottom"/>
            <w:hideMark/>
          </w:tcPr>
          <w:p w14:paraId="084E8D2A" w14:textId="5AC3FC51"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14 988</w:t>
            </w:r>
          </w:p>
        </w:tc>
      </w:tr>
      <w:tr w:rsidR="0019063F" w:rsidRPr="003966DC" w14:paraId="3CA63AA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90D5E87" w14:textId="420DD5F2" w:rsidR="0019063F" w:rsidRPr="003966DC" w:rsidRDefault="0019063F" w:rsidP="0019063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Viet Nam</w:t>
            </w:r>
          </w:p>
        </w:tc>
        <w:tc>
          <w:tcPr>
            <w:tcW w:w="1138" w:type="dxa"/>
            <w:tcBorders>
              <w:top w:val="nil"/>
              <w:left w:val="nil"/>
              <w:bottom w:val="single" w:sz="4" w:space="0" w:color="auto"/>
              <w:right w:val="single" w:sz="4" w:space="0" w:color="auto"/>
            </w:tcBorders>
            <w:shd w:val="clear" w:color="auto" w:fill="auto"/>
            <w:vAlign w:val="bottom"/>
            <w:hideMark/>
          </w:tcPr>
          <w:p w14:paraId="10F05230" w14:textId="0A9471F6"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093</w:t>
            </w:r>
          </w:p>
        </w:tc>
        <w:tc>
          <w:tcPr>
            <w:tcW w:w="2552" w:type="dxa"/>
            <w:tcBorders>
              <w:top w:val="nil"/>
              <w:left w:val="nil"/>
              <w:bottom w:val="single" w:sz="4" w:space="0" w:color="auto"/>
              <w:right w:val="single" w:sz="4" w:space="0" w:color="auto"/>
            </w:tcBorders>
            <w:shd w:val="clear" w:color="auto" w:fill="auto"/>
            <w:noWrap/>
            <w:vAlign w:val="bottom"/>
            <w:hideMark/>
          </w:tcPr>
          <w:p w14:paraId="6E8DB9B3" w14:textId="0C06F5F5"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131</w:t>
            </w:r>
          </w:p>
        </w:tc>
        <w:tc>
          <w:tcPr>
            <w:tcW w:w="1217" w:type="dxa"/>
            <w:tcBorders>
              <w:top w:val="nil"/>
              <w:left w:val="nil"/>
              <w:bottom w:val="single" w:sz="4" w:space="0" w:color="auto"/>
              <w:right w:val="single" w:sz="4" w:space="0" w:color="auto"/>
            </w:tcBorders>
            <w:shd w:val="clear" w:color="auto" w:fill="auto"/>
            <w:noWrap/>
            <w:vAlign w:val="bottom"/>
            <w:hideMark/>
          </w:tcPr>
          <w:p w14:paraId="4E1A060E" w14:textId="2BB38EA9"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3 851</w:t>
            </w:r>
          </w:p>
        </w:tc>
        <w:tc>
          <w:tcPr>
            <w:tcW w:w="1213" w:type="dxa"/>
            <w:tcBorders>
              <w:top w:val="nil"/>
              <w:left w:val="nil"/>
              <w:bottom w:val="single" w:sz="4" w:space="0" w:color="auto"/>
              <w:right w:val="single" w:sz="4" w:space="0" w:color="auto"/>
            </w:tcBorders>
            <w:shd w:val="clear" w:color="auto" w:fill="auto"/>
            <w:noWrap/>
            <w:vAlign w:val="bottom"/>
            <w:hideMark/>
          </w:tcPr>
          <w:p w14:paraId="57673501" w14:textId="2274BE11"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4 114</w:t>
            </w:r>
          </w:p>
        </w:tc>
        <w:tc>
          <w:tcPr>
            <w:tcW w:w="1260" w:type="dxa"/>
            <w:tcBorders>
              <w:top w:val="nil"/>
              <w:left w:val="nil"/>
              <w:bottom w:val="single" w:sz="4" w:space="0" w:color="auto"/>
              <w:right w:val="single" w:sz="4" w:space="0" w:color="auto"/>
            </w:tcBorders>
            <w:shd w:val="clear" w:color="auto" w:fill="auto"/>
            <w:noWrap/>
            <w:vAlign w:val="bottom"/>
            <w:hideMark/>
          </w:tcPr>
          <w:p w14:paraId="2D69531D" w14:textId="73AC4F64"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7 965</w:t>
            </w:r>
          </w:p>
        </w:tc>
      </w:tr>
      <w:tr w:rsidR="0019063F" w:rsidRPr="003966DC" w14:paraId="020F2FD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024FE92" w14:textId="4688EB79" w:rsidR="0019063F" w:rsidRPr="003966DC" w:rsidRDefault="0019063F" w:rsidP="0019063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Yémen</w:t>
            </w:r>
          </w:p>
        </w:tc>
        <w:tc>
          <w:tcPr>
            <w:tcW w:w="1138" w:type="dxa"/>
            <w:tcBorders>
              <w:top w:val="nil"/>
              <w:left w:val="nil"/>
              <w:bottom w:val="single" w:sz="4" w:space="0" w:color="auto"/>
              <w:right w:val="single" w:sz="4" w:space="0" w:color="auto"/>
            </w:tcBorders>
            <w:shd w:val="clear" w:color="auto" w:fill="auto"/>
            <w:vAlign w:val="bottom"/>
            <w:hideMark/>
          </w:tcPr>
          <w:p w14:paraId="36470214" w14:textId="323FD2AF"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008</w:t>
            </w:r>
          </w:p>
        </w:tc>
        <w:tc>
          <w:tcPr>
            <w:tcW w:w="2552" w:type="dxa"/>
            <w:tcBorders>
              <w:top w:val="nil"/>
              <w:left w:val="nil"/>
              <w:bottom w:val="single" w:sz="4" w:space="0" w:color="auto"/>
              <w:right w:val="single" w:sz="4" w:space="0" w:color="auto"/>
            </w:tcBorders>
            <w:shd w:val="clear" w:color="auto" w:fill="auto"/>
            <w:noWrap/>
            <w:vAlign w:val="bottom"/>
            <w:hideMark/>
          </w:tcPr>
          <w:p w14:paraId="5D278757" w14:textId="022D37E1"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hideMark/>
          </w:tcPr>
          <w:p w14:paraId="507FF8C9" w14:textId="07C34C8B"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58780B3D" w14:textId="6D3B8959"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1054034C" w14:textId="2011170A"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607</w:t>
            </w:r>
          </w:p>
        </w:tc>
      </w:tr>
      <w:tr w:rsidR="0019063F" w:rsidRPr="003966DC" w14:paraId="76B28EB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BA9F0B1" w14:textId="597D637D" w:rsidR="0019063F" w:rsidRPr="003966DC" w:rsidRDefault="0019063F" w:rsidP="0019063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Zambie</w:t>
            </w:r>
          </w:p>
        </w:tc>
        <w:tc>
          <w:tcPr>
            <w:tcW w:w="1138" w:type="dxa"/>
            <w:tcBorders>
              <w:top w:val="nil"/>
              <w:left w:val="nil"/>
              <w:bottom w:val="single" w:sz="4" w:space="0" w:color="auto"/>
              <w:right w:val="single" w:sz="4" w:space="0" w:color="auto"/>
            </w:tcBorders>
            <w:shd w:val="clear" w:color="auto" w:fill="auto"/>
            <w:vAlign w:val="bottom"/>
            <w:hideMark/>
          </w:tcPr>
          <w:p w14:paraId="61837DA2" w14:textId="013C6326"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008</w:t>
            </w:r>
          </w:p>
        </w:tc>
        <w:tc>
          <w:tcPr>
            <w:tcW w:w="2552" w:type="dxa"/>
            <w:tcBorders>
              <w:top w:val="nil"/>
              <w:left w:val="nil"/>
              <w:bottom w:val="single" w:sz="4" w:space="0" w:color="auto"/>
              <w:right w:val="single" w:sz="4" w:space="0" w:color="auto"/>
            </w:tcBorders>
            <w:shd w:val="clear" w:color="auto" w:fill="auto"/>
            <w:noWrap/>
            <w:vAlign w:val="bottom"/>
            <w:hideMark/>
          </w:tcPr>
          <w:p w14:paraId="0C779DB3" w14:textId="13C6E48B"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hideMark/>
          </w:tcPr>
          <w:p w14:paraId="63E99A71" w14:textId="1A546B01"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13D6C6A8" w14:textId="2C3237D2"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318FDA32" w14:textId="1D944244"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607</w:t>
            </w:r>
          </w:p>
        </w:tc>
      </w:tr>
      <w:tr w:rsidR="0019063F" w:rsidRPr="003966DC" w14:paraId="19ED9F8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B1A31E3" w14:textId="5A5F2C17" w:rsidR="0019063F" w:rsidRPr="003966DC" w:rsidRDefault="0019063F" w:rsidP="0019063F">
            <w:pPr>
              <w:jc w:val="lef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Zimbabwe</w:t>
            </w:r>
          </w:p>
        </w:tc>
        <w:tc>
          <w:tcPr>
            <w:tcW w:w="1138" w:type="dxa"/>
            <w:tcBorders>
              <w:top w:val="nil"/>
              <w:left w:val="nil"/>
              <w:bottom w:val="single" w:sz="4" w:space="0" w:color="auto"/>
              <w:right w:val="single" w:sz="4" w:space="0" w:color="auto"/>
            </w:tcBorders>
            <w:shd w:val="clear" w:color="auto" w:fill="auto"/>
            <w:vAlign w:val="bottom"/>
            <w:hideMark/>
          </w:tcPr>
          <w:p w14:paraId="76F8B3D8" w14:textId="6AAECA27"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007</w:t>
            </w:r>
          </w:p>
        </w:tc>
        <w:tc>
          <w:tcPr>
            <w:tcW w:w="2552" w:type="dxa"/>
            <w:tcBorders>
              <w:top w:val="nil"/>
              <w:left w:val="nil"/>
              <w:bottom w:val="single" w:sz="4" w:space="0" w:color="auto"/>
              <w:right w:val="single" w:sz="4" w:space="0" w:color="auto"/>
            </w:tcBorders>
            <w:shd w:val="clear" w:color="auto" w:fill="auto"/>
            <w:noWrap/>
            <w:vAlign w:val="bottom"/>
            <w:hideMark/>
          </w:tcPr>
          <w:p w14:paraId="3E185244" w14:textId="3D4EAF21"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0</w:t>
            </w:r>
            <w:r w:rsidR="003966DC">
              <w:rPr>
                <w:rFonts w:eastAsia="Times New Roman"/>
                <w:color w:val="000000" w:themeColor="text1"/>
                <w:sz w:val="18"/>
                <w:szCs w:val="18"/>
                <w:lang w:val="fr-FR" w:eastAsia="en-CA"/>
              </w:rPr>
              <w:t>,</w:t>
            </w:r>
            <w:r w:rsidRPr="003966DC">
              <w:rPr>
                <w:rFonts w:eastAsia="Times New Roman"/>
                <w:color w:val="000000" w:themeColor="text1"/>
                <w:sz w:val="18"/>
                <w:szCs w:val="18"/>
                <w:lang w:val="fr-FR" w:eastAsia="en-CA"/>
              </w:rPr>
              <w:t>010</w:t>
            </w:r>
          </w:p>
        </w:tc>
        <w:tc>
          <w:tcPr>
            <w:tcW w:w="1217" w:type="dxa"/>
            <w:tcBorders>
              <w:top w:val="nil"/>
              <w:left w:val="nil"/>
              <w:bottom w:val="single" w:sz="4" w:space="0" w:color="auto"/>
              <w:right w:val="single" w:sz="4" w:space="0" w:color="auto"/>
            </w:tcBorders>
            <w:shd w:val="clear" w:color="auto" w:fill="auto"/>
            <w:noWrap/>
            <w:vAlign w:val="bottom"/>
            <w:hideMark/>
          </w:tcPr>
          <w:p w14:paraId="4618CAA7" w14:textId="064E17D9"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40233B3D" w14:textId="73CDB31E"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22A47372" w14:textId="355D8A26" w:rsidR="0019063F" w:rsidRPr="003966DC" w:rsidRDefault="0019063F" w:rsidP="0019063F">
            <w:pPr>
              <w:jc w:val="right"/>
              <w:rPr>
                <w:rFonts w:eastAsia="Times New Roman"/>
                <w:color w:val="000000" w:themeColor="text1"/>
                <w:sz w:val="18"/>
                <w:szCs w:val="18"/>
                <w:lang w:val="fr-FR" w:eastAsia="en-CA"/>
              </w:rPr>
            </w:pPr>
            <w:r w:rsidRPr="003966DC">
              <w:rPr>
                <w:rFonts w:eastAsia="Times New Roman"/>
                <w:color w:val="000000" w:themeColor="text1"/>
                <w:sz w:val="18"/>
                <w:szCs w:val="18"/>
                <w:lang w:val="fr-FR" w:eastAsia="en-CA"/>
              </w:rPr>
              <w:t>600</w:t>
            </w:r>
          </w:p>
        </w:tc>
      </w:tr>
      <w:tr w:rsidR="00A30394" w:rsidRPr="003966DC" w14:paraId="0AECD43E"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C0EB478" w14:textId="1B898296" w:rsidR="00D14FF5" w:rsidRPr="003966DC" w:rsidRDefault="00A42C4B" w:rsidP="00A52B30">
            <w:pPr>
              <w:tabs>
                <w:tab w:val="clear" w:pos="567"/>
                <w:tab w:val="left" w:pos="345"/>
              </w:tabs>
              <w:jc w:val="left"/>
              <w:rPr>
                <w:rFonts w:eastAsia="Times New Roman"/>
                <w:b/>
                <w:bCs/>
                <w:color w:val="000000" w:themeColor="text1"/>
                <w:sz w:val="18"/>
                <w:szCs w:val="18"/>
                <w:lang w:val="fr-FR" w:eastAsia="en-CA"/>
              </w:rPr>
            </w:pPr>
            <w:r w:rsidRPr="003966DC">
              <w:rPr>
                <w:rFonts w:eastAsia="Times New Roman"/>
                <w:b/>
                <w:bCs/>
                <w:color w:val="000000" w:themeColor="text1"/>
                <w:sz w:val="18"/>
                <w:szCs w:val="18"/>
                <w:lang w:val="fr-FR" w:eastAsia="en-CA"/>
              </w:rPr>
              <w:tab/>
            </w:r>
            <w:r w:rsidR="00D14FF5" w:rsidRPr="003966DC">
              <w:rPr>
                <w:rFonts w:eastAsia="Times New Roman"/>
                <w:b/>
                <w:bCs/>
                <w:color w:val="000000" w:themeColor="text1"/>
                <w:sz w:val="18"/>
                <w:szCs w:val="18"/>
                <w:lang w:val="fr-FR" w:eastAsia="en-CA"/>
              </w:rPr>
              <w:t>Total</w:t>
            </w:r>
          </w:p>
        </w:tc>
        <w:tc>
          <w:tcPr>
            <w:tcW w:w="1138" w:type="dxa"/>
            <w:tcBorders>
              <w:top w:val="nil"/>
              <w:left w:val="nil"/>
              <w:bottom w:val="single" w:sz="4" w:space="0" w:color="auto"/>
              <w:right w:val="single" w:sz="4" w:space="0" w:color="auto"/>
            </w:tcBorders>
            <w:shd w:val="clear" w:color="auto" w:fill="auto"/>
            <w:noWrap/>
            <w:vAlign w:val="bottom"/>
            <w:hideMark/>
          </w:tcPr>
          <w:p w14:paraId="6B2E4E09" w14:textId="5FA5DDDA" w:rsidR="00D14FF5" w:rsidRPr="003966DC" w:rsidRDefault="00D14FF5" w:rsidP="007243AD">
            <w:pPr>
              <w:jc w:val="right"/>
              <w:rPr>
                <w:rFonts w:eastAsia="Times New Roman"/>
                <w:b/>
                <w:bCs/>
                <w:color w:val="000000" w:themeColor="text1"/>
                <w:sz w:val="18"/>
                <w:szCs w:val="18"/>
                <w:lang w:val="fr-FR" w:eastAsia="en-CA"/>
              </w:rPr>
            </w:pPr>
            <w:r w:rsidRPr="003966DC">
              <w:rPr>
                <w:rFonts w:eastAsia="Times New Roman"/>
                <w:b/>
                <w:bCs/>
                <w:color w:val="000000" w:themeColor="text1"/>
                <w:sz w:val="18"/>
                <w:szCs w:val="18"/>
                <w:lang w:val="fr-FR" w:eastAsia="en-CA"/>
              </w:rPr>
              <w:t>69</w:t>
            </w:r>
            <w:r w:rsidR="003966DC">
              <w:rPr>
                <w:rFonts w:eastAsia="Times New Roman"/>
                <w:b/>
                <w:bCs/>
                <w:color w:val="000000" w:themeColor="text1"/>
                <w:sz w:val="18"/>
                <w:szCs w:val="18"/>
                <w:lang w:val="fr-FR" w:eastAsia="en-CA"/>
              </w:rPr>
              <w:t>,</w:t>
            </w:r>
            <w:r w:rsidRPr="003966DC">
              <w:rPr>
                <w:rFonts w:eastAsia="Times New Roman"/>
                <w:b/>
                <w:bCs/>
                <w:color w:val="000000" w:themeColor="text1"/>
                <w:sz w:val="18"/>
                <w:szCs w:val="18"/>
                <w:lang w:val="fr-FR" w:eastAsia="en-CA"/>
              </w:rPr>
              <w:t>092</w:t>
            </w:r>
          </w:p>
        </w:tc>
        <w:tc>
          <w:tcPr>
            <w:tcW w:w="2552" w:type="dxa"/>
            <w:tcBorders>
              <w:top w:val="nil"/>
              <w:left w:val="nil"/>
              <w:bottom w:val="single" w:sz="4" w:space="0" w:color="auto"/>
              <w:right w:val="single" w:sz="4" w:space="0" w:color="auto"/>
            </w:tcBorders>
            <w:shd w:val="clear" w:color="auto" w:fill="auto"/>
            <w:noWrap/>
            <w:vAlign w:val="bottom"/>
            <w:hideMark/>
          </w:tcPr>
          <w:p w14:paraId="6A74A56E" w14:textId="1A873F42" w:rsidR="00D14FF5" w:rsidRPr="003966DC" w:rsidRDefault="00D14FF5" w:rsidP="007243AD">
            <w:pPr>
              <w:jc w:val="right"/>
              <w:rPr>
                <w:rFonts w:eastAsia="Times New Roman"/>
                <w:b/>
                <w:bCs/>
                <w:color w:val="000000" w:themeColor="text1"/>
                <w:sz w:val="18"/>
                <w:szCs w:val="18"/>
                <w:lang w:val="fr-FR" w:eastAsia="en-CA"/>
              </w:rPr>
            </w:pPr>
            <w:r w:rsidRPr="003966DC">
              <w:rPr>
                <w:rFonts w:eastAsia="Times New Roman"/>
                <w:b/>
                <w:bCs/>
                <w:color w:val="000000" w:themeColor="text1"/>
                <w:sz w:val="18"/>
                <w:szCs w:val="18"/>
                <w:lang w:val="fr-FR" w:eastAsia="en-CA"/>
              </w:rPr>
              <w:t>100</w:t>
            </w:r>
          </w:p>
        </w:tc>
        <w:tc>
          <w:tcPr>
            <w:tcW w:w="1217" w:type="dxa"/>
            <w:tcBorders>
              <w:top w:val="nil"/>
              <w:left w:val="nil"/>
              <w:bottom w:val="single" w:sz="4" w:space="0" w:color="auto"/>
              <w:right w:val="single" w:sz="4" w:space="0" w:color="auto"/>
            </w:tcBorders>
            <w:shd w:val="clear" w:color="auto" w:fill="auto"/>
            <w:noWrap/>
            <w:vAlign w:val="bottom"/>
            <w:hideMark/>
          </w:tcPr>
          <w:p w14:paraId="17FB5809" w14:textId="11DE4DC9" w:rsidR="00D14FF5" w:rsidRPr="003966DC" w:rsidRDefault="00D14FF5" w:rsidP="007243AD">
            <w:pPr>
              <w:jc w:val="right"/>
              <w:rPr>
                <w:rFonts w:eastAsia="Times New Roman"/>
                <w:b/>
                <w:bCs/>
                <w:color w:val="000000" w:themeColor="text1"/>
                <w:sz w:val="18"/>
                <w:szCs w:val="18"/>
                <w:lang w:val="fr-FR" w:eastAsia="en-CA"/>
              </w:rPr>
            </w:pPr>
            <w:r w:rsidRPr="003966DC">
              <w:rPr>
                <w:rFonts w:eastAsia="Times New Roman"/>
                <w:b/>
                <w:bCs/>
                <w:color w:val="000000" w:themeColor="text1"/>
                <w:sz w:val="18"/>
                <w:szCs w:val="18"/>
                <w:lang w:val="fr-FR" w:eastAsia="en-CA"/>
              </w:rPr>
              <w:t>2</w:t>
            </w:r>
            <w:r w:rsidR="00A10554" w:rsidRPr="003966DC">
              <w:rPr>
                <w:rFonts w:eastAsia="Times New Roman"/>
                <w:b/>
                <w:bCs/>
                <w:color w:val="000000" w:themeColor="text1"/>
                <w:sz w:val="18"/>
                <w:szCs w:val="18"/>
                <w:lang w:val="fr-FR" w:eastAsia="en-CA"/>
              </w:rPr>
              <w:t> </w:t>
            </w:r>
            <w:r w:rsidRPr="003966DC">
              <w:rPr>
                <w:rFonts w:eastAsia="Times New Roman"/>
                <w:b/>
                <w:bCs/>
                <w:color w:val="000000" w:themeColor="text1"/>
                <w:sz w:val="18"/>
                <w:szCs w:val="18"/>
                <w:lang w:val="fr-FR" w:eastAsia="en-CA"/>
              </w:rPr>
              <w:t>933</w:t>
            </w:r>
            <w:r w:rsidR="00A10554" w:rsidRPr="003966DC">
              <w:rPr>
                <w:rFonts w:eastAsia="Times New Roman"/>
                <w:b/>
                <w:bCs/>
                <w:color w:val="000000" w:themeColor="text1"/>
                <w:sz w:val="18"/>
                <w:szCs w:val="18"/>
                <w:lang w:val="fr-FR" w:eastAsia="en-CA"/>
              </w:rPr>
              <w:t> </w:t>
            </w:r>
            <w:r w:rsidRPr="003966DC">
              <w:rPr>
                <w:rFonts w:eastAsia="Times New Roman"/>
                <w:b/>
                <w:bCs/>
                <w:color w:val="000000" w:themeColor="text1"/>
                <w:sz w:val="18"/>
                <w:szCs w:val="18"/>
                <w:lang w:val="fr-FR" w:eastAsia="en-CA"/>
              </w:rPr>
              <w:t>053</w:t>
            </w:r>
          </w:p>
        </w:tc>
        <w:tc>
          <w:tcPr>
            <w:tcW w:w="1213" w:type="dxa"/>
            <w:tcBorders>
              <w:top w:val="nil"/>
              <w:left w:val="nil"/>
              <w:bottom w:val="single" w:sz="4" w:space="0" w:color="auto"/>
              <w:right w:val="single" w:sz="4" w:space="0" w:color="auto"/>
            </w:tcBorders>
            <w:shd w:val="clear" w:color="auto" w:fill="auto"/>
            <w:noWrap/>
            <w:vAlign w:val="bottom"/>
            <w:hideMark/>
          </w:tcPr>
          <w:p w14:paraId="206D1A67" w14:textId="6E0CBB01" w:rsidR="00D14FF5" w:rsidRPr="003966DC" w:rsidRDefault="00D14FF5" w:rsidP="007243AD">
            <w:pPr>
              <w:jc w:val="right"/>
              <w:rPr>
                <w:rFonts w:eastAsia="Times New Roman"/>
                <w:b/>
                <w:bCs/>
                <w:color w:val="000000" w:themeColor="text1"/>
                <w:sz w:val="18"/>
                <w:szCs w:val="18"/>
                <w:lang w:val="fr-FR" w:eastAsia="en-CA"/>
              </w:rPr>
            </w:pPr>
            <w:r w:rsidRPr="003966DC">
              <w:rPr>
                <w:rFonts w:eastAsia="Times New Roman"/>
                <w:b/>
                <w:bCs/>
                <w:color w:val="000000" w:themeColor="text1"/>
                <w:sz w:val="18"/>
                <w:szCs w:val="18"/>
                <w:lang w:val="fr-FR" w:eastAsia="en-CA"/>
              </w:rPr>
              <w:t>3</w:t>
            </w:r>
            <w:r w:rsidR="00A10554" w:rsidRPr="003966DC">
              <w:rPr>
                <w:rFonts w:eastAsia="Times New Roman"/>
                <w:b/>
                <w:bCs/>
                <w:color w:val="000000" w:themeColor="text1"/>
                <w:sz w:val="18"/>
                <w:szCs w:val="18"/>
                <w:lang w:val="fr-FR" w:eastAsia="en-CA"/>
              </w:rPr>
              <w:t> </w:t>
            </w:r>
            <w:r w:rsidRPr="003966DC">
              <w:rPr>
                <w:rFonts w:eastAsia="Times New Roman"/>
                <w:b/>
                <w:bCs/>
                <w:color w:val="000000" w:themeColor="text1"/>
                <w:sz w:val="18"/>
                <w:szCs w:val="18"/>
                <w:lang w:val="fr-FR" w:eastAsia="en-CA"/>
              </w:rPr>
              <w:t>133</w:t>
            </w:r>
            <w:r w:rsidR="00A10554" w:rsidRPr="003966DC">
              <w:rPr>
                <w:rFonts w:eastAsia="Times New Roman"/>
                <w:b/>
                <w:bCs/>
                <w:color w:val="000000" w:themeColor="text1"/>
                <w:sz w:val="18"/>
                <w:szCs w:val="18"/>
                <w:lang w:val="fr-FR" w:eastAsia="en-CA"/>
              </w:rPr>
              <w:t> </w:t>
            </w:r>
            <w:r w:rsidRPr="003966DC">
              <w:rPr>
                <w:rFonts w:eastAsia="Times New Roman"/>
                <w:b/>
                <w:bCs/>
                <w:color w:val="000000" w:themeColor="text1"/>
                <w:sz w:val="18"/>
                <w:szCs w:val="18"/>
                <w:lang w:val="fr-FR" w:eastAsia="en-CA"/>
              </w:rPr>
              <w:t>740</w:t>
            </w:r>
          </w:p>
        </w:tc>
        <w:tc>
          <w:tcPr>
            <w:tcW w:w="1260" w:type="dxa"/>
            <w:tcBorders>
              <w:top w:val="nil"/>
              <w:left w:val="nil"/>
              <w:bottom w:val="single" w:sz="4" w:space="0" w:color="auto"/>
              <w:right w:val="single" w:sz="4" w:space="0" w:color="auto"/>
            </w:tcBorders>
            <w:shd w:val="clear" w:color="auto" w:fill="auto"/>
            <w:noWrap/>
            <w:vAlign w:val="bottom"/>
            <w:hideMark/>
          </w:tcPr>
          <w:p w14:paraId="149A9FB0" w14:textId="348A19A2" w:rsidR="00D14FF5" w:rsidRPr="003966DC" w:rsidRDefault="00D14FF5" w:rsidP="007243AD">
            <w:pPr>
              <w:jc w:val="right"/>
              <w:rPr>
                <w:rFonts w:eastAsia="Times New Roman"/>
                <w:b/>
                <w:bCs/>
                <w:color w:val="000000" w:themeColor="text1"/>
                <w:sz w:val="18"/>
                <w:szCs w:val="18"/>
                <w:lang w:val="fr-FR" w:eastAsia="en-CA"/>
              </w:rPr>
            </w:pPr>
            <w:r w:rsidRPr="003966DC">
              <w:rPr>
                <w:rFonts w:eastAsia="Times New Roman"/>
                <w:b/>
                <w:bCs/>
                <w:color w:val="000000" w:themeColor="text1"/>
                <w:sz w:val="18"/>
                <w:szCs w:val="18"/>
                <w:lang w:val="fr-FR" w:eastAsia="en-CA"/>
              </w:rPr>
              <w:t>6</w:t>
            </w:r>
            <w:r w:rsidR="00A10554" w:rsidRPr="003966DC">
              <w:rPr>
                <w:rFonts w:eastAsia="Times New Roman"/>
                <w:b/>
                <w:bCs/>
                <w:color w:val="000000" w:themeColor="text1"/>
                <w:sz w:val="18"/>
                <w:szCs w:val="18"/>
                <w:lang w:val="fr-FR" w:eastAsia="en-CA"/>
              </w:rPr>
              <w:t> </w:t>
            </w:r>
            <w:r w:rsidRPr="003966DC">
              <w:rPr>
                <w:rFonts w:eastAsia="Times New Roman"/>
                <w:b/>
                <w:bCs/>
                <w:color w:val="000000" w:themeColor="text1"/>
                <w:sz w:val="18"/>
                <w:szCs w:val="18"/>
                <w:lang w:val="fr-FR" w:eastAsia="en-CA"/>
              </w:rPr>
              <w:t>066</w:t>
            </w:r>
            <w:r w:rsidR="00A10554" w:rsidRPr="003966DC">
              <w:rPr>
                <w:rFonts w:eastAsia="Times New Roman"/>
                <w:b/>
                <w:bCs/>
                <w:color w:val="000000" w:themeColor="text1"/>
                <w:sz w:val="18"/>
                <w:szCs w:val="18"/>
                <w:lang w:val="fr-FR" w:eastAsia="en-CA"/>
              </w:rPr>
              <w:t> </w:t>
            </w:r>
            <w:r w:rsidRPr="003966DC">
              <w:rPr>
                <w:rFonts w:eastAsia="Times New Roman"/>
                <w:b/>
                <w:bCs/>
                <w:color w:val="000000" w:themeColor="text1"/>
                <w:sz w:val="18"/>
                <w:szCs w:val="18"/>
                <w:lang w:val="fr-FR" w:eastAsia="en-CA"/>
              </w:rPr>
              <w:t>793</w:t>
            </w:r>
          </w:p>
        </w:tc>
      </w:tr>
    </w:tbl>
    <w:p w14:paraId="10991BF3" w14:textId="4394382A" w:rsidR="002B559C" w:rsidRPr="003966DC" w:rsidRDefault="00ED3849" w:rsidP="00B161EB">
      <w:pPr>
        <w:pStyle w:val="Para1"/>
        <w:tabs>
          <w:tab w:val="clear" w:pos="567"/>
        </w:tabs>
        <w:ind w:left="0"/>
        <w:jc w:val="center"/>
        <w:rPr>
          <w:lang w:val="fr-FR"/>
        </w:rPr>
      </w:pPr>
      <w:r w:rsidRPr="003966DC">
        <w:rPr>
          <w:lang w:val="fr-FR"/>
        </w:rPr>
        <w:t>__________</w:t>
      </w:r>
    </w:p>
    <w:sectPr w:rsidR="002B559C" w:rsidRPr="003966DC" w:rsidSect="00A52B30">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F2E3F" w14:textId="77777777" w:rsidR="00EE6281" w:rsidRPr="009F3F4F" w:rsidRDefault="00EE6281" w:rsidP="00A96B21">
      <w:r w:rsidRPr="009F3F4F">
        <w:separator/>
      </w:r>
    </w:p>
  </w:endnote>
  <w:endnote w:type="continuationSeparator" w:id="0">
    <w:p w14:paraId="75EF0C96" w14:textId="77777777" w:rsidR="00EE6281" w:rsidRPr="009F3F4F" w:rsidRDefault="00EE6281" w:rsidP="00A96B21">
      <w:r w:rsidRPr="009F3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0F4D2" w14:textId="623EF134" w:rsidR="0099284B" w:rsidRDefault="008D0279" w:rsidP="0099284B">
    <w:pPr>
      <w:pStyle w:val="Footer"/>
      <w:ind w:right="360"/>
    </w:pPr>
    <w:sdt>
      <w:sdtPr>
        <w:id w:val="510801899"/>
        <w:docPartObj>
          <w:docPartGallery w:val="Page Numbers (Top of Page)"/>
          <w:docPartUnique/>
        </w:docPartObj>
      </w:sdtPr>
      <w:sdtEndPr/>
      <w:sdtContent>
        <w:r w:rsidR="0099284B" w:rsidRPr="00ED5785">
          <w:rPr>
            <w:szCs w:val="20"/>
          </w:rPr>
          <w:fldChar w:fldCharType="begin"/>
        </w:r>
        <w:r w:rsidR="0099284B" w:rsidRPr="00ED5785">
          <w:rPr>
            <w:szCs w:val="20"/>
          </w:rPr>
          <w:instrText xml:space="preserve"> PAGE </w:instrText>
        </w:r>
        <w:r w:rsidR="0099284B" w:rsidRPr="00ED5785">
          <w:rPr>
            <w:szCs w:val="20"/>
          </w:rPr>
          <w:fldChar w:fldCharType="separate"/>
        </w:r>
        <w:r w:rsidR="0099284B">
          <w:rPr>
            <w:szCs w:val="20"/>
          </w:rPr>
          <w:t>2</w:t>
        </w:r>
        <w:r w:rsidR="0099284B" w:rsidRPr="00ED5785">
          <w:rPr>
            <w:szCs w:val="20"/>
          </w:rPr>
          <w:fldChar w:fldCharType="end"/>
        </w:r>
        <w:r w:rsidR="0099284B" w:rsidRPr="00ED5785">
          <w:rPr>
            <w:szCs w:val="20"/>
          </w:rPr>
          <w:t>/</w:t>
        </w:r>
        <w:r w:rsidR="0099284B" w:rsidRPr="00ED5785">
          <w:rPr>
            <w:szCs w:val="20"/>
          </w:rPr>
          <w:fldChar w:fldCharType="begin"/>
        </w:r>
        <w:r w:rsidR="0099284B" w:rsidRPr="00ED5785">
          <w:rPr>
            <w:szCs w:val="20"/>
          </w:rPr>
          <w:instrText xml:space="preserve"> NUMPAGES  </w:instrText>
        </w:r>
        <w:r w:rsidR="0099284B" w:rsidRPr="00ED5785">
          <w:rPr>
            <w:szCs w:val="20"/>
          </w:rPr>
          <w:fldChar w:fldCharType="separate"/>
        </w:r>
        <w:r w:rsidR="0099284B">
          <w:rPr>
            <w:szCs w:val="20"/>
          </w:rPr>
          <w:t>21</w:t>
        </w:r>
        <w:r w:rsidR="0099284B" w:rsidRPr="00ED5785">
          <w:rPr>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ACC8B" w14:textId="567D2EED" w:rsidR="0099284B" w:rsidRDefault="008D0279" w:rsidP="0099284B">
    <w:pPr>
      <w:pStyle w:val="Footer"/>
      <w:ind w:right="360"/>
      <w:jc w:val="right"/>
    </w:pPr>
    <w:sdt>
      <w:sdtPr>
        <w:id w:val="-2002956725"/>
        <w:docPartObj>
          <w:docPartGallery w:val="Page Numbers (Top of Page)"/>
          <w:docPartUnique/>
        </w:docPartObj>
      </w:sdtPr>
      <w:sdtEndPr/>
      <w:sdtContent>
        <w:r w:rsidR="0099284B" w:rsidRPr="00ED5785">
          <w:rPr>
            <w:szCs w:val="20"/>
          </w:rPr>
          <w:fldChar w:fldCharType="begin"/>
        </w:r>
        <w:r w:rsidR="0099284B" w:rsidRPr="00ED5785">
          <w:rPr>
            <w:szCs w:val="20"/>
          </w:rPr>
          <w:instrText xml:space="preserve"> PAGE </w:instrText>
        </w:r>
        <w:r w:rsidR="0099284B" w:rsidRPr="00ED5785">
          <w:rPr>
            <w:szCs w:val="20"/>
          </w:rPr>
          <w:fldChar w:fldCharType="separate"/>
        </w:r>
        <w:r w:rsidR="0099284B">
          <w:rPr>
            <w:szCs w:val="20"/>
          </w:rPr>
          <w:t>2</w:t>
        </w:r>
        <w:r w:rsidR="0099284B" w:rsidRPr="00ED5785">
          <w:rPr>
            <w:szCs w:val="20"/>
          </w:rPr>
          <w:fldChar w:fldCharType="end"/>
        </w:r>
        <w:r w:rsidR="0099284B" w:rsidRPr="00ED5785">
          <w:rPr>
            <w:szCs w:val="20"/>
          </w:rPr>
          <w:t>/</w:t>
        </w:r>
        <w:r w:rsidR="0099284B" w:rsidRPr="00ED5785">
          <w:rPr>
            <w:szCs w:val="20"/>
          </w:rPr>
          <w:fldChar w:fldCharType="begin"/>
        </w:r>
        <w:r w:rsidR="0099284B" w:rsidRPr="00ED5785">
          <w:rPr>
            <w:szCs w:val="20"/>
          </w:rPr>
          <w:instrText xml:space="preserve"> NUMPAGES  </w:instrText>
        </w:r>
        <w:r w:rsidR="0099284B" w:rsidRPr="00ED5785">
          <w:rPr>
            <w:szCs w:val="20"/>
          </w:rPr>
          <w:fldChar w:fldCharType="separate"/>
        </w:r>
        <w:r w:rsidR="0099284B">
          <w:rPr>
            <w:szCs w:val="20"/>
          </w:rPr>
          <w:t>21</w:t>
        </w:r>
        <w:r w:rsidR="0099284B" w:rsidRPr="00ED5785">
          <w:rPr>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19FAB" w14:textId="77777777" w:rsidR="00EE6281" w:rsidRPr="009F3F4F" w:rsidRDefault="00EE6281" w:rsidP="00A96B21">
      <w:r w:rsidRPr="009F3F4F">
        <w:separator/>
      </w:r>
    </w:p>
  </w:footnote>
  <w:footnote w:type="continuationSeparator" w:id="0">
    <w:p w14:paraId="0E776FA9" w14:textId="77777777" w:rsidR="00EE6281" w:rsidRPr="009F3F4F" w:rsidRDefault="00EE6281" w:rsidP="00A96B21">
      <w:r w:rsidRPr="009F3F4F">
        <w:continuationSeparator/>
      </w:r>
    </w:p>
  </w:footnote>
  <w:footnote w:id="1">
    <w:p w14:paraId="525FC03F" w14:textId="6E035DFC" w:rsidR="007451FA" w:rsidRPr="00086457" w:rsidRDefault="007451FA" w:rsidP="007451FA">
      <w:pPr>
        <w:pStyle w:val="FootnoteText"/>
        <w:rPr>
          <w:lang w:val="fr-FR"/>
        </w:rPr>
      </w:pPr>
      <w:r w:rsidRPr="00086457">
        <w:rPr>
          <w:rStyle w:val="FootnoteReference"/>
          <w:lang w:val="fr-FR"/>
        </w:rPr>
        <w:footnoteRef/>
      </w:r>
      <w:r w:rsidRPr="00086457">
        <w:rPr>
          <w:lang w:val="fr-FR"/>
        </w:rPr>
        <w:t xml:space="preserve"> </w:t>
      </w:r>
      <w:r w:rsidR="008B5012" w:rsidRPr="00086457">
        <w:rPr>
          <w:lang w:val="fr-FR"/>
        </w:rPr>
        <w:t xml:space="preserve">Nations Unies, </w:t>
      </w:r>
      <w:r w:rsidR="008B5012" w:rsidRPr="00086457">
        <w:rPr>
          <w:i/>
          <w:iCs/>
          <w:lang w:val="fr-FR"/>
        </w:rPr>
        <w:t>Recueil des Traités</w:t>
      </w:r>
      <w:r w:rsidR="008B5012" w:rsidRPr="00086457">
        <w:rPr>
          <w:lang w:val="fr-FR"/>
        </w:rPr>
        <w:t>, vol. 1760, n</w:t>
      </w:r>
      <w:r w:rsidR="008B5012" w:rsidRPr="00086457">
        <w:rPr>
          <w:vertAlign w:val="superscript"/>
          <w:lang w:val="fr-FR"/>
        </w:rPr>
        <w:t>o</w:t>
      </w:r>
      <w:r w:rsidR="008B5012" w:rsidRPr="00086457">
        <w:rPr>
          <w:lang w:val="fr-FR"/>
        </w:rPr>
        <w:t> 30619.</w:t>
      </w:r>
    </w:p>
  </w:footnote>
  <w:footnote w:id="2">
    <w:p w14:paraId="69BBCA98" w14:textId="6D92FA11" w:rsidR="002B7483" w:rsidRPr="00086457" w:rsidRDefault="002B7483" w:rsidP="002B7483">
      <w:pPr>
        <w:pStyle w:val="FootnoteText"/>
        <w:rPr>
          <w:lang w:val="fr-FR"/>
        </w:rPr>
      </w:pPr>
      <w:r w:rsidRPr="00086457">
        <w:rPr>
          <w:rStyle w:val="FootnoteReference"/>
          <w:lang w:val="fr-FR"/>
        </w:rPr>
        <w:footnoteRef/>
      </w:r>
      <w:r w:rsidRPr="00086457">
        <w:rPr>
          <w:lang w:val="fr-FR"/>
        </w:rPr>
        <w:t xml:space="preserve"> </w:t>
      </w:r>
      <w:r w:rsidR="00AE54D0" w:rsidRPr="00086457">
        <w:rPr>
          <w:lang w:val="fr-FR"/>
        </w:rPr>
        <w:t xml:space="preserve">Nations Unies, </w:t>
      </w:r>
      <w:r w:rsidR="00AE54D0" w:rsidRPr="00086457">
        <w:rPr>
          <w:i/>
          <w:iCs/>
          <w:lang w:val="fr-FR"/>
        </w:rPr>
        <w:t>Recueil des Traités</w:t>
      </w:r>
      <w:r w:rsidR="00AE54D0" w:rsidRPr="00086457">
        <w:rPr>
          <w:lang w:val="fr-FR"/>
        </w:rPr>
        <w:t>, vol. </w:t>
      </w:r>
      <w:r w:rsidRPr="00086457">
        <w:rPr>
          <w:color w:val="000000"/>
          <w:szCs w:val="18"/>
          <w:lang w:val="fr-FR"/>
        </w:rPr>
        <w:t xml:space="preserve">2226, </w:t>
      </w:r>
      <w:r w:rsidR="00AE54D0" w:rsidRPr="00086457">
        <w:rPr>
          <w:lang w:val="fr-FR"/>
        </w:rPr>
        <w:t>n</w:t>
      </w:r>
      <w:r w:rsidR="00AE54D0" w:rsidRPr="00086457">
        <w:rPr>
          <w:vertAlign w:val="superscript"/>
          <w:lang w:val="fr-FR"/>
        </w:rPr>
        <w:t>o</w:t>
      </w:r>
      <w:r w:rsidR="00AE54D0" w:rsidRPr="00086457">
        <w:rPr>
          <w:lang w:val="fr-FR"/>
        </w:rPr>
        <w:t> </w:t>
      </w:r>
      <w:r w:rsidRPr="00086457">
        <w:rPr>
          <w:color w:val="000000"/>
          <w:szCs w:val="18"/>
          <w:lang w:val="fr-FR"/>
        </w:rPr>
        <w:t>30619.</w:t>
      </w:r>
    </w:p>
  </w:footnote>
  <w:footnote w:id="3">
    <w:p w14:paraId="65F888AA" w14:textId="099529B2" w:rsidR="007243AD" w:rsidRPr="00086457" w:rsidRDefault="007243AD">
      <w:pPr>
        <w:pStyle w:val="FootnoteText"/>
        <w:rPr>
          <w:lang w:val="fr-FR"/>
        </w:rPr>
      </w:pPr>
      <w:r w:rsidRPr="00086457">
        <w:rPr>
          <w:rStyle w:val="FootnoteReference"/>
          <w:lang w:val="fr-FR"/>
        </w:rPr>
        <w:footnoteRef/>
      </w:r>
      <w:r w:rsidRPr="00086457">
        <w:rPr>
          <w:lang w:val="fr-FR"/>
        </w:rPr>
        <w:t xml:space="preserve"> </w:t>
      </w:r>
      <w:r w:rsidR="00AE54D0" w:rsidRPr="00086457">
        <w:rPr>
          <w:lang w:val="fr-FR"/>
        </w:rPr>
        <w:t xml:space="preserve">Nations Unies, </w:t>
      </w:r>
      <w:r w:rsidR="00AE54D0" w:rsidRPr="00086457">
        <w:rPr>
          <w:i/>
          <w:iCs/>
          <w:lang w:val="fr-FR"/>
        </w:rPr>
        <w:t>Recueil des Traités</w:t>
      </w:r>
      <w:r w:rsidR="00AE54D0" w:rsidRPr="00086457">
        <w:rPr>
          <w:lang w:val="fr-FR"/>
        </w:rPr>
        <w:t>, vol. </w:t>
      </w:r>
      <w:r w:rsidRPr="00086457">
        <w:rPr>
          <w:szCs w:val="18"/>
          <w:lang w:val="fr-FR"/>
        </w:rPr>
        <w:t xml:space="preserve">3008, </w:t>
      </w:r>
      <w:r w:rsidR="00AE54D0" w:rsidRPr="00086457">
        <w:rPr>
          <w:lang w:val="fr-FR"/>
        </w:rPr>
        <w:t>n</w:t>
      </w:r>
      <w:r w:rsidR="00AE54D0" w:rsidRPr="00086457">
        <w:rPr>
          <w:vertAlign w:val="superscript"/>
          <w:lang w:val="fr-FR"/>
        </w:rPr>
        <w:t>o</w:t>
      </w:r>
      <w:r w:rsidR="00AE54D0" w:rsidRPr="00086457">
        <w:rPr>
          <w:lang w:val="fr-FR"/>
        </w:rPr>
        <w:t> </w:t>
      </w:r>
      <w:r w:rsidRPr="00086457">
        <w:rPr>
          <w:szCs w:val="18"/>
          <w:lang w:val="fr-FR"/>
        </w:rPr>
        <w:t>30619.</w:t>
      </w:r>
    </w:p>
  </w:footnote>
  <w:footnote w:id="4">
    <w:p w14:paraId="0178C2B0" w14:textId="3CDE1DE0" w:rsidR="007243AD" w:rsidRPr="00E21C09" w:rsidRDefault="007243AD" w:rsidP="00A52B30">
      <w:pPr>
        <w:pStyle w:val="FootnoteText"/>
        <w:rPr>
          <w:szCs w:val="18"/>
          <w:lang w:val="fr-FR"/>
        </w:rPr>
      </w:pPr>
      <w:r w:rsidRPr="009F3F4F">
        <w:rPr>
          <w:rStyle w:val="FootnoteReference"/>
          <w:szCs w:val="18"/>
        </w:rPr>
        <w:footnoteRef/>
      </w:r>
      <w:r w:rsidRPr="009F3F4F">
        <w:rPr>
          <w:szCs w:val="18"/>
        </w:rPr>
        <w:t xml:space="preserve"> </w:t>
      </w:r>
      <w:r w:rsidR="00E21C09" w:rsidRPr="00E21C09">
        <w:rPr>
          <w:szCs w:val="18"/>
          <w:lang w:val="fr-FR"/>
        </w:rPr>
        <w:t xml:space="preserve">Tel qu’il figure </w:t>
      </w:r>
      <w:r w:rsidR="002C0F9F" w:rsidRPr="00E21C09">
        <w:rPr>
          <w:szCs w:val="17"/>
          <w:lang w:val="fr-FR"/>
        </w:rPr>
        <w:t xml:space="preserve">dans la résolution 76/238 de l’Assemblée générale. </w:t>
      </w:r>
      <w:r w:rsidR="002C0F9F" w:rsidRPr="00E21C09">
        <w:rPr>
          <w:lang w:val="fr-FR"/>
        </w:rPr>
        <w:t xml:space="preserve">Une fois adopté par l’Assemblée, le barème révisé des quotes-parts pour la période triennale 2025-2027 sera appliqué pour </w:t>
      </w:r>
      <w:r w:rsidR="0048362E" w:rsidRPr="00E21C09">
        <w:rPr>
          <w:lang w:val="fr-FR"/>
        </w:rPr>
        <w:t xml:space="preserve">le </w:t>
      </w:r>
      <w:r w:rsidR="002C0F9F" w:rsidRPr="00E21C09">
        <w:rPr>
          <w:lang w:val="fr-FR"/>
        </w:rPr>
        <w:t>calcul</w:t>
      </w:r>
      <w:r w:rsidR="0048362E" w:rsidRPr="00E21C09">
        <w:rPr>
          <w:lang w:val="fr-FR"/>
        </w:rPr>
        <w:t xml:space="preserve"> d</w:t>
      </w:r>
      <w:r w:rsidR="002C0F9F" w:rsidRPr="00E21C09">
        <w:rPr>
          <w:lang w:val="fr-FR"/>
        </w:rPr>
        <w:t>es contributions pour la période biennale 2025-2026.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00271" w14:textId="6D61D94E" w:rsidR="007243AD" w:rsidRDefault="001D0EE9" w:rsidP="00A52B30">
    <w:pPr>
      <w:pStyle w:val="CBDHeader"/>
    </w:pPr>
    <w:r>
      <w:t>CBD/CP/MOP/DEC/11/11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25F3" w14:textId="6E174FA8" w:rsidR="007243AD" w:rsidRDefault="008A3A0A" w:rsidP="00035394">
    <w:pPr>
      <w:pStyle w:val="CBDHeader"/>
      <w:jc w:val="right"/>
    </w:pPr>
    <w:r>
      <w:t>CBD/CP/MOP/DEC/11/11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E23D2" w14:textId="77777777" w:rsidR="007243AD" w:rsidRDefault="007243AD" w:rsidP="00A52B3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75281892">
    <w:abstractNumId w:val="3"/>
  </w:num>
  <w:num w:numId="2" w16cid:durableId="1041907193">
    <w:abstractNumId w:val="2"/>
  </w:num>
  <w:num w:numId="3" w16cid:durableId="2139253822">
    <w:abstractNumId w:val="1"/>
  </w:num>
  <w:num w:numId="4" w16cid:durableId="1235897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6015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0DC3"/>
    <w:rsid w:val="000034AE"/>
    <w:rsid w:val="00004E47"/>
    <w:rsid w:val="00005881"/>
    <w:rsid w:val="00005B07"/>
    <w:rsid w:val="0001045C"/>
    <w:rsid w:val="00016408"/>
    <w:rsid w:val="0003156E"/>
    <w:rsid w:val="000333F8"/>
    <w:rsid w:val="00035394"/>
    <w:rsid w:val="00040598"/>
    <w:rsid w:val="00042A75"/>
    <w:rsid w:val="0004559F"/>
    <w:rsid w:val="00045979"/>
    <w:rsid w:val="00047BB3"/>
    <w:rsid w:val="00062504"/>
    <w:rsid w:val="00064754"/>
    <w:rsid w:val="000723B3"/>
    <w:rsid w:val="00082180"/>
    <w:rsid w:val="00085BB9"/>
    <w:rsid w:val="00086457"/>
    <w:rsid w:val="00090E20"/>
    <w:rsid w:val="000A0AF0"/>
    <w:rsid w:val="000A5253"/>
    <w:rsid w:val="000B0911"/>
    <w:rsid w:val="000B5D28"/>
    <w:rsid w:val="000C5860"/>
    <w:rsid w:val="000D11D4"/>
    <w:rsid w:val="000D1F15"/>
    <w:rsid w:val="000D547D"/>
    <w:rsid w:val="000D54C0"/>
    <w:rsid w:val="000F2819"/>
    <w:rsid w:val="000F50A6"/>
    <w:rsid w:val="0010159B"/>
    <w:rsid w:val="00132581"/>
    <w:rsid w:val="001326C8"/>
    <w:rsid w:val="001333D6"/>
    <w:rsid w:val="00134F07"/>
    <w:rsid w:val="00135A5F"/>
    <w:rsid w:val="00141852"/>
    <w:rsid w:val="00152339"/>
    <w:rsid w:val="0015240C"/>
    <w:rsid w:val="00154382"/>
    <w:rsid w:val="0016533A"/>
    <w:rsid w:val="00172A79"/>
    <w:rsid w:val="001762BD"/>
    <w:rsid w:val="00176CCB"/>
    <w:rsid w:val="00184909"/>
    <w:rsid w:val="00185C29"/>
    <w:rsid w:val="00185D33"/>
    <w:rsid w:val="00186D3D"/>
    <w:rsid w:val="00186EBB"/>
    <w:rsid w:val="0019063F"/>
    <w:rsid w:val="00196F89"/>
    <w:rsid w:val="001A0248"/>
    <w:rsid w:val="001A2514"/>
    <w:rsid w:val="001A3FDF"/>
    <w:rsid w:val="001B0959"/>
    <w:rsid w:val="001B24C6"/>
    <w:rsid w:val="001B75E1"/>
    <w:rsid w:val="001C2281"/>
    <w:rsid w:val="001C7C77"/>
    <w:rsid w:val="001D0EE9"/>
    <w:rsid w:val="001D5FD5"/>
    <w:rsid w:val="001D6FCA"/>
    <w:rsid w:val="001D7501"/>
    <w:rsid w:val="001E1623"/>
    <w:rsid w:val="001E2CCC"/>
    <w:rsid w:val="001E4464"/>
    <w:rsid w:val="001E6CAE"/>
    <w:rsid w:val="001F6ADD"/>
    <w:rsid w:val="0020539E"/>
    <w:rsid w:val="002074BF"/>
    <w:rsid w:val="00211A99"/>
    <w:rsid w:val="00211E7A"/>
    <w:rsid w:val="00212701"/>
    <w:rsid w:val="00226CD9"/>
    <w:rsid w:val="002322F3"/>
    <w:rsid w:val="002325D5"/>
    <w:rsid w:val="00244608"/>
    <w:rsid w:val="00253C5D"/>
    <w:rsid w:val="00256517"/>
    <w:rsid w:val="00261AB0"/>
    <w:rsid w:val="00264D2C"/>
    <w:rsid w:val="00265079"/>
    <w:rsid w:val="00265F44"/>
    <w:rsid w:val="0027079C"/>
    <w:rsid w:val="00281F63"/>
    <w:rsid w:val="00282BCA"/>
    <w:rsid w:val="00286944"/>
    <w:rsid w:val="0029271A"/>
    <w:rsid w:val="00297702"/>
    <w:rsid w:val="002A777D"/>
    <w:rsid w:val="002A7D09"/>
    <w:rsid w:val="002B00CA"/>
    <w:rsid w:val="002B4896"/>
    <w:rsid w:val="002B559C"/>
    <w:rsid w:val="002B7483"/>
    <w:rsid w:val="002C0F9F"/>
    <w:rsid w:val="002C32CD"/>
    <w:rsid w:val="002C564E"/>
    <w:rsid w:val="002D0FAD"/>
    <w:rsid w:val="002D1C07"/>
    <w:rsid w:val="002D3322"/>
    <w:rsid w:val="002D34EC"/>
    <w:rsid w:val="002D6B1E"/>
    <w:rsid w:val="002E11FA"/>
    <w:rsid w:val="002E4C3C"/>
    <w:rsid w:val="002E7355"/>
    <w:rsid w:val="002F094E"/>
    <w:rsid w:val="002F120C"/>
    <w:rsid w:val="002F14B9"/>
    <w:rsid w:val="002F2382"/>
    <w:rsid w:val="003022C1"/>
    <w:rsid w:val="00303F0B"/>
    <w:rsid w:val="0030478D"/>
    <w:rsid w:val="00310608"/>
    <w:rsid w:val="00312A64"/>
    <w:rsid w:val="00312CC1"/>
    <w:rsid w:val="00312EE3"/>
    <w:rsid w:val="0031407E"/>
    <w:rsid w:val="00320674"/>
    <w:rsid w:val="00323F22"/>
    <w:rsid w:val="00325240"/>
    <w:rsid w:val="00332581"/>
    <w:rsid w:val="00333B76"/>
    <w:rsid w:val="003361F2"/>
    <w:rsid w:val="003375E9"/>
    <w:rsid w:val="00337C47"/>
    <w:rsid w:val="00341C6A"/>
    <w:rsid w:val="0034424D"/>
    <w:rsid w:val="00345E7A"/>
    <w:rsid w:val="003476A9"/>
    <w:rsid w:val="00361335"/>
    <w:rsid w:val="003637BC"/>
    <w:rsid w:val="00372DC4"/>
    <w:rsid w:val="00374B87"/>
    <w:rsid w:val="003759DA"/>
    <w:rsid w:val="00375B52"/>
    <w:rsid w:val="00387714"/>
    <w:rsid w:val="003966DC"/>
    <w:rsid w:val="00396FC8"/>
    <w:rsid w:val="003A3ABE"/>
    <w:rsid w:val="003A5D25"/>
    <w:rsid w:val="003C6F10"/>
    <w:rsid w:val="003D073A"/>
    <w:rsid w:val="003D3D09"/>
    <w:rsid w:val="003D673B"/>
    <w:rsid w:val="003E3796"/>
    <w:rsid w:val="003F17F1"/>
    <w:rsid w:val="003F1F25"/>
    <w:rsid w:val="003F6B2B"/>
    <w:rsid w:val="003F76F9"/>
    <w:rsid w:val="00400EA6"/>
    <w:rsid w:val="00401C93"/>
    <w:rsid w:val="004071A6"/>
    <w:rsid w:val="004134F9"/>
    <w:rsid w:val="00427FA6"/>
    <w:rsid w:val="00433F81"/>
    <w:rsid w:val="0043794D"/>
    <w:rsid w:val="00441498"/>
    <w:rsid w:val="00444BB7"/>
    <w:rsid w:val="00444DB5"/>
    <w:rsid w:val="00447DE3"/>
    <w:rsid w:val="00453BC3"/>
    <w:rsid w:val="00456EC2"/>
    <w:rsid w:val="00461D92"/>
    <w:rsid w:val="00464BB5"/>
    <w:rsid w:val="004701EE"/>
    <w:rsid w:val="00472A85"/>
    <w:rsid w:val="004804C8"/>
    <w:rsid w:val="00480A8D"/>
    <w:rsid w:val="004812DA"/>
    <w:rsid w:val="0048362E"/>
    <w:rsid w:val="00484AE7"/>
    <w:rsid w:val="00485187"/>
    <w:rsid w:val="00486EBD"/>
    <w:rsid w:val="00487B8A"/>
    <w:rsid w:val="004A1C7A"/>
    <w:rsid w:val="004A2A2D"/>
    <w:rsid w:val="004A35A8"/>
    <w:rsid w:val="004A512B"/>
    <w:rsid w:val="004A61E2"/>
    <w:rsid w:val="004B6071"/>
    <w:rsid w:val="004C32D5"/>
    <w:rsid w:val="004C7F5E"/>
    <w:rsid w:val="004D10DF"/>
    <w:rsid w:val="004D6B23"/>
    <w:rsid w:val="004E61D2"/>
    <w:rsid w:val="004F02BF"/>
    <w:rsid w:val="004F4156"/>
    <w:rsid w:val="004F5EAC"/>
    <w:rsid w:val="004F5F5E"/>
    <w:rsid w:val="00500711"/>
    <w:rsid w:val="00510A1C"/>
    <w:rsid w:val="005120E1"/>
    <w:rsid w:val="00512E6F"/>
    <w:rsid w:val="00513334"/>
    <w:rsid w:val="005250C2"/>
    <w:rsid w:val="00526ED7"/>
    <w:rsid w:val="005363D4"/>
    <w:rsid w:val="00537248"/>
    <w:rsid w:val="005402D0"/>
    <w:rsid w:val="00542710"/>
    <w:rsid w:val="00552296"/>
    <w:rsid w:val="005577ED"/>
    <w:rsid w:val="00593AD0"/>
    <w:rsid w:val="00595D3A"/>
    <w:rsid w:val="00596C85"/>
    <w:rsid w:val="005A0499"/>
    <w:rsid w:val="005A206E"/>
    <w:rsid w:val="005A2DB4"/>
    <w:rsid w:val="005A498D"/>
    <w:rsid w:val="005B1306"/>
    <w:rsid w:val="005B26E2"/>
    <w:rsid w:val="005B29FF"/>
    <w:rsid w:val="005B77DE"/>
    <w:rsid w:val="005C0058"/>
    <w:rsid w:val="005D6B85"/>
    <w:rsid w:val="005E1EB3"/>
    <w:rsid w:val="005E2605"/>
    <w:rsid w:val="005E424B"/>
    <w:rsid w:val="005E67DC"/>
    <w:rsid w:val="005F355B"/>
    <w:rsid w:val="005F5949"/>
    <w:rsid w:val="00602FEA"/>
    <w:rsid w:val="00606E8E"/>
    <w:rsid w:val="006116BE"/>
    <w:rsid w:val="00611D25"/>
    <w:rsid w:val="00614A77"/>
    <w:rsid w:val="00617DAC"/>
    <w:rsid w:val="00622073"/>
    <w:rsid w:val="00627625"/>
    <w:rsid w:val="00627C69"/>
    <w:rsid w:val="00631557"/>
    <w:rsid w:val="0063427E"/>
    <w:rsid w:val="006408EC"/>
    <w:rsid w:val="00651D85"/>
    <w:rsid w:val="006525FD"/>
    <w:rsid w:val="00654A78"/>
    <w:rsid w:val="006556D4"/>
    <w:rsid w:val="00656BB4"/>
    <w:rsid w:val="00657ED6"/>
    <w:rsid w:val="00660397"/>
    <w:rsid w:val="006638B9"/>
    <w:rsid w:val="00667D43"/>
    <w:rsid w:val="00675DBB"/>
    <w:rsid w:val="006761F1"/>
    <w:rsid w:val="0068041B"/>
    <w:rsid w:val="00685877"/>
    <w:rsid w:val="0068612B"/>
    <w:rsid w:val="006B2486"/>
    <w:rsid w:val="006B293D"/>
    <w:rsid w:val="006B63B1"/>
    <w:rsid w:val="006C19D9"/>
    <w:rsid w:val="006C74CC"/>
    <w:rsid w:val="006D11A4"/>
    <w:rsid w:val="006D304D"/>
    <w:rsid w:val="006D334C"/>
    <w:rsid w:val="006D428A"/>
    <w:rsid w:val="006D4FC6"/>
    <w:rsid w:val="006D6C32"/>
    <w:rsid w:val="006E526B"/>
    <w:rsid w:val="006E7FA5"/>
    <w:rsid w:val="0070053D"/>
    <w:rsid w:val="00700C28"/>
    <w:rsid w:val="00712500"/>
    <w:rsid w:val="007145D3"/>
    <w:rsid w:val="00715541"/>
    <w:rsid w:val="00715627"/>
    <w:rsid w:val="007217A2"/>
    <w:rsid w:val="00722143"/>
    <w:rsid w:val="00722CA9"/>
    <w:rsid w:val="007243AD"/>
    <w:rsid w:val="00726F9C"/>
    <w:rsid w:val="0073233E"/>
    <w:rsid w:val="00734390"/>
    <w:rsid w:val="0074483F"/>
    <w:rsid w:val="007451FA"/>
    <w:rsid w:val="007506A5"/>
    <w:rsid w:val="0075239E"/>
    <w:rsid w:val="00753C8B"/>
    <w:rsid w:val="00753DB9"/>
    <w:rsid w:val="0076622F"/>
    <w:rsid w:val="007672A3"/>
    <w:rsid w:val="00771FDF"/>
    <w:rsid w:val="00783EBA"/>
    <w:rsid w:val="0078783E"/>
    <w:rsid w:val="00791A14"/>
    <w:rsid w:val="00797AB2"/>
    <w:rsid w:val="007A15EE"/>
    <w:rsid w:val="007A1C24"/>
    <w:rsid w:val="007A79A3"/>
    <w:rsid w:val="007B2395"/>
    <w:rsid w:val="007C77BC"/>
    <w:rsid w:val="007C78B3"/>
    <w:rsid w:val="007D2238"/>
    <w:rsid w:val="007D67E4"/>
    <w:rsid w:val="007D7697"/>
    <w:rsid w:val="007D7D63"/>
    <w:rsid w:val="007E1B38"/>
    <w:rsid w:val="007E2E5E"/>
    <w:rsid w:val="007E6D91"/>
    <w:rsid w:val="007E77F9"/>
    <w:rsid w:val="007F021A"/>
    <w:rsid w:val="007F5888"/>
    <w:rsid w:val="007F650C"/>
    <w:rsid w:val="007F7EF3"/>
    <w:rsid w:val="0080327A"/>
    <w:rsid w:val="00810524"/>
    <w:rsid w:val="00812BAC"/>
    <w:rsid w:val="00817DEC"/>
    <w:rsid w:val="0082005E"/>
    <w:rsid w:val="00824FE1"/>
    <w:rsid w:val="00840095"/>
    <w:rsid w:val="00840188"/>
    <w:rsid w:val="00840F4D"/>
    <w:rsid w:val="0084662E"/>
    <w:rsid w:val="00854EEA"/>
    <w:rsid w:val="00855DEB"/>
    <w:rsid w:val="00861A45"/>
    <w:rsid w:val="0086470C"/>
    <w:rsid w:val="008647F5"/>
    <w:rsid w:val="00872A4E"/>
    <w:rsid w:val="00874541"/>
    <w:rsid w:val="00875B4A"/>
    <w:rsid w:val="0087667F"/>
    <w:rsid w:val="00880B28"/>
    <w:rsid w:val="00880FE4"/>
    <w:rsid w:val="00886954"/>
    <w:rsid w:val="00894E8A"/>
    <w:rsid w:val="008A0481"/>
    <w:rsid w:val="008A3836"/>
    <w:rsid w:val="008A3A0A"/>
    <w:rsid w:val="008A3FFE"/>
    <w:rsid w:val="008A4C34"/>
    <w:rsid w:val="008A5D65"/>
    <w:rsid w:val="008B5012"/>
    <w:rsid w:val="008C213B"/>
    <w:rsid w:val="008D0279"/>
    <w:rsid w:val="008E0581"/>
    <w:rsid w:val="008E66D3"/>
    <w:rsid w:val="008E750C"/>
    <w:rsid w:val="008F27B4"/>
    <w:rsid w:val="008F3AEE"/>
    <w:rsid w:val="008F6E48"/>
    <w:rsid w:val="00907F40"/>
    <w:rsid w:val="00923EFF"/>
    <w:rsid w:val="0092477D"/>
    <w:rsid w:val="00934B01"/>
    <w:rsid w:val="00934B86"/>
    <w:rsid w:val="00935461"/>
    <w:rsid w:val="00936B36"/>
    <w:rsid w:val="009459E3"/>
    <w:rsid w:val="00955DFE"/>
    <w:rsid w:val="0097044B"/>
    <w:rsid w:val="00985169"/>
    <w:rsid w:val="0099284B"/>
    <w:rsid w:val="00995DDC"/>
    <w:rsid w:val="009A00FE"/>
    <w:rsid w:val="009A32BF"/>
    <w:rsid w:val="009A5C30"/>
    <w:rsid w:val="009A5F5C"/>
    <w:rsid w:val="009B2FFC"/>
    <w:rsid w:val="009C1114"/>
    <w:rsid w:val="009C247E"/>
    <w:rsid w:val="009D03E4"/>
    <w:rsid w:val="009D38AB"/>
    <w:rsid w:val="009D5E1D"/>
    <w:rsid w:val="009D64BE"/>
    <w:rsid w:val="009D674C"/>
    <w:rsid w:val="009E369D"/>
    <w:rsid w:val="009E4F67"/>
    <w:rsid w:val="009E58A3"/>
    <w:rsid w:val="009E6901"/>
    <w:rsid w:val="009F3F4F"/>
    <w:rsid w:val="009F44EC"/>
    <w:rsid w:val="00A01281"/>
    <w:rsid w:val="00A05EF7"/>
    <w:rsid w:val="00A075C6"/>
    <w:rsid w:val="00A10554"/>
    <w:rsid w:val="00A26785"/>
    <w:rsid w:val="00A30394"/>
    <w:rsid w:val="00A413C7"/>
    <w:rsid w:val="00A41449"/>
    <w:rsid w:val="00A42C4B"/>
    <w:rsid w:val="00A43334"/>
    <w:rsid w:val="00A52B30"/>
    <w:rsid w:val="00A54867"/>
    <w:rsid w:val="00A54FA0"/>
    <w:rsid w:val="00A5764C"/>
    <w:rsid w:val="00A602EC"/>
    <w:rsid w:val="00A72011"/>
    <w:rsid w:val="00A7675C"/>
    <w:rsid w:val="00A77799"/>
    <w:rsid w:val="00A77E32"/>
    <w:rsid w:val="00A817E7"/>
    <w:rsid w:val="00A96B21"/>
    <w:rsid w:val="00AA3CB7"/>
    <w:rsid w:val="00AA468B"/>
    <w:rsid w:val="00AA4ABB"/>
    <w:rsid w:val="00AA5085"/>
    <w:rsid w:val="00AB3ACD"/>
    <w:rsid w:val="00AC3AF0"/>
    <w:rsid w:val="00AC4786"/>
    <w:rsid w:val="00AC5CD9"/>
    <w:rsid w:val="00AD2DAA"/>
    <w:rsid w:val="00AD3B10"/>
    <w:rsid w:val="00AD5208"/>
    <w:rsid w:val="00AD6B19"/>
    <w:rsid w:val="00AE1A95"/>
    <w:rsid w:val="00AE54D0"/>
    <w:rsid w:val="00AF1F38"/>
    <w:rsid w:val="00B01DD5"/>
    <w:rsid w:val="00B04400"/>
    <w:rsid w:val="00B1095B"/>
    <w:rsid w:val="00B115C3"/>
    <w:rsid w:val="00B13EF6"/>
    <w:rsid w:val="00B150F7"/>
    <w:rsid w:val="00B161EB"/>
    <w:rsid w:val="00B166F7"/>
    <w:rsid w:val="00B22262"/>
    <w:rsid w:val="00B263AC"/>
    <w:rsid w:val="00B310AA"/>
    <w:rsid w:val="00B3258B"/>
    <w:rsid w:val="00B36EA9"/>
    <w:rsid w:val="00B46473"/>
    <w:rsid w:val="00B503F5"/>
    <w:rsid w:val="00B52CAD"/>
    <w:rsid w:val="00B622F1"/>
    <w:rsid w:val="00B6456C"/>
    <w:rsid w:val="00B760DB"/>
    <w:rsid w:val="00B81FBB"/>
    <w:rsid w:val="00B938FF"/>
    <w:rsid w:val="00B943E3"/>
    <w:rsid w:val="00B95232"/>
    <w:rsid w:val="00B96629"/>
    <w:rsid w:val="00BA33EC"/>
    <w:rsid w:val="00BA4192"/>
    <w:rsid w:val="00BB4D81"/>
    <w:rsid w:val="00BB5137"/>
    <w:rsid w:val="00BC32BF"/>
    <w:rsid w:val="00BD23D7"/>
    <w:rsid w:val="00BD2F42"/>
    <w:rsid w:val="00BD37AA"/>
    <w:rsid w:val="00BD751C"/>
    <w:rsid w:val="00BE4E2F"/>
    <w:rsid w:val="00BF1816"/>
    <w:rsid w:val="00C03580"/>
    <w:rsid w:val="00C03F86"/>
    <w:rsid w:val="00C0598E"/>
    <w:rsid w:val="00C104C1"/>
    <w:rsid w:val="00C13C9A"/>
    <w:rsid w:val="00C14381"/>
    <w:rsid w:val="00C15FED"/>
    <w:rsid w:val="00C205EC"/>
    <w:rsid w:val="00C2354A"/>
    <w:rsid w:val="00C26123"/>
    <w:rsid w:val="00C27B24"/>
    <w:rsid w:val="00C31174"/>
    <w:rsid w:val="00C363C7"/>
    <w:rsid w:val="00C47440"/>
    <w:rsid w:val="00C476CC"/>
    <w:rsid w:val="00C52EAA"/>
    <w:rsid w:val="00C604BA"/>
    <w:rsid w:val="00C60B91"/>
    <w:rsid w:val="00C64124"/>
    <w:rsid w:val="00C6551E"/>
    <w:rsid w:val="00C65968"/>
    <w:rsid w:val="00C663B0"/>
    <w:rsid w:val="00C66757"/>
    <w:rsid w:val="00C702B8"/>
    <w:rsid w:val="00C707BB"/>
    <w:rsid w:val="00C72F5F"/>
    <w:rsid w:val="00C7379D"/>
    <w:rsid w:val="00C76747"/>
    <w:rsid w:val="00C8692E"/>
    <w:rsid w:val="00C93120"/>
    <w:rsid w:val="00C94C13"/>
    <w:rsid w:val="00CA42E9"/>
    <w:rsid w:val="00CB0DB5"/>
    <w:rsid w:val="00CB3358"/>
    <w:rsid w:val="00CC31B2"/>
    <w:rsid w:val="00CC65C3"/>
    <w:rsid w:val="00CC6AD2"/>
    <w:rsid w:val="00CD33B3"/>
    <w:rsid w:val="00CD76A8"/>
    <w:rsid w:val="00CE27CA"/>
    <w:rsid w:val="00CE2B46"/>
    <w:rsid w:val="00CE6C7F"/>
    <w:rsid w:val="00CF70AB"/>
    <w:rsid w:val="00D036C4"/>
    <w:rsid w:val="00D119C0"/>
    <w:rsid w:val="00D130CC"/>
    <w:rsid w:val="00D14FF5"/>
    <w:rsid w:val="00D1609A"/>
    <w:rsid w:val="00D172B9"/>
    <w:rsid w:val="00D3059B"/>
    <w:rsid w:val="00D317BB"/>
    <w:rsid w:val="00D3275A"/>
    <w:rsid w:val="00D35455"/>
    <w:rsid w:val="00D442EA"/>
    <w:rsid w:val="00D46DC8"/>
    <w:rsid w:val="00D50571"/>
    <w:rsid w:val="00D526C6"/>
    <w:rsid w:val="00D54CC8"/>
    <w:rsid w:val="00D60046"/>
    <w:rsid w:val="00D600AF"/>
    <w:rsid w:val="00D61340"/>
    <w:rsid w:val="00D62D4C"/>
    <w:rsid w:val="00D64989"/>
    <w:rsid w:val="00D71FFB"/>
    <w:rsid w:val="00D854F8"/>
    <w:rsid w:val="00D900A0"/>
    <w:rsid w:val="00D903C3"/>
    <w:rsid w:val="00D96601"/>
    <w:rsid w:val="00D97884"/>
    <w:rsid w:val="00DA6C71"/>
    <w:rsid w:val="00DA79AB"/>
    <w:rsid w:val="00DC0C1B"/>
    <w:rsid w:val="00DC3324"/>
    <w:rsid w:val="00DC5979"/>
    <w:rsid w:val="00DC65E0"/>
    <w:rsid w:val="00DE587D"/>
    <w:rsid w:val="00DE5CEE"/>
    <w:rsid w:val="00E0434D"/>
    <w:rsid w:val="00E1286E"/>
    <w:rsid w:val="00E12AFE"/>
    <w:rsid w:val="00E1597C"/>
    <w:rsid w:val="00E21C09"/>
    <w:rsid w:val="00E32358"/>
    <w:rsid w:val="00E33C97"/>
    <w:rsid w:val="00E34D14"/>
    <w:rsid w:val="00E42649"/>
    <w:rsid w:val="00E428BC"/>
    <w:rsid w:val="00E5681B"/>
    <w:rsid w:val="00E60220"/>
    <w:rsid w:val="00E62E14"/>
    <w:rsid w:val="00E77AEE"/>
    <w:rsid w:val="00E80D83"/>
    <w:rsid w:val="00E927E2"/>
    <w:rsid w:val="00E93C0B"/>
    <w:rsid w:val="00EA1B45"/>
    <w:rsid w:val="00EA33FF"/>
    <w:rsid w:val="00EA54D6"/>
    <w:rsid w:val="00EB5082"/>
    <w:rsid w:val="00EB6C76"/>
    <w:rsid w:val="00EC6A7D"/>
    <w:rsid w:val="00ED302D"/>
    <w:rsid w:val="00ED3849"/>
    <w:rsid w:val="00ED3AEC"/>
    <w:rsid w:val="00ED5D99"/>
    <w:rsid w:val="00EE1633"/>
    <w:rsid w:val="00EE2191"/>
    <w:rsid w:val="00EE6281"/>
    <w:rsid w:val="00EF2F34"/>
    <w:rsid w:val="00EF3DD7"/>
    <w:rsid w:val="00EF75DE"/>
    <w:rsid w:val="00F0140B"/>
    <w:rsid w:val="00F05EAE"/>
    <w:rsid w:val="00F135A0"/>
    <w:rsid w:val="00F13EE9"/>
    <w:rsid w:val="00F16735"/>
    <w:rsid w:val="00F20965"/>
    <w:rsid w:val="00F258FB"/>
    <w:rsid w:val="00F33E47"/>
    <w:rsid w:val="00F34308"/>
    <w:rsid w:val="00F364C6"/>
    <w:rsid w:val="00F4007E"/>
    <w:rsid w:val="00F40B09"/>
    <w:rsid w:val="00F43732"/>
    <w:rsid w:val="00F53DD6"/>
    <w:rsid w:val="00F55E07"/>
    <w:rsid w:val="00F6376F"/>
    <w:rsid w:val="00F70F1B"/>
    <w:rsid w:val="00F7165C"/>
    <w:rsid w:val="00F75F90"/>
    <w:rsid w:val="00F83AB5"/>
    <w:rsid w:val="00F85048"/>
    <w:rsid w:val="00F8626E"/>
    <w:rsid w:val="00F90767"/>
    <w:rsid w:val="00FA18C9"/>
    <w:rsid w:val="00FB35EB"/>
    <w:rsid w:val="00FE3377"/>
    <w:rsid w:val="00FE52D6"/>
    <w:rsid w:val="00FF031D"/>
    <w:rsid w:val="00FF2386"/>
    <w:rsid w:val="00FF7DC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4F"/>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9F3F4F"/>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9F3F4F"/>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9F3F4F"/>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9F3F4F"/>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9F3F4F"/>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9F3F4F"/>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9F3F4F"/>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9F3F4F"/>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9F3F4F"/>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9F3F4F"/>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9F3F4F"/>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9F3F4F"/>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9F3F4F"/>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rsid w:val="009F3F4F"/>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9F3F4F"/>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rsid w:val="009F3F4F"/>
    <w:rPr>
      <w:vertAlign w:val="superscript"/>
      <w:lang w:val="en-GB"/>
    </w:rPr>
  </w:style>
  <w:style w:type="paragraph" w:customStyle="1" w:styleId="Footnote">
    <w:name w:val="Footnote"/>
    <w:basedOn w:val="FootnoteText"/>
    <w:qFormat/>
    <w:rsid w:val="009F3F4F"/>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9F3F4F"/>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9F3F4F"/>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9F3F4F"/>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9F3F4F"/>
    <w:pPr>
      <w:tabs>
        <w:tab w:val="center" w:pos="4680"/>
        <w:tab w:val="right" w:pos="9360"/>
      </w:tabs>
    </w:pPr>
    <w:rPr>
      <w:sz w:val="20"/>
    </w:rPr>
  </w:style>
  <w:style w:type="character" w:customStyle="1" w:styleId="FooterChar">
    <w:name w:val="Footer Char"/>
    <w:basedOn w:val="DefaultParagraphFont"/>
    <w:link w:val="Footer"/>
    <w:uiPriority w:val="99"/>
    <w:rsid w:val="009F3F4F"/>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9F3F4F"/>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9F3F4F"/>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9F3F4F"/>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9F3F4F"/>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9F3F4F"/>
    <w:rPr>
      <w:sz w:val="16"/>
      <w:szCs w:val="16"/>
      <w:lang w:val="en-GB"/>
    </w:rPr>
  </w:style>
  <w:style w:type="paragraph" w:styleId="CommentText">
    <w:name w:val="annotation text"/>
    <w:basedOn w:val="Normal"/>
    <w:link w:val="CommentTextChar"/>
    <w:uiPriority w:val="99"/>
    <w:rsid w:val="009F3F4F"/>
    <w:rPr>
      <w:sz w:val="20"/>
      <w:szCs w:val="20"/>
    </w:rPr>
  </w:style>
  <w:style w:type="character" w:customStyle="1" w:styleId="CommentTextChar">
    <w:name w:val="Comment Text Char"/>
    <w:basedOn w:val="DefaultParagraphFont"/>
    <w:link w:val="CommentText"/>
    <w:uiPriority w:val="99"/>
    <w:rsid w:val="009F3F4F"/>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F3F4F"/>
    <w:rPr>
      <w:b/>
      <w:bCs/>
    </w:rPr>
  </w:style>
  <w:style w:type="character" w:customStyle="1" w:styleId="CommentSubjectChar">
    <w:name w:val="Comment Subject Char"/>
    <w:basedOn w:val="CommentTextChar"/>
    <w:link w:val="CommentSubject"/>
    <w:uiPriority w:val="99"/>
    <w:semiHidden/>
    <w:rsid w:val="009F3F4F"/>
    <w:rPr>
      <w:rFonts w:ascii="Times New Roman" w:eastAsia="SimSun" w:hAnsi="Times New Roman" w:cs="Times New Roman"/>
      <w:b/>
      <w:bCs/>
      <w:kern w:val="0"/>
      <w:sz w:val="20"/>
      <w:szCs w:val="20"/>
      <w:lang w:val="en-GB"/>
      <w14:ligatures w14:val="none"/>
    </w:rPr>
  </w:style>
  <w:style w:type="character" w:customStyle="1" w:styleId="Heading6Char">
    <w:name w:val="Heading 6 Char"/>
    <w:basedOn w:val="DefaultParagraphFont"/>
    <w:link w:val="Heading6"/>
    <w:semiHidden/>
    <w:rsid w:val="009F3F4F"/>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9F3F4F"/>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9F3F4F"/>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9F3F4F"/>
    <w:rPr>
      <w:rFonts w:ascii="Times New Roman" w:eastAsia="SimSun" w:hAnsi="Times New Roman" w:cs="Times New Roman"/>
      <w:snapToGrid w:val="0"/>
      <w:kern w:val="0"/>
      <w:u w:val="single"/>
      <w:lang w:val="en-GB"/>
      <w14:ligatures w14:val="none"/>
    </w:rPr>
  </w:style>
  <w:style w:type="paragraph" w:styleId="Revision">
    <w:name w:val="Revision"/>
    <w:hidden/>
    <w:uiPriority w:val="99"/>
    <w:semiHidden/>
    <w:rsid w:val="009F3F4F"/>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9F3F4F"/>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9F3F4F"/>
    <w:pPr>
      <w:spacing w:after="120"/>
      <w:ind w:left="567"/>
    </w:pPr>
  </w:style>
  <w:style w:type="paragraph" w:customStyle="1" w:styleId="ABSymbol">
    <w:name w:val="AB_Symbol"/>
    <w:basedOn w:val="Normal"/>
    <w:qFormat/>
    <w:rsid w:val="009F3F4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9F3F4F"/>
    <w:pPr>
      <w:numPr>
        <w:numId w:val="3"/>
      </w:numPr>
      <w:tabs>
        <w:tab w:val="left" w:pos="3969"/>
      </w:tabs>
      <w:spacing w:before="120"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9F3F4F"/>
    <w:pPr>
      <w:jc w:val="left"/>
    </w:pPr>
  </w:style>
  <w:style w:type="paragraph" w:customStyle="1" w:styleId="AASmallLogo">
    <w:name w:val="AA_SmallLogo"/>
    <w:basedOn w:val="AEDistrNormal"/>
    <w:unhideWhenUsed/>
    <w:rsid w:val="009F3F4F"/>
    <w:pPr>
      <w:spacing w:before="40"/>
    </w:pPr>
    <w:rPr>
      <w:sz w:val="4"/>
    </w:rPr>
  </w:style>
  <w:style w:type="paragraph" w:customStyle="1" w:styleId="ACLargeLogo">
    <w:name w:val="AC_LargeLogo"/>
    <w:basedOn w:val="AFCorNNormal"/>
    <w:next w:val="AISpacer"/>
    <w:unhideWhenUsed/>
    <w:rsid w:val="009F3F4F"/>
    <w:pPr>
      <w:spacing w:before="120"/>
      <w:contextualSpacing/>
    </w:pPr>
    <w:rPr>
      <w:sz w:val="8"/>
    </w:rPr>
  </w:style>
  <w:style w:type="paragraph" w:customStyle="1" w:styleId="CBDNormal">
    <w:name w:val="CBD_Normal"/>
    <w:unhideWhenUsed/>
    <w:qFormat/>
    <w:rsid w:val="009F3F4F"/>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9F3F4F"/>
    <w:pPr>
      <w:contextualSpacing/>
    </w:pPr>
  </w:style>
  <w:style w:type="numbering" w:customStyle="1" w:styleId="ListCBD">
    <w:name w:val="ListCBD"/>
    <w:basedOn w:val="NoList"/>
    <w:uiPriority w:val="99"/>
    <w:rsid w:val="009F3F4F"/>
    <w:pPr>
      <w:numPr>
        <w:numId w:val="5"/>
      </w:numPr>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F3F4F"/>
    <w:pPr>
      <w:ind w:left="720"/>
      <w:contextualSpacing/>
    </w:pPr>
  </w:style>
  <w:style w:type="numbering" w:customStyle="1" w:styleId="CBDHeadings">
    <w:name w:val="CBD_Headings"/>
    <w:basedOn w:val="ListCBD"/>
    <w:uiPriority w:val="99"/>
    <w:rsid w:val="009F3F4F"/>
    <w:pPr>
      <w:numPr>
        <w:numId w:val="2"/>
      </w:numPr>
    </w:pPr>
  </w:style>
  <w:style w:type="paragraph" w:customStyle="1" w:styleId="AISpacer">
    <w:name w:val="AI_Spacer"/>
    <w:next w:val="Normal"/>
    <w:unhideWhenUsed/>
    <w:qFormat/>
    <w:rsid w:val="009F3F4F"/>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9F3F4F"/>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9F3F4F"/>
    <w:pPr>
      <w:keepNext/>
      <w:keepLines/>
      <w:spacing w:before="240" w:after="120"/>
      <w:jc w:val="left"/>
    </w:pPr>
    <w:rPr>
      <w:b/>
      <w:sz w:val="24"/>
    </w:rPr>
  </w:style>
  <w:style w:type="paragraph" w:customStyle="1" w:styleId="CBDDesicionText">
    <w:name w:val="CBD_DesicionText"/>
    <w:basedOn w:val="CBDNormal"/>
    <w:qFormat/>
    <w:rsid w:val="009F3F4F"/>
    <w:pPr>
      <w:spacing w:after="120"/>
      <w:ind w:left="567" w:firstLine="567"/>
    </w:pPr>
  </w:style>
  <w:style w:type="paragraph" w:customStyle="1" w:styleId="CBDDesicionAnnex">
    <w:name w:val="CBD_DesicionAnnex"/>
    <w:basedOn w:val="CBDNormal"/>
    <w:next w:val="CBDDesicionText"/>
    <w:qFormat/>
    <w:rsid w:val="009F3F4F"/>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9F3F4F"/>
    <w:rPr>
      <w:rFonts w:ascii="Times New Roman" w:hAnsi="Times New Roman"/>
      <w:color w:val="0563C1" w:themeColor="hyperlink"/>
      <w:u w:val="single"/>
      <w:lang w:val="en-GB"/>
    </w:rPr>
  </w:style>
  <w:style w:type="paragraph" w:customStyle="1" w:styleId="CBDAnnex">
    <w:name w:val="CBD_Annex"/>
    <w:basedOn w:val="CBDNormal"/>
    <w:next w:val="CBDTitle"/>
    <w:qFormat/>
    <w:rsid w:val="009F3F4F"/>
    <w:pPr>
      <w:keepNext/>
      <w:keepLines/>
      <w:spacing w:after="240"/>
      <w:jc w:val="left"/>
    </w:pPr>
    <w:rPr>
      <w:b/>
      <w:sz w:val="28"/>
      <w:lang w:bidi="ar-SY"/>
    </w:rPr>
  </w:style>
  <w:style w:type="paragraph" w:customStyle="1" w:styleId="CBDSubTitle">
    <w:name w:val="CBD_SubTitle"/>
    <w:basedOn w:val="CBDNormal"/>
    <w:qFormat/>
    <w:rsid w:val="009F3F4F"/>
    <w:pPr>
      <w:keepNext/>
      <w:keepLines/>
      <w:spacing w:before="240" w:after="240"/>
      <w:ind w:left="567"/>
      <w:jc w:val="left"/>
    </w:pPr>
    <w:rPr>
      <w:b/>
    </w:rPr>
  </w:style>
  <w:style w:type="paragraph" w:customStyle="1" w:styleId="CBDTitle">
    <w:name w:val="CBD_Title"/>
    <w:basedOn w:val="CBDNormal"/>
    <w:next w:val="CBDSubTitle"/>
    <w:qFormat/>
    <w:rsid w:val="009F3F4F"/>
    <w:pPr>
      <w:keepNext/>
      <w:keepLines/>
      <w:spacing w:before="240" w:after="240"/>
      <w:ind w:left="567"/>
      <w:jc w:val="left"/>
    </w:pPr>
    <w:rPr>
      <w:b/>
      <w:sz w:val="28"/>
    </w:rPr>
  </w:style>
  <w:style w:type="paragraph" w:customStyle="1" w:styleId="AENormal">
    <w:name w:val="AE_Normal"/>
    <w:basedOn w:val="Normal"/>
    <w:rsid w:val="009F3F4F"/>
  </w:style>
  <w:style w:type="paragraph" w:customStyle="1" w:styleId="CBDH1">
    <w:name w:val="CBD_H1"/>
    <w:basedOn w:val="CBDNormal"/>
    <w:qFormat/>
    <w:rsid w:val="009F3F4F"/>
    <w:pPr>
      <w:keepNext/>
      <w:keepLines/>
      <w:spacing w:before="240" w:after="120"/>
      <w:ind w:left="567" w:hanging="567"/>
      <w:jc w:val="left"/>
      <w:outlineLvl w:val="0"/>
    </w:pPr>
    <w:rPr>
      <w:b/>
      <w:sz w:val="28"/>
    </w:rPr>
  </w:style>
  <w:style w:type="paragraph" w:customStyle="1" w:styleId="CBDH2">
    <w:name w:val="CBD_H2"/>
    <w:basedOn w:val="CBDNormalNumber"/>
    <w:qFormat/>
    <w:rsid w:val="009F3F4F"/>
    <w:pPr>
      <w:keepNext/>
      <w:keepLines/>
      <w:numPr>
        <w:numId w:val="0"/>
      </w:numPr>
      <w:ind w:left="567" w:hanging="567"/>
    </w:pPr>
    <w:rPr>
      <w:b/>
      <w:sz w:val="24"/>
    </w:rPr>
  </w:style>
  <w:style w:type="paragraph" w:customStyle="1" w:styleId="CBDFootnoteText">
    <w:name w:val="CBD_Footnote_Text"/>
    <w:basedOn w:val="CBDNormal"/>
    <w:qFormat/>
    <w:rsid w:val="009F3F4F"/>
    <w:pPr>
      <w:jc w:val="left"/>
    </w:pPr>
    <w:rPr>
      <w:sz w:val="18"/>
    </w:rPr>
  </w:style>
  <w:style w:type="paragraph" w:customStyle="1" w:styleId="CBDFooter">
    <w:name w:val="CBD_Footer"/>
    <w:basedOn w:val="CBDNormal"/>
    <w:qFormat/>
    <w:rsid w:val="009F3F4F"/>
    <w:rPr>
      <w:sz w:val="20"/>
    </w:rPr>
  </w:style>
  <w:style w:type="paragraph" w:customStyle="1" w:styleId="CBDHeader">
    <w:name w:val="CBD_Header"/>
    <w:basedOn w:val="CBDNormal"/>
    <w:next w:val="CBDFooter"/>
    <w:qFormat/>
    <w:rsid w:val="009F3F4F"/>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9F3F4F"/>
    <w:pPr>
      <w:keepNext/>
      <w:keepLines/>
      <w:spacing w:before="120" w:after="120"/>
      <w:ind w:left="567" w:hanging="567"/>
      <w:jc w:val="left"/>
    </w:pPr>
    <w:rPr>
      <w:b/>
    </w:rPr>
  </w:style>
  <w:style w:type="paragraph" w:customStyle="1" w:styleId="CBDH4">
    <w:name w:val="CBD_H4"/>
    <w:basedOn w:val="CBDNormal"/>
    <w:rsid w:val="009F3F4F"/>
    <w:pPr>
      <w:keepNext/>
      <w:keepLines/>
      <w:spacing w:before="120" w:after="120"/>
      <w:ind w:left="567" w:hanging="567"/>
      <w:jc w:val="left"/>
    </w:pPr>
    <w:rPr>
      <w:b/>
    </w:rPr>
  </w:style>
  <w:style w:type="paragraph" w:customStyle="1" w:styleId="CBDH5">
    <w:name w:val="CBD_H5"/>
    <w:basedOn w:val="CBDNormal"/>
    <w:qFormat/>
    <w:rsid w:val="009F3F4F"/>
    <w:pPr>
      <w:keepNext/>
      <w:keepLines/>
      <w:spacing w:before="120" w:after="120"/>
      <w:ind w:left="567" w:hanging="567"/>
      <w:jc w:val="left"/>
    </w:pPr>
    <w:rPr>
      <w:i/>
    </w:rPr>
  </w:style>
  <w:style w:type="paragraph" w:customStyle="1" w:styleId="CBDTableNormal">
    <w:name w:val="CBD_TableNormal"/>
    <w:basedOn w:val="CBDNormal"/>
    <w:qFormat/>
    <w:rsid w:val="009F3F4F"/>
    <w:pPr>
      <w:spacing w:before="40" w:after="80"/>
      <w:jc w:val="left"/>
    </w:pPr>
    <w:rPr>
      <w:sz w:val="20"/>
    </w:rPr>
  </w:style>
  <w:style w:type="paragraph" w:customStyle="1" w:styleId="CBDTableTitle">
    <w:name w:val="CBD_TableTitle"/>
    <w:basedOn w:val="CBDNormal"/>
    <w:qFormat/>
    <w:rsid w:val="009F3F4F"/>
    <w:pPr>
      <w:keepNext/>
      <w:keepLines/>
      <w:spacing w:before="120" w:after="60"/>
      <w:ind w:left="567"/>
      <w:jc w:val="left"/>
    </w:pPr>
    <w:rPr>
      <w:b/>
    </w:rPr>
  </w:style>
  <w:style w:type="paragraph" w:customStyle="1" w:styleId="CBDFigureTitle">
    <w:name w:val="CBD_FigureTitle"/>
    <w:basedOn w:val="CBDNormal"/>
    <w:next w:val="CBDNormalNoNumber"/>
    <w:qFormat/>
    <w:rsid w:val="009F3F4F"/>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43334"/>
    <w:rPr>
      <w:b/>
      <w:bCs/>
      <w:i/>
      <w:iCs/>
      <w:spacing w:val="5"/>
      <w:lang w:val="en-GB"/>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43334"/>
    <w:rPr>
      <w:i/>
      <w:iCs/>
      <w:lang w:val="en-GB"/>
    </w:rPr>
  </w:style>
  <w:style w:type="character" w:styleId="EndnoteReference">
    <w:name w:val="endnote reference"/>
    <w:basedOn w:val="DefaultParagraphFont"/>
    <w:uiPriority w:val="99"/>
    <w:semiHidden/>
    <w:unhideWhenUsed/>
    <w:rsid w:val="00A43334"/>
    <w:rPr>
      <w:vertAlign w:val="superscript"/>
      <w:lang w:val="en-GB"/>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n-GB"/>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43334"/>
    <w:rPr>
      <w:color w:val="2B579A"/>
      <w:shd w:val="clear" w:color="auto" w:fill="E1DFDD"/>
      <w:lang w:val="en-GB"/>
    </w:rPr>
  </w:style>
  <w:style w:type="character" w:styleId="HTMLAcronym">
    <w:name w:val="HTML Acronym"/>
    <w:basedOn w:val="DefaultParagraphFont"/>
    <w:uiPriority w:val="99"/>
    <w:semiHidden/>
    <w:unhideWhenUsed/>
    <w:rsid w:val="00A43334"/>
    <w:rPr>
      <w:lang w:val="en-GB"/>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43334"/>
    <w:rPr>
      <w:i/>
      <w:iCs/>
      <w:lang w:val="en-GB"/>
    </w:rPr>
  </w:style>
  <w:style w:type="character" w:styleId="HTMLCode">
    <w:name w:val="HTML Code"/>
    <w:basedOn w:val="DefaultParagraphFont"/>
    <w:uiPriority w:val="99"/>
    <w:semiHidden/>
    <w:unhideWhenUsed/>
    <w:rsid w:val="00A43334"/>
    <w:rPr>
      <w:rFonts w:ascii="Consolas" w:hAnsi="Consolas"/>
      <w:sz w:val="20"/>
      <w:szCs w:val="20"/>
      <w:lang w:val="en-GB"/>
    </w:rPr>
  </w:style>
  <w:style w:type="character" w:styleId="HTMLDefinition">
    <w:name w:val="HTML Definition"/>
    <w:basedOn w:val="DefaultParagraphFont"/>
    <w:uiPriority w:val="99"/>
    <w:semiHidden/>
    <w:unhideWhenUsed/>
    <w:rsid w:val="00A43334"/>
    <w:rPr>
      <w:i/>
      <w:iCs/>
      <w:lang w:val="en-GB"/>
    </w:rPr>
  </w:style>
  <w:style w:type="character" w:styleId="HTMLKeyboard">
    <w:name w:val="HTML Keyboard"/>
    <w:basedOn w:val="DefaultParagraphFont"/>
    <w:uiPriority w:val="99"/>
    <w:semiHidden/>
    <w:unhideWhenUsed/>
    <w:rsid w:val="00A4333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43334"/>
    <w:rPr>
      <w:rFonts w:ascii="Consolas" w:hAnsi="Consolas"/>
      <w:sz w:val="24"/>
      <w:szCs w:val="24"/>
      <w:lang w:val="en-GB"/>
    </w:rPr>
  </w:style>
  <w:style w:type="character" w:styleId="HTMLTypewriter">
    <w:name w:val="HTML Typewriter"/>
    <w:basedOn w:val="DefaultParagraphFont"/>
    <w:uiPriority w:val="99"/>
    <w:semiHidden/>
    <w:unhideWhenUsed/>
    <w:rsid w:val="00A43334"/>
    <w:rPr>
      <w:rFonts w:ascii="Consolas" w:hAnsi="Consolas"/>
      <w:sz w:val="20"/>
      <w:szCs w:val="20"/>
      <w:lang w:val="en-GB"/>
    </w:rPr>
  </w:style>
  <w:style w:type="character" w:styleId="HTMLVariable">
    <w:name w:val="HTML Variable"/>
    <w:basedOn w:val="DefaultParagraphFon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n-GB"/>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n-GB"/>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n-GB"/>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tabs>
        <w:tab w:val="num" w:pos="360"/>
      </w:tabs>
      <w:ind w:left="360" w:hanging="360"/>
      <w:contextualSpacing/>
    </w:pPr>
  </w:style>
  <w:style w:type="paragraph" w:styleId="ListBullet2">
    <w:name w:val="List Bullet 2"/>
    <w:basedOn w:val="Normal"/>
    <w:uiPriority w:val="99"/>
    <w:semiHidden/>
    <w:unhideWhenUsed/>
    <w:rsid w:val="00A43334"/>
    <w:pPr>
      <w:tabs>
        <w:tab w:val="num" w:pos="643"/>
      </w:tabs>
      <w:ind w:left="643" w:hanging="360"/>
      <w:contextualSpacing/>
    </w:pPr>
  </w:style>
  <w:style w:type="paragraph" w:styleId="ListBullet3">
    <w:name w:val="List Bullet 3"/>
    <w:basedOn w:val="Normal"/>
    <w:uiPriority w:val="99"/>
    <w:semiHidden/>
    <w:unhideWhenUsed/>
    <w:rsid w:val="00A43334"/>
    <w:pPr>
      <w:tabs>
        <w:tab w:val="num" w:pos="926"/>
      </w:tabs>
      <w:ind w:left="926" w:hanging="360"/>
      <w:contextualSpacing/>
    </w:pPr>
  </w:style>
  <w:style w:type="paragraph" w:styleId="ListBullet4">
    <w:name w:val="List Bullet 4"/>
    <w:basedOn w:val="Normal"/>
    <w:uiPriority w:val="99"/>
    <w:semiHidden/>
    <w:unhideWhenUsed/>
    <w:rsid w:val="00A43334"/>
    <w:pPr>
      <w:tabs>
        <w:tab w:val="num" w:pos="1209"/>
      </w:tabs>
      <w:ind w:left="1209" w:hanging="360"/>
      <w:contextualSpacing/>
    </w:pPr>
  </w:style>
  <w:style w:type="paragraph" w:styleId="ListBullet5">
    <w:name w:val="List Bullet 5"/>
    <w:basedOn w:val="Normal"/>
    <w:uiPriority w:val="99"/>
    <w:semiHidden/>
    <w:unhideWhenUsed/>
    <w:rsid w:val="00A43334"/>
    <w:pPr>
      <w:tabs>
        <w:tab w:val="num" w:pos="1492"/>
      </w:tabs>
      <w:ind w:left="1492" w:hanging="360"/>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tabs>
        <w:tab w:val="num" w:pos="360"/>
      </w:tabs>
      <w:ind w:left="360" w:hanging="360"/>
      <w:contextualSpacing/>
    </w:pPr>
  </w:style>
  <w:style w:type="paragraph" w:styleId="ListNumber2">
    <w:name w:val="List Number 2"/>
    <w:basedOn w:val="Normal"/>
    <w:uiPriority w:val="99"/>
    <w:semiHidden/>
    <w:unhideWhenUsed/>
    <w:rsid w:val="00A43334"/>
    <w:pPr>
      <w:tabs>
        <w:tab w:val="num" w:pos="643"/>
      </w:tabs>
      <w:ind w:left="643" w:hanging="360"/>
      <w:contextualSpacing/>
    </w:pPr>
  </w:style>
  <w:style w:type="paragraph" w:styleId="ListNumber3">
    <w:name w:val="List Number 3"/>
    <w:basedOn w:val="Normal"/>
    <w:uiPriority w:val="99"/>
    <w:semiHidden/>
    <w:unhideWhenUsed/>
    <w:rsid w:val="00A43334"/>
    <w:pPr>
      <w:tabs>
        <w:tab w:val="num" w:pos="926"/>
      </w:tabs>
      <w:ind w:left="926" w:hanging="360"/>
      <w:contextualSpacing/>
    </w:pPr>
  </w:style>
  <w:style w:type="paragraph" w:styleId="ListNumber4">
    <w:name w:val="List Number 4"/>
    <w:basedOn w:val="Normal"/>
    <w:uiPriority w:val="99"/>
    <w:semiHidden/>
    <w:unhideWhenUsed/>
    <w:rsid w:val="00A43334"/>
    <w:pPr>
      <w:tabs>
        <w:tab w:val="num" w:pos="1209"/>
      </w:tabs>
      <w:ind w:left="1209" w:hanging="360"/>
      <w:contextualSpacing/>
    </w:pPr>
  </w:style>
  <w:style w:type="paragraph" w:styleId="ListNumber5">
    <w:name w:val="List Number 5"/>
    <w:basedOn w:val="Normal"/>
    <w:uiPriority w:val="99"/>
    <w:semiHidden/>
    <w:unhideWhenUsed/>
    <w:rsid w:val="00A43334"/>
    <w:pPr>
      <w:tabs>
        <w:tab w:val="num" w:pos="1800"/>
      </w:tabs>
      <w:ind w:left="1800" w:hanging="360"/>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43334"/>
    <w:rPr>
      <w:color w:val="2B579A"/>
      <w:shd w:val="clear" w:color="auto" w:fill="E1DFDD"/>
      <w:lang w:val="en-GB"/>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43334"/>
    <w:rPr>
      <w:lang w:val="en-GB"/>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A43334"/>
    <w:rPr>
      <w:u w:val="dotted"/>
      <w:lang w:val="en-GB"/>
    </w:rPr>
  </w:style>
  <w:style w:type="character" w:customStyle="1" w:styleId="SmartLink1">
    <w:name w:val="SmartLink1"/>
    <w:basedOn w:val="DefaultParagraphFont"/>
    <w:uiPriority w:val="99"/>
    <w:semiHidden/>
    <w:unhideWhenUsed/>
    <w:rsid w:val="00A43334"/>
    <w:rPr>
      <w:color w:val="0000FF"/>
      <w:u w:val="single"/>
      <w:shd w:val="clear" w:color="auto" w:fill="F3F2F1"/>
      <w:lang w:val="en-GB"/>
    </w:rPr>
  </w:style>
  <w:style w:type="character" w:styleId="Strong">
    <w:name w:val="Strong"/>
    <w:basedOn w:val="DefaultParagraphFont"/>
    <w:uiPriority w:val="22"/>
    <w:qFormat/>
    <w:rsid w:val="00A43334"/>
    <w:rPr>
      <w:b/>
      <w:bCs/>
      <w:lang w:val="en-GB"/>
    </w:rPr>
  </w:style>
  <w:style w:type="character" w:styleId="SubtleEmphasis">
    <w:name w:val="Subtle Emphasis"/>
    <w:basedOn w:val="DefaultParagraphFont"/>
    <w:uiPriority w:val="19"/>
    <w:qFormat/>
    <w:rsid w:val="00A43334"/>
    <w:rPr>
      <w:i/>
      <w:iCs/>
      <w:color w:val="404040" w:themeColor="text1" w:themeTint="BF"/>
      <w:lang w:val="en-GB"/>
    </w:rPr>
  </w:style>
  <w:style w:type="character" w:styleId="SubtleReference">
    <w:name w:val="Subtle Reference"/>
    <w:basedOn w:val="DefaultParagraphFont"/>
    <w:uiPriority w:val="31"/>
    <w:qFormat/>
    <w:rsid w:val="00A43334"/>
    <w:rPr>
      <w:smallCaps/>
      <w:color w:val="5A5A5A" w:themeColor="text1" w:themeTint="A5"/>
      <w:lang w:val="en-GB"/>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CBDNormal"/>
    <w:next w:val="Normal"/>
    <w:autoRedefine/>
    <w:uiPriority w:val="39"/>
    <w:unhideWhenUsed/>
    <w:rsid w:val="009F3F4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9F3F4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9F3F4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9F3F4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43334"/>
    <w:rPr>
      <w:color w:val="605E5C"/>
      <w:shd w:val="clear" w:color="auto" w:fill="E1DFDD"/>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AC5CD9"/>
    <w:rPr>
      <w:rFonts w:ascii="Times New Roman" w:eastAsia="SimSun" w:hAnsi="Times New Roman" w:cs="Times New Roman"/>
      <w:kern w:val="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5CD9"/>
    <w:pPr>
      <w:tabs>
        <w:tab w:val="clear" w:pos="567"/>
        <w:tab w:val="clear" w:pos="1134"/>
        <w:tab w:val="clear" w:pos="1701"/>
        <w:tab w:val="clear" w:pos="2268"/>
      </w:tabs>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msonormal0">
    <w:name w:val="msonormal"/>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5">
    <w:name w:val="xl65"/>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6">
    <w:name w:val="xl6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7">
    <w:name w:val="xl6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8">
    <w:name w:val="xl6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69">
    <w:name w:val="xl6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0">
    <w:name w:val="xl7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1">
    <w:name w:val="xl71"/>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2">
    <w:name w:val="xl72"/>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color w:val="FF0000"/>
      <w:sz w:val="18"/>
      <w:szCs w:val="18"/>
      <w:lang w:eastAsia="en-CA"/>
    </w:rPr>
  </w:style>
  <w:style w:type="paragraph" w:customStyle="1" w:styleId="xl73">
    <w:name w:val="xl73"/>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4">
    <w:name w:val="xl74"/>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5">
    <w:name w:val="xl75"/>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color w:val="000000"/>
      <w:sz w:val="18"/>
      <w:szCs w:val="18"/>
      <w:lang w:eastAsia="en-CA"/>
    </w:rPr>
  </w:style>
  <w:style w:type="paragraph" w:customStyle="1" w:styleId="xl76">
    <w:name w:val="xl7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9">
    <w:name w:val="xl7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80">
    <w:name w:val="xl8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9F3F4F"/>
    <w:pPr>
      <w:jc w:val="left"/>
    </w:pPr>
  </w:style>
  <w:style w:type="paragraph" w:customStyle="1" w:styleId="AFCorNBold">
    <w:name w:val="AF_CorNBold"/>
    <w:basedOn w:val="AFCorNNormal"/>
    <w:next w:val="AFCorNNormal"/>
    <w:unhideWhenUsed/>
    <w:qFormat/>
    <w:rsid w:val="009F3F4F"/>
    <w:rPr>
      <w:b/>
    </w:rPr>
  </w:style>
  <w:style w:type="paragraph" w:customStyle="1" w:styleId="AFCorN12Bold">
    <w:name w:val="AF_CorN12Bold"/>
    <w:basedOn w:val="AFCorNNormal"/>
    <w:next w:val="AFCorNNormal"/>
    <w:unhideWhenUsed/>
    <w:qFormat/>
    <w:rsid w:val="009F3F4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8381">
      <w:bodyDiv w:val="1"/>
      <w:marLeft w:val="0"/>
      <w:marRight w:val="0"/>
      <w:marTop w:val="0"/>
      <w:marBottom w:val="0"/>
      <w:divBdr>
        <w:top w:val="none" w:sz="0" w:space="0" w:color="auto"/>
        <w:left w:val="none" w:sz="0" w:space="0" w:color="auto"/>
        <w:bottom w:val="none" w:sz="0" w:space="0" w:color="auto"/>
        <w:right w:val="none" w:sz="0" w:space="0" w:color="auto"/>
      </w:divBdr>
    </w:div>
    <w:div w:id="615409905">
      <w:bodyDiv w:val="1"/>
      <w:marLeft w:val="0"/>
      <w:marRight w:val="0"/>
      <w:marTop w:val="0"/>
      <w:marBottom w:val="0"/>
      <w:divBdr>
        <w:top w:val="none" w:sz="0" w:space="0" w:color="auto"/>
        <w:left w:val="none" w:sz="0" w:space="0" w:color="auto"/>
        <w:bottom w:val="none" w:sz="0" w:space="0" w:color="auto"/>
        <w:right w:val="none" w:sz="0" w:space="0" w:color="auto"/>
      </w:divBdr>
    </w:div>
    <w:div w:id="761219278">
      <w:bodyDiv w:val="1"/>
      <w:marLeft w:val="0"/>
      <w:marRight w:val="0"/>
      <w:marTop w:val="0"/>
      <w:marBottom w:val="0"/>
      <w:divBdr>
        <w:top w:val="none" w:sz="0" w:space="0" w:color="auto"/>
        <w:left w:val="none" w:sz="0" w:space="0" w:color="auto"/>
        <w:bottom w:val="none" w:sz="0" w:space="0" w:color="auto"/>
        <w:right w:val="none" w:sz="0" w:space="0" w:color="auto"/>
      </w:divBdr>
    </w:div>
    <w:div w:id="895821296">
      <w:bodyDiv w:val="1"/>
      <w:marLeft w:val="0"/>
      <w:marRight w:val="0"/>
      <w:marTop w:val="0"/>
      <w:marBottom w:val="0"/>
      <w:divBdr>
        <w:top w:val="none" w:sz="0" w:space="0" w:color="auto"/>
        <w:left w:val="none" w:sz="0" w:space="0" w:color="auto"/>
        <w:bottom w:val="none" w:sz="0" w:space="0" w:color="auto"/>
        <w:right w:val="none" w:sz="0" w:space="0" w:color="auto"/>
      </w:divBdr>
    </w:div>
    <w:div w:id="17816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B06AB7" w:rsidRDefault="00B70A19">
          <w:pPr>
            <w:pStyle w:val="D33A49AE65004D33B938255B064894F8"/>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0034AE"/>
    <w:rsid w:val="000945C5"/>
    <w:rsid w:val="000A56FC"/>
    <w:rsid w:val="000F2819"/>
    <w:rsid w:val="0013147F"/>
    <w:rsid w:val="00131772"/>
    <w:rsid w:val="00172A79"/>
    <w:rsid w:val="00251D70"/>
    <w:rsid w:val="002C32CD"/>
    <w:rsid w:val="00303F0B"/>
    <w:rsid w:val="00405378"/>
    <w:rsid w:val="00606E8E"/>
    <w:rsid w:val="006C09E3"/>
    <w:rsid w:val="006E7FA5"/>
    <w:rsid w:val="00787DA2"/>
    <w:rsid w:val="007B0846"/>
    <w:rsid w:val="007D67E4"/>
    <w:rsid w:val="008E2669"/>
    <w:rsid w:val="00924EF2"/>
    <w:rsid w:val="009D38AB"/>
    <w:rsid w:val="00AA3CB7"/>
    <w:rsid w:val="00B06AB7"/>
    <w:rsid w:val="00B70A19"/>
    <w:rsid w:val="00C301AA"/>
    <w:rsid w:val="00C30F4B"/>
    <w:rsid w:val="00C363C7"/>
    <w:rsid w:val="00E80D83"/>
    <w:rsid w:val="00F14208"/>
    <w:rsid w:val="00F40B0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3A49AE65004D33B938255B064894F8">
    <w:name w:val="D33A49AE65004D33B938255B0648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3B306EDA-BF7A-406E-A13F-DA8BE1D0510A}">
  <ds:schemaRefs>
    <ds:schemaRef ds:uri="http://schemas.openxmlformats.org/officeDocument/2006/bibliography"/>
  </ds:schemaRefs>
</ds:datastoreItem>
</file>

<file path=customXml/itemProps3.xml><?xml version="1.0" encoding="utf-8"?>
<ds:datastoreItem xmlns:ds="http://schemas.openxmlformats.org/officeDocument/2006/customXml" ds:itemID="{41DFAE42-9331-480E-AACB-68512AB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13</TotalTime>
  <Pages>7</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Administration of the Protocol and budget for the trust funds</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Cartagena sur la prévention des risques biotechnologiques le 6 décembre 2024</dc:title>
  <dc:subject>CBD/CP/MOP/11/L.12/Rev.1</dc:subject>
  <dc:creator>Secretariat of the Convention on Biological Diversity</dc:creator>
  <cp:keywords>Conference of the Parties to the Convention on Biological Diversity serving as the meeting of the Parties to the Cartagena Protocol on Biosafety</cp:keywords>
  <dc:description/>
  <cp:lastModifiedBy>Mariko Nishi</cp:lastModifiedBy>
  <cp:revision>12</cp:revision>
  <cp:lastPrinted>2024-11-02T11:44:00Z</cp:lastPrinted>
  <dcterms:created xsi:type="dcterms:W3CDTF">2024-12-10T21:42:00Z</dcterms:created>
  <dcterms:modified xsi:type="dcterms:W3CDTF">2024-12-11T13:04:00Z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ies>
</file>