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32" w:type="dxa"/>
        <w:tblInd w:w="-4" w:type="dxa"/>
        <w:tblBorders>
          <w:bottom w:val="single" w:sz="30" w:space="0" w:color="000000"/>
        </w:tblBorders>
        <w:tblLayout w:type="fixed"/>
        <w:tblLook w:val="0000"/>
      </w:tblPr>
      <w:tblGrid>
        <w:gridCol w:w="1371"/>
        <w:gridCol w:w="1260"/>
        <w:gridCol w:w="2611"/>
        <w:gridCol w:w="1710"/>
        <w:gridCol w:w="2880"/>
      </w:tblGrid>
      <w:tr w:rsidR="006531B4" w:rsidRPr="00711439" w:rsidTr="00B6332A">
        <w:tc>
          <w:tcPr>
            <w:tcW w:w="1371" w:type="dxa"/>
            <w:tcBorders>
              <w:bottom w:val="single" w:sz="12" w:space="0" w:color="000000"/>
            </w:tcBorders>
          </w:tcPr>
          <w:p w:rsidR="006531B4" w:rsidRPr="00711439" w:rsidRDefault="006531B4" w:rsidP="00B6332A">
            <w:pPr>
              <w:rPr>
                <w:rFonts w:eastAsia="Times New Roman" w:cs="Times New Roman"/>
                <w:noProof/>
                <w:sz w:val="24"/>
              </w:rPr>
            </w:pPr>
            <w:r w:rsidRPr="00021DE4">
              <w:rPr>
                <w:rFonts w:ascii="Cambria" w:hAnsi="Cambria" w:cs="Times New Roman"/>
                <w:noProof/>
                <w:kern w:val="22"/>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acintosh HD:Users:bilodeau:Desktop:logos:template 2017:un.emf" style="width:33.75pt;height:33pt;visibility:visible">
                  <v:imagedata r:id="rId7" o:title=""/>
                </v:shape>
              </w:pict>
            </w:r>
          </w:p>
        </w:tc>
        <w:tc>
          <w:tcPr>
            <w:tcW w:w="1260" w:type="dxa"/>
            <w:tcBorders>
              <w:bottom w:val="single" w:sz="12" w:space="0" w:color="000000"/>
            </w:tcBorders>
          </w:tcPr>
          <w:p w:rsidR="006531B4" w:rsidRPr="00711439" w:rsidRDefault="006531B4" w:rsidP="00B6332A">
            <w:pPr>
              <w:rPr>
                <w:rFonts w:eastAsia="Times New Roman" w:cs="Times New Roman"/>
                <w:sz w:val="24"/>
              </w:rPr>
            </w:pPr>
            <w:r w:rsidRPr="00021DE4">
              <w:rPr>
                <w:rFonts w:eastAsia="Times New Roman" w:cs="Times New Roman"/>
                <w:noProof/>
                <w:sz w:val="24"/>
                <w:lang w:val="en-US"/>
              </w:rPr>
              <w:pict>
                <v:shape id="Picture 16" o:spid="_x0000_i1026" type="#_x0000_t75" style="width:36.75pt;height:39.75pt;visibility:visible">
                  <v:imagedata r:id="rId8" o:title=""/>
                </v:shape>
              </w:pict>
            </w:r>
          </w:p>
        </w:tc>
        <w:tc>
          <w:tcPr>
            <w:tcW w:w="7201" w:type="dxa"/>
            <w:gridSpan w:val="3"/>
            <w:tcBorders>
              <w:bottom w:val="single" w:sz="12" w:space="0" w:color="000000"/>
            </w:tcBorders>
          </w:tcPr>
          <w:p w:rsidR="006531B4" w:rsidRPr="00711439" w:rsidRDefault="006531B4" w:rsidP="00B2334E">
            <w:pPr>
              <w:keepNext/>
              <w:spacing w:beforeLines="30"/>
              <w:jc w:val="right"/>
              <w:outlineLvl w:val="7"/>
              <w:rPr>
                <w:rFonts w:ascii="Arial" w:hAnsi="Arial" w:cs="Times New Roman"/>
                <w:b/>
                <w:sz w:val="32"/>
                <w:szCs w:val="32"/>
              </w:rPr>
            </w:pPr>
            <w:r w:rsidRPr="00711439">
              <w:rPr>
                <w:rFonts w:ascii="Arial" w:hAnsi="Arial" w:cs="Times New Roman"/>
                <w:b/>
                <w:sz w:val="32"/>
                <w:szCs w:val="32"/>
              </w:rPr>
              <w:t>CBD</w:t>
            </w:r>
          </w:p>
          <w:p w:rsidR="006531B4" w:rsidRPr="00711439" w:rsidRDefault="006531B4" w:rsidP="00B6332A">
            <w:pPr>
              <w:jc w:val="left"/>
              <w:rPr>
                <w:rFonts w:ascii="Univers" w:hAnsi="Univers" w:cs="Times New Roman"/>
                <w:b/>
                <w:sz w:val="36"/>
                <w:szCs w:val="36"/>
              </w:rPr>
            </w:pPr>
          </w:p>
        </w:tc>
      </w:tr>
      <w:tr w:rsidR="006531B4" w:rsidRPr="00711439" w:rsidTr="00B6332A">
        <w:trPr>
          <w:trHeight w:val="1693"/>
        </w:trPr>
        <w:tc>
          <w:tcPr>
            <w:tcW w:w="5242" w:type="dxa"/>
            <w:gridSpan w:val="3"/>
            <w:tcBorders>
              <w:bottom w:val="single" w:sz="30" w:space="0" w:color="000000"/>
            </w:tcBorders>
          </w:tcPr>
          <w:p w:rsidR="006531B4" w:rsidRPr="00711439" w:rsidRDefault="006531B4" w:rsidP="00B6332A">
            <w:pPr>
              <w:rPr>
                <w:rFonts w:eastAsia="Times New Roman" w:cs="Times New Roman"/>
                <w:sz w:val="16"/>
                <w:szCs w:val="16"/>
              </w:rPr>
            </w:pPr>
          </w:p>
          <w:p w:rsidR="006531B4" w:rsidRPr="00711439" w:rsidRDefault="006531B4" w:rsidP="00B6332A">
            <w:pPr>
              <w:rPr>
                <w:rFonts w:eastAsia="Times New Roman" w:cs="Times New Roman"/>
                <w:b/>
                <w:sz w:val="40"/>
                <w:szCs w:val="40"/>
              </w:rPr>
            </w:pPr>
            <w:r w:rsidRPr="00021DE4">
              <w:rPr>
                <w:rFonts w:eastAsia="Times New Roman" w:cs="Times New Roman"/>
                <w:b/>
                <w:noProof/>
                <w:sz w:val="40"/>
                <w:szCs w:val="40"/>
                <w:lang w:val="en-US"/>
              </w:rPr>
              <w:pict>
                <v:shape id="Picture 3" o:spid="_x0000_i1027" type="#_x0000_t75" alt="CBD_logo_ch-CMYK-black [Converted]" style="width:234pt;height:83.25pt;visibility:visible">
                  <v:imagedata r:id="rId9" o:title=""/>
                </v:shape>
              </w:pict>
            </w:r>
          </w:p>
          <w:p w:rsidR="006531B4" w:rsidRPr="00711439" w:rsidRDefault="006531B4" w:rsidP="00B6332A">
            <w:pPr>
              <w:rPr>
                <w:rFonts w:eastAsia="Times New Roman" w:cs="Times New Roman"/>
                <w:b/>
                <w:sz w:val="16"/>
                <w:szCs w:val="16"/>
              </w:rPr>
            </w:pPr>
          </w:p>
        </w:tc>
        <w:tc>
          <w:tcPr>
            <w:tcW w:w="1710" w:type="dxa"/>
            <w:tcBorders>
              <w:bottom w:val="single" w:sz="30" w:space="0" w:color="000000"/>
            </w:tcBorders>
          </w:tcPr>
          <w:p w:rsidR="006531B4" w:rsidRPr="00711439" w:rsidRDefault="006531B4" w:rsidP="00B6332A">
            <w:pPr>
              <w:rPr>
                <w:rFonts w:eastAsia="Times New Roman" w:cs="Times New Roman"/>
                <w:sz w:val="24"/>
              </w:rPr>
            </w:pPr>
          </w:p>
        </w:tc>
        <w:tc>
          <w:tcPr>
            <w:tcW w:w="2880" w:type="dxa"/>
            <w:tcBorders>
              <w:bottom w:val="single" w:sz="30" w:space="0" w:color="000000"/>
            </w:tcBorders>
          </w:tcPr>
          <w:p w:rsidR="006531B4" w:rsidRPr="00711439" w:rsidRDefault="006531B4" w:rsidP="00B6332A">
            <w:pPr>
              <w:spacing w:before="120"/>
              <w:rPr>
                <w:rFonts w:eastAsia="Times New Roman" w:cs="Times New Roman"/>
                <w:sz w:val="24"/>
              </w:rPr>
            </w:pPr>
            <w:r w:rsidRPr="00711439">
              <w:rPr>
                <w:rFonts w:eastAsia="Times New Roman" w:cs="Times New Roman"/>
                <w:sz w:val="24"/>
              </w:rPr>
              <w:t xml:space="preserve">Distr. </w:t>
            </w:r>
          </w:p>
          <w:p w:rsidR="006531B4" w:rsidRPr="00711439" w:rsidRDefault="006531B4" w:rsidP="00B6332A">
            <w:pPr>
              <w:spacing w:after="120"/>
              <w:rPr>
                <w:rFonts w:eastAsia="Times New Roman" w:cs="Times New Roman"/>
                <w:sz w:val="24"/>
              </w:rPr>
            </w:pPr>
            <w:r>
              <w:rPr>
                <w:rFonts w:eastAsia="Times New Roman" w:cs="Times New Roman"/>
                <w:sz w:val="24"/>
              </w:rPr>
              <w:t>GENERAL</w:t>
            </w:r>
          </w:p>
          <w:p w:rsidR="006531B4" w:rsidRPr="00711439" w:rsidRDefault="006531B4" w:rsidP="00B6332A">
            <w:pPr>
              <w:rPr>
                <w:rFonts w:eastAsia="Times New Roman" w:cs="Times New Roman"/>
                <w:sz w:val="24"/>
              </w:rPr>
            </w:pPr>
            <w:r w:rsidRPr="009B7177">
              <w:rPr>
                <w:rFonts w:eastAsia="Times New Roman"/>
                <w:kern w:val="22"/>
                <w:sz w:val="24"/>
                <w:lang w:bidi="th-TH"/>
              </w:rPr>
              <w:t>CBD/NP/MOP/</w:t>
            </w:r>
            <w:smartTag w:uri="urn:schemas-microsoft-com:office:smarttags" w:element="chsdate">
              <w:smartTagPr>
                <w:attr w:name="IsROCDate" w:val="False"/>
                <w:attr w:name="IsLunarDate" w:val="False"/>
                <w:attr w:name="Day" w:val="3"/>
                <w:attr w:name="Month" w:val="12"/>
                <w:attr w:name="Year" w:val="2001"/>
              </w:smartTagPr>
              <w:r w:rsidRPr="009B7177">
                <w:rPr>
                  <w:rFonts w:eastAsia="Times New Roman"/>
                  <w:kern w:val="22"/>
                  <w:sz w:val="24"/>
                  <w:lang w:bidi="th-TH"/>
                </w:rPr>
                <w:t>DEC/3/1</w:t>
              </w:r>
            </w:smartTag>
          </w:p>
          <w:p w:rsidR="006531B4" w:rsidRPr="00711439" w:rsidRDefault="006531B4" w:rsidP="00B6332A">
            <w:pPr>
              <w:spacing w:after="120"/>
              <w:rPr>
                <w:rFonts w:eastAsia="Times New Roman" w:cs="Times New Roman"/>
                <w:sz w:val="24"/>
              </w:rPr>
            </w:pPr>
            <w:r>
              <w:rPr>
                <w:rFonts w:eastAsia="Times New Roman" w:cs="Times New Roman"/>
                <w:sz w:val="24"/>
              </w:rPr>
              <w:t>30 Nov</w:t>
            </w:r>
            <w:r w:rsidRPr="00711439">
              <w:rPr>
                <w:rFonts w:eastAsia="Times New Roman" w:cs="Times New Roman"/>
                <w:sz w:val="24"/>
              </w:rPr>
              <w:t>ember 2018</w:t>
            </w:r>
          </w:p>
          <w:p w:rsidR="006531B4" w:rsidRPr="00711439" w:rsidRDefault="006531B4" w:rsidP="00B6332A">
            <w:pPr>
              <w:rPr>
                <w:rFonts w:eastAsia="Times New Roman" w:cs="Times New Roman"/>
                <w:sz w:val="24"/>
              </w:rPr>
            </w:pPr>
            <w:r w:rsidRPr="00711439">
              <w:rPr>
                <w:rFonts w:eastAsia="Times New Roman" w:cs="Times New Roman"/>
                <w:sz w:val="24"/>
              </w:rPr>
              <w:t>CHINESE</w:t>
            </w:r>
          </w:p>
          <w:p w:rsidR="006531B4" w:rsidRPr="00711439" w:rsidRDefault="006531B4" w:rsidP="00B6332A">
            <w:pPr>
              <w:spacing w:after="120"/>
              <w:rPr>
                <w:rFonts w:ascii="Courier New" w:hAnsi="Courier New" w:cs="Times New Roman"/>
              </w:rPr>
            </w:pPr>
            <w:r w:rsidRPr="00711439">
              <w:rPr>
                <w:rFonts w:eastAsia="Times New Roman" w:cs="Times New Roman"/>
                <w:sz w:val="24"/>
              </w:rPr>
              <w:t>ORIGINAL: ENGLISH</w:t>
            </w:r>
          </w:p>
        </w:tc>
      </w:tr>
    </w:tbl>
    <w:p w:rsidR="006531B4" w:rsidRPr="008C12DE" w:rsidRDefault="006531B4" w:rsidP="00A86AC1">
      <w:pPr>
        <w:snapToGrid w:val="0"/>
        <w:spacing w:before="60"/>
        <w:jc w:val="left"/>
        <w:rPr>
          <w:rFonts w:eastAsia="Times New Roman" w:cs="Times New Roman"/>
          <w:sz w:val="24"/>
          <w:lang w:val="en-US"/>
        </w:rPr>
      </w:pPr>
      <w:r w:rsidRPr="008C12DE">
        <w:rPr>
          <w:rFonts w:ascii="宋体" w:hAnsi="宋体" w:cs="宋体" w:hint="eastAsia"/>
          <w:sz w:val="24"/>
          <w:lang w:val="en-US"/>
        </w:rPr>
        <w:t>作为关于获取遗传资源和公正和公平分享其利用所</w:t>
      </w:r>
    </w:p>
    <w:p w:rsidR="006531B4" w:rsidRPr="008C12DE" w:rsidRDefault="006531B4" w:rsidP="0017521F">
      <w:pPr>
        <w:snapToGrid w:val="0"/>
        <w:jc w:val="left"/>
        <w:rPr>
          <w:rFonts w:eastAsia="Times New Roman" w:cs="Times New Roman"/>
          <w:sz w:val="24"/>
          <w:lang w:val="en-US"/>
        </w:rPr>
      </w:pPr>
      <w:r w:rsidRPr="008C12DE">
        <w:rPr>
          <w:rFonts w:eastAsia="Times New Roman" w:cs="Times New Roman"/>
          <w:sz w:val="24"/>
          <w:lang w:val="en-US"/>
        </w:rPr>
        <w:t xml:space="preserve">  </w:t>
      </w:r>
      <w:r w:rsidRPr="008C12DE">
        <w:rPr>
          <w:rFonts w:ascii="宋体" w:hAnsi="宋体" w:cs="宋体" w:hint="eastAsia"/>
          <w:sz w:val="24"/>
          <w:lang w:val="en-US"/>
        </w:rPr>
        <w:t>产生惠益的名古屋议定书缔约方会议的生物多样</w:t>
      </w:r>
    </w:p>
    <w:p w:rsidR="006531B4" w:rsidRPr="008C12DE" w:rsidRDefault="006531B4" w:rsidP="0017521F">
      <w:pPr>
        <w:snapToGrid w:val="0"/>
        <w:jc w:val="left"/>
        <w:rPr>
          <w:rFonts w:eastAsia="Times New Roman" w:cs="Times New Roman"/>
          <w:sz w:val="24"/>
          <w:lang w:val="en-US"/>
        </w:rPr>
      </w:pPr>
      <w:r w:rsidRPr="008C12DE">
        <w:rPr>
          <w:rFonts w:eastAsia="Times New Roman" w:cs="Times New Roman"/>
          <w:sz w:val="24"/>
          <w:lang w:val="en-US"/>
        </w:rPr>
        <w:t xml:space="preserve">  </w:t>
      </w:r>
      <w:r w:rsidRPr="008C12DE">
        <w:rPr>
          <w:rFonts w:ascii="宋体" w:hAnsi="宋体" w:cs="宋体" w:hint="eastAsia"/>
          <w:sz w:val="24"/>
          <w:lang w:val="en-US"/>
        </w:rPr>
        <w:t>性公约缔约方大会</w:t>
      </w:r>
    </w:p>
    <w:p w:rsidR="006531B4" w:rsidRPr="00785B1E" w:rsidRDefault="006531B4" w:rsidP="00CA5D1B">
      <w:pPr>
        <w:jc w:val="left"/>
        <w:rPr>
          <w:rFonts w:ascii="SimSun" w:hAnsi="SimSun" w:cs="Arial"/>
          <w:sz w:val="24"/>
          <w:lang w:val="en-US"/>
        </w:rPr>
      </w:pPr>
      <w:r w:rsidRPr="00785B1E">
        <w:rPr>
          <w:rFonts w:ascii="宋体" w:hAnsi="宋体" w:cs="宋体" w:hint="eastAsia"/>
          <w:sz w:val="24"/>
          <w:lang w:val="en-US"/>
        </w:rPr>
        <w:t>第三次会议</w:t>
      </w:r>
    </w:p>
    <w:p w:rsidR="006531B4" w:rsidRDefault="006531B4" w:rsidP="00CA5D1B">
      <w:pPr>
        <w:rPr>
          <w:rFonts w:ascii="SimSun" w:hAnsi="SimSun"/>
          <w:sz w:val="24"/>
          <w:lang w:bidi="th-TH"/>
        </w:rPr>
      </w:pPr>
      <w:smartTag w:uri="urn:schemas-microsoft-com:office:smarttags" w:element="chsdate">
        <w:smartTagPr>
          <w:attr w:name="IsROCDate" w:val="False"/>
          <w:attr w:name="IsLunarDate" w:val="False"/>
          <w:attr w:name="Day" w:val="22"/>
          <w:attr w:name="Month" w:val="3"/>
          <w:attr w:name="Year" w:val="2018"/>
        </w:smartTagPr>
        <w:r w:rsidRPr="00785B1E">
          <w:rPr>
            <w:rFonts w:eastAsia="Times New Roman" w:cs="Times New Roman"/>
            <w:sz w:val="24"/>
          </w:rPr>
          <w:t>2018</w:t>
        </w:r>
        <w:r w:rsidRPr="00785B1E">
          <w:rPr>
            <w:rFonts w:ascii="宋体" w:hAnsi="宋体" w:cs="宋体" w:hint="eastAsia"/>
            <w:sz w:val="24"/>
          </w:rPr>
          <w:t>年</w:t>
        </w:r>
        <w:r w:rsidRPr="00785B1E">
          <w:rPr>
            <w:rFonts w:eastAsia="Times New Roman" w:cs="Times New Roman"/>
            <w:sz w:val="24"/>
          </w:rPr>
          <w:t>11</w:t>
        </w:r>
        <w:r w:rsidRPr="00785B1E">
          <w:rPr>
            <w:rFonts w:ascii="宋体" w:hAnsi="宋体" w:cs="宋体" w:hint="eastAsia"/>
            <w:sz w:val="24"/>
          </w:rPr>
          <w:t>月</w:t>
        </w:r>
        <w:r w:rsidRPr="00785B1E">
          <w:rPr>
            <w:rFonts w:eastAsia="Times New Roman" w:cs="Times New Roman"/>
            <w:sz w:val="24"/>
          </w:rPr>
          <w:t>17</w:t>
        </w:r>
        <w:r w:rsidRPr="00785B1E">
          <w:rPr>
            <w:rFonts w:ascii="宋体" w:hAnsi="宋体" w:cs="宋体" w:hint="eastAsia"/>
            <w:sz w:val="24"/>
          </w:rPr>
          <w:t>日</w:t>
        </w:r>
      </w:smartTag>
      <w:r w:rsidRPr="00785B1E">
        <w:rPr>
          <w:rFonts w:ascii="宋体" w:hAnsi="宋体" w:cs="宋体" w:hint="eastAsia"/>
          <w:sz w:val="24"/>
        </w:rPr>
        <w:t>至</w:t>
      </w:r>
      <w:r w:rsidRPr="00785B1E">
        <w:rPr>
          <w:rFonts w:eastAsia="Times New Roman" w:cs="Times New Roman"/>
          <w:sz w:val="24"/>
        </w:rPr>
        <w:t>29</w:t>
      </w:r>
      <w:r w:rsidRPr="00785B1E">
        <w:rPr>
          <w:rFonts w:ascii="宋体" w:hAnsi="宋体" w:cs="宋体" w:hint="eastAsia"/>
          <w:sz w:val="24"/>
        </w:rPr>
        <w:t>日，埃及沙姆沙伊赫</w:t>
      </w:r>
    </w:p>
    <w:p w:rsidR="006531B4" w:rsidRPr="00785B1E" w:rsidRDefault="006531B4" w:rsidP="00CA5D1B">
      <w:pPr>
        <w:jc w:val="left"/>
        <w:rPr>
          <w:rFonts w:ascii="SimSun" w:hAnsi="SimSun" w:cs="Microsoft YaHei"/>
          <w:sz w:val="24"/>
          <w:lang w:val="en-US"/>
        </w:rPr>
      </w:pPr>
      <w:r w:rsidRPr="00785B1E">
        <w:rPr>
          <w:rFonts w:ascii="宋体" w:hAnsi="宋体" w:cs="宋体" w:hint="eastAsia"/>
          <w:sz w:val="24"/>
          <w:lang w:val="en-US"/>
        </w:rPr>
        <w:t>议程项目</w:t>
      </w:r>
      <w:r>
        <w:rPr>
          <w:rFonts w:ascii="SimSun" w:hAnsi="SimSun" w:cs="Microsoft YaHei"/>
          <w:sz w:val="24"/>
          <w:lang w:val="en-US"/>
        </w:rPr>
        <w:t>7</w:t>
      </w:r>
    </w:p>
    <w:p w:rsidR="006531B4" w:rsidRPr="00F43CE7" w:rsidRDefault="006531B4" w:rsidP="00300CB2">
      <w:pPr>
        <w:keepNext/>
        <w:spacing w:before="240" w:after="240"/>
        <w:jc w:val="center"/>
        <w:outlineLvl w:val="1"/>
        <w:rPr>
          <w:rFonts w:ascii="宋体" w:cs="宋体"/>
          <w:b/>
          <w:bCs/>
          <w:iCs/>
          <w:sz w:val="28"/>
          <w:szCs w:val="28"/>
          <w:lang w:val="en-US"/>
        </w:rPr>
      </w:pPr>
      <w:bookmarkStart w:id="0" w:name="_Toc527556172"/>
      <w:r w:rsidRPr="00F808CC">
        <w:rPr>
          <w:rFonts w:ascii="宋体" w:hAnsi="宋体" w:cs="宋体" w:hint="eastAsia"/>
          <w:b/>
          <w:bCs/>
          <w:iCs/>
          <w:sz w:val="28"/>
          <w:szCs w:val="28"/>
        </w:rPr>
        <w:t>关于获取遗传资源和惠益分享的名古屋议定书缔约方通过的决定</w:t>
      </w:r>
    </w:p>
    <w:p w:rsidR="006531B4" w:rsidRPr="00F808CC" w:rsidRDefault="006531B4" w:rsidP="00E650A4">
      <w:pPr>
        <w:keepNext/>
        <w:spacing w:before="240" w:after="240"/>
        <w:jc w:val="center"/>
        <w:outlineLvl w:val="1"/>
        <w:rPr>
          <w:rFonts w:eastAsia="Times New Roman" w:cs="Times New Roman"/>
          <w:b/>
          <w:bCs/>
          <w:iCs/>
          <w:sz w:val="24"/>
        </w:rPr>
      </w:pPr>
      <w:r w:rsidRPr="00F808CC">
        <w:rPr>
          <w:rFonts w:cs="Times New Roman"/>
          <w:b/>
          <w:bCs/>
          <w:iCs/>
          <w:sz w:val="24"/>
        </w:rPr>
        <w:t>3/1.</w:t>
      </w:r>
      <w:r w:rsidRPr="00F808CC">
        <w:rPr>
          <w:rFonts w:cs="Times New Roman"/>
          <w:b/>
          <w:bCs/>
          <w:iCs/>
          <w:sz w:val="24"/>
        </w:rPr>
        <w:tab/>
      </w:r>
      <w:r w:rsidRPr="00F808CC">
        <w:rPr>
          <w:rFonts w:ascii="宋体" w:hAnsi="宋体" w:cs="宋体" w:hint="eastAsia"/>
          <w:b/>
          <w:bCs/>
          <w:iCs/>
          <w:sz w:val="24"/>
        </w:rPr>
        <w:t>评估和审查《议定书》的成效（第</w:t>
      </w:r>
      <w:r w:rsidRPr="00F808CC">
        <w:rPr>
          <w:rFonts w:eastAsia="Times New Roman" w:cs="Times New Roman"/>
          <w:b/>
          <w:bCs/>
          <w:iCs/>
          <w:sz w:val="24"/>
        </w:rPr>
        <w:t>31</w:t>
      </w:r>
      <w:r w:rsidRPr="00F808CC">
        <w:rPr>
          <w:rFonts w:ascii="宋体" w:hAnsi="宋体" w:cs="宋体" w:hint="eastAsia"/>
          <w:b/>
          <w:bCs/>
          <w:iCs/>
          <w:sz w:val="24"/>
        </w:rPr>
        <w:t>条）</w:t>
      </w:r>
      <w:bookmarkEnd w:id="0"/>
    </w:p>
    <w:p w:rsidR="006531B4" w:rsidRPr="00E650A4" w:rsidRDefault="006531B4" w:rsidP="00A86AC1">
      <w:pPr>
        <w:keepNext/>
        <w:spacing w:before="120" w:after="120"/>
        <w:jc w:val="center"/>
        <w:rPr>
          <w:rFonts w:cs="Times New Roman"/>
          <w:b/>
          <w:snapToGrid w:val="0"/>
          <w:kern w:val="22"/>
          <w:sz w:val="24"/>
        </w:rPr>
      </w:pPr>
      <w:bookmarkStart w:id="1" w:name="_Ref314474052"/>
      <w:r>
        <w:rPr>
          <w:rFonts w:cs="Times New Roman"/>
          <w:b/>
          <w:snapToGrid w:val="0"/>
          <w:kern w:val="22"/>
          <w:sz w:val="24"/>
        </w:rPr>
        <w:t xml:space="preserve">A.  </w:t>
      </w:r>
      <w:r w:rsidRPr="00E650A4">
        <w:rPr>
          <w:rFonts w:ascii="宋体" w:hAnsi="宋体" w:cs="宋体" w:hint="eastAsia"/>
          <w:b/>
          <w:snapToGrid w:val="0"/>
          <w:kern w:val="22"/>
          <w:sz w:val="24"/>
        </w:rPr>
        <w:t>《议定书》成效的第一次评估和审查</w:t>
      </w:r>
    </w:p>
    <w:p w:rsidR="006531B4" w:rsidRPr="00E650A4" w:rsidRDefault="006531B4" w:rsidP="00E650A4">
      <w:pPr>
        <w:widowControl w:val="0"/>
        <w:suppressLineNumbers/>
        <w:suppressAutoHyphens/>
        <w:adjustRightInd w:val="0"/>
        <w:spacing w:before="120" w:after="120" w:line="240" w:lineRule="atLeast"/>
        <w:ind w:firstLine="720"/>
        <w:rPr>
          <w:rFonts w:ascii="KaiTi" w:eastAsia="KaiTi" w:hAnsi="KaiTi" w:cs="Times New Roman"/>
          <w:i/>
          <w:snapToGrid w:val="0"/>
          <w:kern w:val="22"/>
          <w:sz w:val="24"/>
        </w:rPr>
      </w:pPr>
      <w:r w:rsidRPr="00E650A4">
        <w:rPr>
          <w:rFonts w:ascii="KaiTi" w:eastAsia="KaiTi" w:hAnsi="KaiTi" w:cs="Times New Roman" w:hint="eastAsia"/>
          <w:snapToGrid w:val="0"/>
          <w:kern w:val="22"/>
          <w:sz w:val="24"/>
          <w:lang w:val="zh-CN"/>
        </w:rPr>
        <w:t>作为名古屋议定书缔约方会议的缔约方大会</w:t>
      </w:r>
      <w:r w:rsidRPr="00E650A4">
        <w:rPr>
          <w:rFonts w:ascii="KaiTi" w:eastAsia="KaiTi" w:hAnsi="KaiTi" w:cs="Times New Roman"/>
          <w:snapToGrid w:val="0"/>
          <w:kern w:val="22"/>
          <w:sz w:val="24"/>
        </w:rPr>
        <w:t xml:space="preserve"> </w:t>
      </w:r>
    </w:p>
    <w:p w:rsidR="006531B4" w:rsidRPr="00E650A4" w:rsidRDefault="006531B4" w:rsidP="000222E7">
      <w:pPr>
        <w:widowControl w:val="0"/>
        <w:numPr>
          <w:ilvl w:val="0"/>
          <w:numId w:val="35"/>
        </w:numPr>
        <w:suppressLineNumbers/>
        <w:tabs>
          <w:tab w:val="left" w:pos="1440"/>
        </w:tabs>
        <w:suppressAutoHyphens/>
        <w:adjustRightInd w:val="0"/>
        <w:snapToGrid w:val="0"/>
        <w:spacing w:before="120" w:after="120" w:line="240" w:lineRule="atLeast"/>
        <w:ind w:left="0" w:firstLine="720"/>
        <w:rPr>
          <w:rFonts w:ascii="SimSun" w:cs="Times New Roman"/>
          <w:snapToGrid w:val="0"/>
          <w:kern w:val="22"/>
          <w:sz w:val="24"/>
        </w:rPr>
      </w:pPr>
      <w:r w:rsidRPr="00E650A4">
        <w:rPr>
          <w:rFonts w:ascii="KaiTi" w:eastAsia="KaiTi" w:cs="Times New Roman" w:hint="eastAsia"/>
          <w:snapToGrid w:val="0"/>
          <w:kern w:val="22"/>
          <w:sz w:val="24"/>
          <w:lang w:val="zh-CN"/>
        </w:rPr>
        <w:t>表示注意到</w:t>
      </w:r>
      <w:r w:rsidRPr="00E650A4">
        <w:rPr>
          <w:rFonts w:ascii="宋体" w:hAnsi="宋体" w:cs="宋体" w:hint="eastAsia"/>
          <w:snapToGrid w:val="0"/>
          <w:kern w:val="22"/>
          <w:sz w:val="24"/>
          <w:lang w:val="zh-CN"/>
        </w:rPr>
        <w:t>附件一所载《议定书》第一次评估和审查的主要结论</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包括履约委员会</w:t>
      </w:r>
      <w:r>
        <w:rPr>
          <w:rFonts w:ascii="宋体" w:hAnsi="宋体" w:cs="宋体" w:hint="eastAsia"/>
          <w:snapToGrid w:val="0"/>
          <w:kern w:val="22"/>
          <w:sz w:val="24"/>
          <w:lang w:val="zh-CN"/>
        </w:rPr>
        <w:t>提</w:t>
      </w:r>
      <w:r>
        <w:rPr>
          <w:rFonts w:ascii="宋体" w:hAnsi="宋体" w:cs="宋体" w:hint="eastAsia"/>
          <w:snapToGrid w:val="0"/>
          <w:kern w:val="22"/>
          <w:sz w:val="24"/>
          <w:lang w:val="en-US"/>
        </w:rPr>
        <w:t>出的</w:t>
      </w:r>
      <w:r w:rsidRPr="00E650A4">
        <w:rPr>
          <w:rFonts w:ascii="宋体" w:hAnsi="宋体" w:cs="宋体" w:hint="eastAsia"/>
          <w:snapToGrid w:val="0"/>
          <w:kern w:val="22"/>
          <w:sz w:val="24"/>
          <w:lang w:val="zh-CN"/>
        </w:rPr>
        <w:t>意见</w:t>
      </w:r>
      <w:r w:rsidRPr="00E650A4">
        <w:rPr>
          <w:rFonts w:ascii="宋体" w:hAnsi="宋体" w:cs="宋体" w:hint="eastAsia"/>
          <w:snapToGrid w:val="0"/>
          <w:kern w:val="22"/>
          <w:sz w:val="24"/>
        </w:rPr>
        <w:t>；</w:t>
      </w:r>
    </w:p>
    <w:p w:rsidR="006531B4" w:rsidRPr="00E650A4" w:rsidRDefault="006531B4" w:rsidP="000222E7">
      <w:pPr>
        <w:widowControl w:val="0"/>
        <w:numPr>
          <w:ilvl w:val="0"/>
          <w:numId w:val="35"/>
        </w:numPr>
        <w:suppressLineNumbers/>
        <w:tabs>
          <w:tab w:val="left" w:pos="1440"/>
        </w:tabs>
        <w:suppressAutoHyphens/>
        <w:adjustRightInd w:val="0"/>
        <w:snapToGrid w:val="0"/>
        <w:spacing w:before="120" w:after="120" w:line="240" w:lineRule="atLeast"/>
        <w:ind w:left="0" w:firstLine="720"/>
        <w:rPr>
          <w:rFonts w:ascii="SimSun" w:hAnsi="SimSun" w:cs="Times New Roman"/>
          <w:snapToGrid w:val="0"/>
          <w:kern w:val="22"/>
          <w:sz w:val="24"/>
        </w:rPr>
      </w:pPr>
      <w:r w:rsidRPr="00E650A4">
        <w:rPr>
          <w:rFonts w:ascii="KaiTi" w:eastAsia="KaiTi" w:cs="Times New Roman" w:hint="eastAsia"/>
          <w:snapToGrid w:val="0"/>
          <w:kern w:val="22"/>
          <w:sz w:val="24"/>
          <w:lang w:val="zh-CN"/>
        </w:rPr>
        <w:t>欢迎</w:t>
      </w:r>
      <w:r w:rsidRPr="00E650A4">
        <w:rPr>
          <w:rFonts w:ascii="宋体" w:hAnsi="宋体" w:cs="宋体" w:hint="eastAsia"/>
          <w:snapToGrid w:val="0"/>
          <w:kern w:val="22"/>
          <w:sz w:val="24"/>
          <w:lang w:val="zh-CN"/>
        </w:rPr>
        <w:t>附件二中的指标框架</w:t>
      </w:r>
      <w:r w:rsidRPr="00E650A4">
        <w:rPr>
          <w:rFonts w:ascii="宋体" w:hAnsi="宋体" w:cs="宋体" w:hint="eastAsia"/>
          <w:snapToGrid w:val="0"/>
          <w:kern w:val="22"/>
          <w:sz w:val="24"/>
        </w:rPr>
        <w:t>，</w:t>
      </w:r>
      <w:r>
        <w:rPr>
          <w:rFonts w:ascii="宋体" w:hAnsi="宋体" w:cs="宋体" w:hint="eastAsia"/>
          <w:snapToGrid w:val="0"/>
          <w:kern w:val="22"/>
          <w:sz w:val="24"/>
        </w:rPr>
        <w:t>并</w:t>
      </w:r>
      <w:r w:rsidRPr="00E650A4">
        <w:rPr>
          <w:rFonts w:ascii="KaiTi" w:eastAsia="KaiTi" w:hAnsi="KaiTi" w:cs="Times New Roman" w:hint="eastAsia"/>
          <w:snapToGrid w:val="0"/>
          <w:kern w:val="22"/>
          <w:sz w:val="24"/>
          <w:lang w:val="zh-CN"/>
        </w:rPr>
        <w:t>同意</w:t>
      </w:r>
      <w:r w:rsidRPr="00E650A4">
        <w:rPr>
          <w:rFonts w:ascii="宋体" w:hAnsi="宋体" w:cs="宋体" w:hint="eastAsia"/>
          <w:snapToGrid w:val="0"/>
          <w:kern w:val="22"/>
          <w:sz w:val="24"/>
          <w:lang w:val="zh-CN"/>
        </w:rPr>
        <w:t>使用其中所载的参考点作为未来衡量进展的基准</w:t>
      </w:r>
      <w:r w:rsidRPr="00E650A4">
        <w:rPr>
          <w:rFonts w:ascii="宋体" w:hAnsi="宋体" w:cs="宋体" w:hint="eastAsia"/>
          <w:snapToGrid w:val="0"/>
          <w:kern w:val="22"/>
          <w:sz w:val="24"/>
        </w:rPr>
        <w:t>；</w:t>
      </w:r>
    </w:p>
    <w:p w:rsidR="006531B4" w:rsidRPr="00E650A4" w:rsidRDefault="006531B4" w:rsidP="000222E7">
      <w:pPr>
        <w:widowControl w:val="0"/>
        <w:numPr>
          <w:ilvl w:val="0"/>
          <w:numId w:val="35"/>
        </w:numPr>
        <w:suppressLineNumbers/>
        <w:tabs>
          <w:tab w:val="left" w:pos="1440"/>
        </w:tabs>
        <w:suppressAutoHyphens/>
        <w:adjustRightInd w:val="0"/>
        <w:snapToGrid w:val="0"/>
        <w:spacing w:before="120" w:after="120" w:line="240" w:lineRule="atLeast"/>
        <w:ind w:left="0" w:firstLine="720"/>
        <w:rPr>
          <w:rFonts w:ascii="SimSun" w:cs="Times New Roman"/>
          <w:snapToGrid w:val="0"/>
          <w:kern w:val="22"/>
          <w:sz w:val="24"/>
        </w:rPr>
      </w:pPr>
      <w:r w:rsidRPr="00E650A4">
        <w:rPr>
          <w:rFonts w:ascii="KaiTi" w:eastAsia="KaiTi" w:cs="Times New Roman" w:hint="eastAsia"/>
          <w:snapToGrid w:val="0"/>
          <w:kern w:val="22"/>
          <w:sz w:val="24"/>
          <w:lang w:val="zh-CN"/>
        </w:rPr>
        <w:t>决定</w:t>
      </w:r>
      <w:r w:rsidRPr="00E650A4">
        <w:rPr>
          <w:rFonts w:ascii="宋体" w:hAnsi="宋体" w:cs="宋体" w:hint="eastAsia"/>
          <w:snapToGrid w:val="0"/>
          <w:kern w:val="22"/>
          <w:sz w:val="24"/>
          <w:lang w:val="zh-CN"/>
        </w:rPr>
        <w:t>根据进一步</w:t>
      </w:r>
      <w:r>
        <w:rPr>
          <w:rFonts w:ascii="宋体" w:hAnsi="宋体" w:cs="宋体" w:hint="eastAsia"/>
          <w:snapToGrid w:val="0"/>
          <w:kern w:val="22"/>
          <w:sz w:val="24"/>
          <w:lang w:val="zh-CN"/>
        </w:rPr>
        <w:t>的</w:t>
      </w:r>
      <w:r w:rsidRPr="00E650A4">
        <w:rPr>
          <w:rFonts w:ascii="宋体" w:hAnsi="宋体" w:cs="宋体" w:hint="eastAsia"/>
          <w:snapToGrid w:val="0"/>
          <w:kern w:val="22"/>
          <w:sz w:val="24"/>
          <w:lang w:val="zh-CN"/>
        </w:rPr>
        <w:t>执行进展情况酌情再对框架进行审议和</w:t>
      </w:r>
      <w:r>
        <w:rPr>
          <w:rFonts w:ascii="宋体" w:hAnsi="宋体" w:cs="宋体" w:hint="eastAsia"/>
          <w:snapToGrid w:val="0"/>
          <w:kern w:val="22"/>
          <w:sz w:val="24"/>
          <w:lang w:val="zh-CN"/>
        </w:rPr>
        <w:t>修改</w:t>
      </w:r>
      <w:r w:rsidRPr="00E650A4">
        <w:rPr>
          <w:rFonts w:ascii="宋体" w:hAnsi="宋体" w:cs="宋体" w:hint="eastAsia"/>
          <w:snapToGrid w:val="0"/>
          <w:kern w:val="22"/>
          <w:sz w:val="24"/>
        </w:rPr>
        <w:t>；</w:t>
      </w:r>
    </w:p>
    <w:p w:rsidR="006531B4" w:rsidRPr="00E650A4" w:rsidRDefault="006531B4" w:rsidP="000222E7">
      <w:pPr>
        <w:widowControl w:val="0"/>
        <w:numPr>
          <w:ilvl w:val="0"/>
          <w:numId w:val="35"/>
        </w:numPr>
        <w:suppressLineNumbers/>
        <w:tabs>
          <w:tab w:val="left" w:pos="1440"/>
        </w:tabs>
        <w:suppressAutoHyphens/>
        <w:adjustRightInd w:val="0"/>
        <w:snapToGrid w:val="0"/>
        <w:spacing w:before="120" w:after="120" w:line="240" w:lineRule="atLeast"/>
        <w:ind w:left="0" w:firstLine="720"/>
        <w:rPr>
          <w:rFonts w:ascii="SimSun" w:cs="Times New Roman"/>
          <w:snapToGrid w:val="0"/>
          <w:kern w:val="22"/>
          <w:sz w:val="24"/>
        </w:rPr>
      </w:pPr>
      <w:r w:rsidRPr="00E650A4">
        <w:rPr>
          <w:rFonts w:ascii="KaiTi" w:eastAsia="KaiTi" w:cs="Times New Roman" w:hint="eastAsia"/>
          <w:snapToGrid w:val="0"/>
          <w:kern w:val="22"/>
          <w:sz w:val="24"/>
          <w:lang w:val="zh-CN"/>
        </w:rPr>
        <w:t>欢迎</w:t>
      </w:r>
      <w:r w:rsidRPr="00E650A4">
        <w:rPr>
          <w:rFonts w:ascii="宋体" w:hAnsi="宋体" w:cs="宋体" w:hint="eastAsia"/>
          <w:snapToGrid w:val="0"/>
          <w:kern w:val="22"/>
          <w:sz w:val="24"/>
          <w:lang w:val="zh-CN"/>
        </w:rPr>
        <w:t>缔约方在使《议定书》</w:t>
      </w:r>
      <w:r>
        <w:rPr>
          <w:rFonts w:ascii="宋体" w:hAnsi="宋体" w:cs="宋体" w:hint="eastAsia"/>
          <w:snapToGrid w:val="0"/>
          <w:kern w:val="22"/>
          <w:sz w:val="24"/>
          <w:lang w:val="zh-CN"/>
        </w:rPr>
        <w:t>开始</w:t>
      </w:r>
      <w:r w:rsidRPr="00E650A4">
        <w:rPr>
          <w:rFonts w:ascii="宋体" w:hAnsi="宋体" w:cs="宋体" w:hint="eastAsia"/>
          <w:snapToGrid w:val="0"/>
          <w:kern w:val="22"/>
          <w:sz w:val="24"/>
          <w:lang w:val="zh-CN"/>
        </w:rPr>
        <w:t>运作方面取得的进展</w:t>
      </w:r>
      <w:r w:rsidRPr="00E650A4">
        <w:rPr>
          <w:rFonts w:ascii="宋体" w:hAnsi="宋体" w:cs="宋体" w:hint="eastAsia"/>
          <w:snapToGrid w:val="0"/>
          <w:kern w:val="22"/>
          <w:sz w:val="24"/>
        </w:rPr>
        <w:t>；</w:t>
      </w:r>
    </w:p>
    <w:p w:rsidR="006531B4" w:rsidRPr="00E650A4" w:rsidRDefault="006531B4" w:rsidP="000222E7">
      <w:pPr>
        <w:widowControl w:val="0"/>
        <w:numPr>
          <w:ilvl w:val="0"/>
          <w:numId w:val="35"/>
        </w:numPr>
        <w:suppressLineNumbers/>
        <w:tabs>
          <w:tab w:val="left" w:pos="1440"/>
        </w:tabs>
        <w:suppressAutoHyphens/>
        <w:adjustRightInd w:val="0"/>
        <w:snapToGrid w:val="0"/>
        <w:spacing w:before="120" w:after="120" w:line="240" w:lineRule="atLeast"/>
        <w:ind w:left="0" w:firstLine="720"/>
        <w:rPr>
          <w:rFonts w:ascii="SimSun" w:cs="Times New Roman"/>
          <w:snapToGrid w:val="0"/>
          <w:kern w:val="22"/>
          <w:sz w:val="24"/>
        </w:rPr>
      </w:pPr>
      <w:r>
        <w:rPr>
          <w:rFonts w:ascii="KaiTi" w:eastAsia="KaiTi" w:cs="Times New Roman" w:hint="eastAsia"/>
          <w:snapToGrid w:val="0"/>
          <w:kern w:val="22"/>
          <w:sz w:val="24"/>
          <w:lang w:val="zh-CN"/>
        </w:rPr>
        <w:t>确认</w:t>
      </w:r>
      <w:r w:rsidRPr="00E650A4">
        <w:rPr>
          <w:rFonts w:ascii="宋体" w:hAnsi="宋体" w:cs="宋体" w:hint="eastAsia"/>
          <w:snapToGrid w:val="0"/>
          <w:kern w:val="22"/>
          <w:sz w:val="24"/>
          <w:lang w:val="zh-CN"/>
        </w:rPr>
        <w:t>需要作为优先事项进行以下工作</w:t>
      </w:r>
      <w:r w:rsidRPr="00E650A4">
        <w:rPr>
          <w:rFonts w:ascii="宋体" w:hAnsi="宋体" w:cs="宋体" w:hint="eastAsia"/>
          <w:snapToGrid w:val="0"/>
          <w:kern w:val="22"/>
          <w:sz w:val="24"/>
        </w:rPr>
        <w:t>：</w:t>
      </w:r>
    </w:p>
    <w:p w:rsidR="006531B4" w:rsidRPr="00E650A4" w:rsidRDefault="006531B4" w:rsidP="00E650A4">
      <w:pPr>
        <w:widowControl w:val="0"/>
        <w:numPr>
          <w:ilvl w:val="0"/>
          <w:numId w:val="36"/>
        </w:numPr>
        <w:suppressLineNumbers/>
        <w:tabs>
          <w:tab w:val="left" w:pos="1440"/>
        </w:tabs>
        <w:suppressAutoHyphens/>
        <w:adjustRightInd w:val="0"/>
        <w:spacing w:before="120" w:after="120" w:line="240" w:lineRule="atLeast"/>
        <w:ind w:left="0" w:firstLine="720"/>
        <w:rPr>
          <w:rFonts w:ascii="SimSun" w:cs="Times New Roman"/>
          <w:snapToGrid w:val="0"/>
          <w:kern w:val="22"/>
          <w:sz w:val="24"/>
        </w:rPr>
      </w:pPr>
      <w:r w:rsidRPr="00E650A4">
        <w:rPr>
          <w:rFonts w:ascii="宋体" w:hAnsi="宋体" w:cs="宋体" w:hint="eastAsia"/>
          <w:snapToGrid w:val="0"/>
          <w:kern w:val="22"/>
          <w:sz w:val="24"/>
          <w:lang w:val="zh-CN"/>
        </w:rPr>
        <w:t>根据《议定书》第</w:t>
      </w:r>
      <w:r w:rsidRPr="00E650A4">
        <w:rPr>
          <w:rFonts w:ascii="SimSun" w:hAnsi="SimSun" w:cs="Times New Roman"/>
          <w:snapToGrid w:val="0"/>
          <w:kern w:val="22"/>
          <w:sz w:val="24"/>
        </w:rPr>
        <w:t>8</w:t>
      </w:r>
      <w:r w:rsidRPr="00E650A4">
        <w:rPr>
          <w:rFonts w:ascii="宋体" w:hAnsi="宋体" w:cs="宋体" w:hint="eastAsia"/>
          <w:snapToGrid w:val="0"/>
          <w:kern w:val="22"/>
          <w:sz w:val="24"/>
          <w:lang w:val="zh-CN"/>
        </w:rPr>
        <w:t>条所列各项特殊考虑</w:t>
      </w:r>
      <w:r>
        <w:rPr>
          <w:rFonts w:ascii="宋体" w:hAnsi="宋体" w:cs="宋体" w:hint="eastAsia"/>
          <w:snapToGrid w:val="0"/>
          <w:kern w:val="22"/>
          <w:sz w:val="24"/>
          <w:lang w:val="zh-CN"/>
        </w:rPr>
        <w:t>以及</w:t>
      </w:r>
      <w:r w:rsidRPr="000222E7">
        <w:rPr>
          <w:rFonts w:ascii="宋体" w:hAnsi="宋体" w:cs="宋体" w:hint="eastAsia"/>
          <w:snapToGrid w:val="0"/>
          <w:kern w:val="22"/>
          <w:sz w:val="24"/>
        </w:rPr>
        <w:t>确保以相互支持的方式执行</w:t>
      </w:r>
      <w:r>
        <w:rPr>
          <w:rFonts w:ascii="宋体" w:hAnsi="宋体" w:cs="宋体" w:hint="eastAsia"/>
          <w:snapToGrid w:val="0"/>
          <w:kern w:val="22"/>
          <w:sz w:val="24"/>
        </w:rPr>
        <w:t>《</w:t>
      </w:r>
      <w:r w:rsidRPr="000222E7">
        <w:rPr>
          <w:rFonts w:ascii="宋体" w:hAnsi="宋体" w:cs="宋体" w:hint="eastAsia"/>
          <w:snapToGrid w:val="0"/>
          <w:kern w:val="22"/>
          <w:sz w:val="24"/>
        </w:rPr>
        <w:t>名古屋议定书</w:t>
      </w:r>
      <w:r>
        <w:rPr>
          <w:rFonts w:ascii="宋体" w:hAnsi="宋体" w:cs="宋体" w:hint="eastAsia"/>
          <w:snapToGrid w:val="0"/>
          <w:kern w:val="22"/>
          <w:sz w:val="24"/>
        </w:rPr>
        <w:t>》</w:t>
      </w:r>
      <w:r w:rsidRPr="000222E7">
        <w:rPr>
          <w:rFonts w:ascii="宋体" w:hAnsi="宋体" w:cs="宋体" w:hint="eastAsia"/>
          <w:snapToGrid w:val="0"/>
          <w:kern w:val="22"/>
          <w:sz w:val="24"/>
        </w:rPr>
        <w:t>和其他有关国际文书</w:t>
      </w:r>
      <w:r>
        <w:rPr>
          <w:rFonts w:ascii="宋体" w:hAnsi="宋体" w:cs="宋体" w:hint="eastAsia"/>
          <w:snapToGrid w:val="0"/>
          <w:kern w:val="22"/>
          <w:sz w:val="24"/>
        </w:rPr>
        <w:t>的必要性，</w:t>
      </w:r>
      <w:r w:rsidRPr="00E650A4">
        <w:rPr>
          <w:rFonts w:ascii="宋体" w:hAnsi="宋体" w:cs="宋体" w:hint="eastAsia"/>
          <w:snapToGrid w:val="0"/>
          <w:kern w:val="22"/>
          <w:sz w:val="24"/>
          <w:lang w:val="zh-CN"/>
        </w:rPr>
        <w:t>制定获取和惠益分享的立法或监管规定</w:t>
      </w:r>
      <w:r w:rsidRPr="00E650A4">
        <w:rPr>
          <w:rFonts w:ascii="宋体" w:hAnsi="宋体" w:cs="宋体" w:hint="eastAsia"/>
          <w:snapToGrid w:val="0"/>
          <w:kern w:val="22"/>
          <w:sz w:val="24"/>
        </w:rPr>
        <w:t>，</w:t>
      </w:r>
      <w:r>
        <w:rPr>
          <w:rFonts w:ascii="宋体" w:hAnsi="宋体" w:cs="宋体" w:hint="eastAsia"/>
          <w:snapToGrid w:val="0"/>
          <w:kern w:val="22"/>
          <w:sz w:val="24"/>
        </w:rPr>
        <w:t>以</w:t>
      </w:r>
      <w:r w:rsidRPr="00E650A4">
        <w:rPr>
          <w:rFonts w:ascii="宋体" w:hAnsi="宋体" w:cs="宋体" w:hint="eastAsia"/>
          <w:snapToGrid w:val="0"/>
          <w:kern w:val="22"/>
          <w:sz w:val="24"/>
          <w:lang w:val="zh-CN"/>
        </w:rPr>
        <w:t>提供法律肯定性、明确性和透明度</w:t>
      </w:r>
      <w:r w:rsidRPr="00E650A4">
        <w:rPr>
          <w:rFonts w:ascii="宋体" w:hAnsi="宋体" w:cs="宋体" w:hint="eastAsia"/>
          <w:snapToGrid w:val="0"/>
          <w:kern w:val="22"/>
          <w:sz w:val="24"/>
        </w:rPr>
        <w:t>；</w:t>
      </w:r>
    </w:p>
    <w:p w:rsidR="006531B4" w:rsidRPr="00E650A4" w:rsidRDefault="006531B4" w:rsidP="00E650A4">
      <w:pPr>
        <w:widowControl w:val="0"/>
        <w:numPr>
          <w:ilvl w:val="0"/>
          <w:numId w:val="36"/>
        </w:numPr>
        <w:suppressLineNumbers/>
        <w:tabs>
          <w:tab w:val="left" w:pos="1440"/>
        </w:tabs>
        <w:suppressAutoHyphens/>
        <w:adjustRightInd w:val="0"/>
        <w:spacing w:before="120" w:after="120" w:line="240" w:lineRule="atLeast"/>
        <w:ind w:left="0" w:firstLine="720"/>
        <w:rPr>
          <w:rFonts w:ascii="SimSun" w:cs="Times New Roman"/>
          <w:snapToGrid w:val="0"/>
          <w:kern w:val="22"/>
          <w:sz w:val="24"/>
        </w:rPr>
      </w:pPr>
      <w:r w:rsidRPr="00E650A4">
        <w:rPr>
          <w:rFonts w:ascii="宋体" w:hAnsi="宋体" w:cs="宋体" w:hint="eastAsia"/>
          <w:snapToGrid w:val="0"/>
          <w:kern w:val="22"/>
          <w:sz w:val="24"/>
          <w:lang w:val="zh-CN"/>
        </w:rPr>
        <w:t>缔约方加强执行关于遵守获取和惠益分享的国家立法和监管规定的条款</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第</w:t>
      </w:r>
      <w:r w:rsidRPr="00E650A4">
        <w:rPr>
          <w:rFonts w:cs="Times New Roman"/>
          <w:snapToGrid w:val="0"/>
          <w:kern w:val="22"/>
          <w:sz w:val="24"/>
        </w:rPr>
        <w:t>15</w:t>
      </w:r>
      <w:r w:rsidRPr="00E650A4">
        <w:rPr>
          <w:rFonts w:ascii="宋体" w:hAnsi="宋体" w:cs="宋体" w:hint="eastAsia"/>
          <w:snapToGrid w:val="0"/>
          <w:kern w:val="22"/>
          <w:sz w:val="24"/>
          <w:lang w:val="zh-CN"/>
        </w:rPr>
        <w:t>条和第</w:t>
      </w:r>
      <w:r w:rsidRPr="00E650A4">
        <w:rPr>
          <w:rFonts w:cs="Times New Roman"/>
          <w:snapToGrid w:val="0"/>
          <w:kern w:val="22"/>
          <w:sz w:val="24"/>
        </w:rPr>
        <w:t>16</w:t>
      </w:r>
      <w:r w:rsidRPr="00E650A4">
        <w:rPr>
          <w:rFonts w:ascii="宋体" w:hAnsi="宋体" w:cs="宋体" w:hint="eastAsia"/>
          <w:snapToGrid w:val="0"/>
          <w:kern w:val="22"/>
          <w:sz w:val="24"/>
          <w:lang w:val="zh-CN"/>
        </w:rPr>
        <w:t>条</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、关于监测遗传资源的利用包括指定检查点的条款</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第</w:t>
      </w:r>
      <w:r w:rsidRPr="00E650A4">
        <w:rPr>
          <w:rFonts w:cs="Times New Roman"/>
          <w:snapToGrid w:val="0"/>
          <w:kern w:val="22"/>
          <w:sz w:val="24"/>
        </w:rPr>
        <w:t>17</w:t>
      </w:r>
      <w:r w:rsidRPr="00E650A4">
        <w:rPr>
          <w:rFonts w:ascii="宋体" w:hAnsi="宋体" w:cs="宋体" w:hint="eastAsia"/>
          <w:snapToGrid w:val="0"/>
          <w:kern w:val="22"/>
          <w:sz w:val="24"/>
          <w:lang w:val="zh-CN"/>
        </w:rPr>
        <w:t>条</w:t>
      </w:r>
      <w:r w:rsidRPr="00E650A4">
        <w:rPr>
          <w:rFonts w:ascii="宋体" w:hAnsi="宋体" w:cs="宋体" w:hint="eastAsia"/>
          <w:snapToGrid w:val="0"/>
          <w:kern w:val="22"/>
          <w:sz w:val="24"/>
        </w:rPr>
        <w:t>）</w:t>
      </w:r>
      <w:r>
        <w:rPr>
          <w:rFonts w:ascii="宋体" w:hAnsi="宋体" w:cs="宋体" w:hint="eastAsia"/>
          <w:snapToGrid w:val="0"/>
          <w:kern w:val="22"/>
          <w:sz w:val="24"/>
        </w:rPr>
        <w:t>以及</w:t>
      </w:r>
      <w:r w:rsidRPr="00E650A4">
        <w:rPr>
          <w:rFonts w:ascii="宋体" w:hAnsi="宋体" w:cs="宋体" w:hint="eastAsia"/>
          <w:snapToGrid w:val="0"/>
          <w:kern w:val="22"/>
          <w:sz w:val="24"/>
          <w:lang w:val="zh-CN"/>
        </w:rPr>
        <w:t>关于土著人民和地方社区的条款</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第</w:t>
      </w:r>
      <w:r w:rsidRPr="00E650A4">
        <w:rPr>
          <w:rFonts w:cs="Times New Roman"/>
          <w:snapToGrid w:val="0"/>
          <w:kern w:val="22"/>
          <w:sz w:val="24"/>
        </w:rPr>
        <w:t>5</w:t>
      </w:r>
      <w:r w:rsidRPr="00E650A4">
        <w:rPr>
          <w:rFonts w:ascii="宋体" w:hAnsi="宋体" w:cs="宋体" w:hint="eastAsia"/>
          <w:snapToGrid w:val="0"/>
          <w:kern w:val="22"/>
          <w:sz w:val="24"/>
          <w:lang w:val="zh-CN"/>
        </w:rPr>
        <w:t>、第</w:t>
      </w:r>
      <w:r w:rsidRPr="00E650A4">
        <w:rPr>
          <w:rFonts w:cs="Times New Roman"/>
          <w:snapToGrid w:val="0"/>
          <w:kern w:val="22"/>
          <w:sz w:val="24"/>
        </w:rPr>
        <w:t>6</w:t>
      </w:r>
      <w:r w:rsidRPr="00E650A4">
        <w:rPr>
          <w:rFonts w:ascii="宋体" w:hAnsi="宋体" w:cs="宋体" w:hint="eastAsia"/>
          <w:snapToGrid w:val="0"/>
          <w:kern w:val="22"/>
          <w:sz w:val="24"/>
          <w:lang w:val="zh-CN"/>
        </w:rPr>
        <w:t>、第</w:t>
      </w:r>
      <w:r w:rsidRPr="00E650A4">
        <w:rPr>
          <w:rFonts w:cs="Times New Roman"/>
          <w:snapToGrid w:val="0"/>
          <w:kern w:val="22"/>
          <w:sz w:val="24"/>
        </w:rPr>
        <w:t>7</w:t>
      </w:r>
      <w:r w:rsidRPr="00E650A4">
        <w:rPr>
          <w:rFonts w:ascii="宋体" w:hAnsi="宋体" w:cs="宋体" w:hint="eastAsia"/>
          <w:snapToGrid w:val="0"/>
          <w:kern w:val="22"/>
          <w:sz w:val="24"/>
          <w:lang w:val="zh-CN"/>
        </w:rPr>
        <w:t>和第</w:t>
      </w:r>
      <w:r w:rsidRPr="00E650A4">
        <w:rPr>
          <w:rFonts w:cs="Times New Roman"/>
          <w:snapToGrid w:val="0"/>
          <w:kern w:val="22"/>
          <w:sz w:val="24"/>
        </w:rPr>
        <w:t>12</w:t>
      </w:r>
      <w:r w:rsidRPr="00E650A4">
        <w:rPr>
          <w:rFonts w:ascii="宋体" w:hAnsi="宋体" w:cs="宋体" w:hint="eastAsia"/>
          <w:snapToGrid w:val="0"/>
          <w:kern w:val="22"/>
          <w:sz w:val="24"/>
          <w:lang w:val="zh-CN"/>
        </w:rPr>
        <w:t>条</w:t>
      </w:r>
      <w:r w:rsidRPr="00E650A4">
        <w:rPr>
          <w:rFonts w:ascii="宋体" w:hAnsi="宋体" w:cs="宋体" w:hint="eastAsia"/>
          <w:snapToGrid w:val="0"/>
          <w:kern w:val="22"/>
          <w:sz w:val="24"/>
        </w:rPr>
        <w:t>）；</w:t>
      </w:r>
    </w:p>
    <w:p w:rsidR="006531B4" w:rsidRPr="00E650A4" w:rsidRDefault="006531B4" w:rsidP="00E650A4">
      <w:pPr>
        <w:widowControl w:val="0"/>
        <w:numPr>
          <w:ilvl w:val="0"/>
          <w:numId w:val="36"/>
        </w:numPr>
        <w:suppressLineNumbers/>
        <w:tabs>
          <w:tab w:val="left" w:pos="1440"/>
        </w:tabs>
        <w:suppressAutoHyphens/>
        <w:adjustRightInd w:val="0"/>
        <w:spacing w:before="120" w:after="120" w:line="240" w:lineRule="atLeast"/>
        <w:ind w:left="0" w:firstLine="720"/>
        <w:rPr>
          <w:rFonts w:cs="Times New Roman"/>
          <w:snapToGrid w:val="0"/>
          <w:kern w:val="22"/>
          <w:sz w:val="24"/>
        </w:rPr>
      </w:pPr>
      <w:r w:rsidRPr="00E650A4">
        <w:rPr>
          <w:rFonts w:ascii="宋体" w:hAnsi="宋体" w:cs="宋体" w:hint="eastAsia"/>
          <w:snapToGrid w:val="0"/>
          <w:kern w:val="22"/>
          <w:sz w:val="24"/>
          <w:lang w:val="zh-CN"/>
        </w:rPr>
        <w:t>支持土著人民和地方社区充分和有效参与《议定书》的执行</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包括提高他们对获取和惠益分享的认识和能力</w:t>
      </w:r>
      <w:r>
        <w:rPr>
          <w:rFonts w:ascii="宋体" w:hAnsi="宋体" w:cs="宋体" w:hint="eastAsia"/>
          <w:snapToGrid w:val="0"/>
          <w:kern w:val="22"/>
          <w:sz w:val="24"/>
          <w:lang w:val="zh-CN"/>
        </w:rPr>
        <w:t>及</w:t>
      </w:r>
      <w:r w:rsidRPr="00E650A4">
        <w:rPr>
          <w:rFonts w:ascii="宋体" w:hAnsi="宋体" w:cs="宋体" w:hint="eastAsia"/>
          <w:snapToGrid w:val="0"/>
          <w:kern w:val="22"/>
          <w:sz w:val="24"/>
          <w:lang w:val="zh-CN"/>
        </w:rPr>
        <w:t>支持土著人民和地方社区为分享利用与遗传资源相关的传统知识所产生惠益而制定社区规约和程序、共同商定条件和示范合同条款的最低要求</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同时考虑到他们的习惯法</w:t>
      </w:r>
      <w:r w:rsidRPr="00E650A4">
        <w:rPr>
          <w:rFonts w:ascii="宋体" w:hAnsi="宋体" w:cs="宋体" w:hint="eastAsia"/>
          <w:snapToGrid w:val="0"/>
          <w:kern w:val="22"/>
          <w:sz w:val="24"/>
        </w:rPr>
        <w:t>；</w:t>
      </w:r>
    </w:p>
    <w:p w:rsidR="006531B4" w:rsidRPr="00E650A4" w:rsidRDefault="006531B4" w:rsidP="00E650A4">
      <w:pPr>
        <w:widowControl w:val="0"/>
        <w:numPr>
          <w:ilvl w:val="0"/>
          <w:numId w:val="36"/>
        </w:numPr>
        <w:suppressLineNumbers/>
        <w:tabs>
          <w:tab w:val="left" w:pos="1440"/>
        </w:tabs>
        <w:suppressAutoHyphens/>
        <w:adjustRightInd w:val="0"/>
        <w:spacing w:before="120" w:after="120" w:line="240" w:lineRule="atLeast"/>
        <w:ind w:left="0" w:firstLine="720"/>
        <w:rPr>
          <w:rFonts w:cs="Times New Roman"/>
          <w:snapToGrid w:val="0"/>
          <w:kern w:val="22"/>
          <w:sz w:val="24"/>
        </w:rPr>
      </w:pPr>
      <w:r w:rsidRPr="00E650A4">
        <w:rPr>
          <w:rFonts w:ascii="宋体" w:hAnsi="宋体" w:cs="宋体" w:hint="eastAsia"/>
          <w:snapToGrid w:val="0"/>
          <w:kern w:val="22"/>
          <w:sz w:val="24"/>
          <w:lang w:val="zh-CN"/>
        </w:rPr>
        <w:t>提高相关利益攸关方的认识并鼓励他们参与《议定书》的执行</w:t>
      </w:r>
      <w:r w:rsidRPr="00E650A4">
        <w:rPr>
          <w:rFonts w:ascii="宋体" w:hAnsi="宋体" w:cs="宋体" w:hint="eastAsia"/>
          <w:snapToGrid w:val="0"/>
          <w:kern w:val="22"/>
          <w:sz w:val="24"/>
        </w:rPr>
        <w:t>；</w:t>
      </w:r>
    </w:p>
    <w:p w:rsidR="006531B4" w:rsidRPr="00E650A4" w:rsidRDefault="006531B4" w:rsidP="000222E7">
      <w:pPr>
        <w:widowControl w:val="0"/>
        <w:numPr>
          <w:ilvl w:val="0"/>
          <w:numId w:val="35"/>
        </w:numPr>
        <w:suppressLineNumbers/>
        <w:tabs>
          <w:tab w:val="left" w:pos="1440"/>
        </w:tabs>
        <w:suppressAutoHyphens/>
        <w:adjustRightInd w:val="0"/>
        <w:spacing w:before="120" w:after="120" w:line="240" w:lineRule="atLeast"/>
        <w:ind w:left="0" w:firstLine="720"/>
        <w:rPr>
          <w:rFonts w:cs="Times New Roman"/>
          <w:snapToGrid w:val="0"/>
          <w:kern w:val="22"/>
          <w:sz w:val="24"/>
        </w:rPr>
      </w:pPr>
      <w:r w:rsidRPr="00E650A4">
        <w:rPr>
          <w:rFonts w:eastAsia="KaiTi" w:cs="Times New Roman" w:hint="eastAsia"/>
          <w:snapToGrid w:val="0"/>
          <w:kern w:val="22"/>
          <w:sz w:val="24"/>
          <w:lang w:val="zh-CN"/>
        </w:rPr>
        <w:t>敦促</w:t>
      </w:r>
      <w:r w:rsidRPr="00E650A4">
        <w:rPr>
          <w:rFonts w:ascii="宋体" w:hAnsi="宋体" w:cs="宋体" w:hint="eastAsia"/>
          <w:snapToGrid w:val="0"/>
          <w:kern w:val="22"/>
          <w:sz w:val="24"/>
          <w:lang w:val="zh-CN"/>
        </w:rPr>
        <w:t>尚未这样做的缔约方</w:t>
      </w:r>
      <w:r w:rsidRPr="00E650A4">
        <w:rPr>
          <w:rFonts w:ascii="宋体" w:hAnsi="宋体" w:cs="宋体" w:hint="eastAsia"/>
          <w:snapToGrid w:val="0"/>
          <w:kern w:val="22"/>
          <w:sz w:val="24"/>
        </w:rPr>
        <w:t>：</w:t>
      </w:r>
    </w:p>
    <w:p w:rsidR="006531B4" w:rsidRPr="00E650A4" w:rsidRDefault="006531B4" w:rsidP="000222E7">
      <w:pPr>
        <w:widowControl w:val="0"/>
        <w:numPr>
          <w:ilvl w:val="0"/>
          <w:numId w:val="37"/>
        </w:numPr>
        <w:suppressLineNumbers/>
        <w:tabs>
          <w:tab w:val="left" w:pos="1440"/>
        </w:tabs>
        <w:suppressAutoHyphens/>
        <w:adjustRightInd w:val="0"/>
        <w:snapToGrid w:val="0"/>
        <w:spacing w:before="120" w:after="120" w:line="240" w:lineRule="atLeast"/>
        <w:ind w:left="0" w:firstLine="720"/>
        <w:rPr>
          <w:rFonts w:cs="Times New Roman"/>
          <w:snapToGrid w:val="0"/>
          <w:kern w:val="22"/>
          <w:sz w:val="24"/>
        </w:rPr>
      </w:pPr>
      <w:r>
        <w:rPr>
          <w:rFonts w:ascii="宋体" w:hAnsi="宋体" w:cs="宋体" w:hint="eastAsia"/>
          <w:snapToGrid w:val="0"/>
          <w:kern w:val="22"/>
          <w:sz w:val="24"/>
          <w:lang w:val="zh-CN"/>
        </w:rPr>
        <w:t>制定</w:t>
      </w:r>
      <w:r w:rsidRPr="00E650A4">
        <w:rPr>
          <w:rFonts w:ascii="宋体" w:hAnsi="宋体" w:cs="宋体" w:hint="eastAsia"/>
          <w:snapToGrid w:val="0"/>
          <w:kern w:val="22"/>
          <w:sz w:val="24"/>
          <w:lang w:val="zh-CN"/>
        </w:rPr>
        <w:t>获取和惠益分享</w:t>
      </w:r>
      <w:r>
        <w:rPr>
          <w:rFonts w:ascii="宋体" w:hAnsi="宋体" w:cs="宋体" w:hint="eastAsia"/>
          <w:snapToGrid w:val="0"/>
          <w:kern w:val="22"/>
          <w:sz w:val="24"/>
          <w:lang w:val="zh-CN"/>
        </w:rPr>
        <w:t>的</w:t>
      </w:r>
      <w:r w:rsidRPr="00E650A4">
        <w:rPr>
          <w:rFonts w:ascii="宋体" w:hAnsi="宋体" w:cs="宋体" w:hint="eastAsia"/>
          <w:snapToGrid w:val="0"/>
          <w:kern w:val="22"/>
          <w:sz w:val="24"/>
          <w:lang w:val="zh-CN"/>
        </w:rPr>
        <w:t>体制结构</w:t>
      </w:r>
      <w:r>
        <w:rPr>
          <w:rFonts w:ascii="宋体" w:hAnsi="宋体" w:cs="宋体" w:hint="eastAsia"/>
          <w:snapToGrid w:val="0"/>
          <w:kern w:val="22"/>
          <w:sz w:val="24"/>
          <w:lang w:val="zh-CN"/>
        </w:rPr>
        <w:t>和</w:t>
      </w:r>
      <w:r w:rsidRPr="00E650A4">
        <w:rPr>
          <w:rFonts w:ascii="宋体" w:hAnsi="宋体" w:cs="宋体" w:hint="eastAsia"/>
          <w:snapToGrid w:val="0"/>
          <w:kern w:val="22"/>
          <w:sz w:val="24"/>
          <w:lang w:val="zh-CN"/>
        </w:rPr>
        <w:t>立法、行政或政策措施</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同时考虑到上文第</w:t>
      </w:r>
      <w:r w:rsidRPr="00E650A4">
        <w:rPr>
          <w:rFonts w:cs="Times New Roman"/>
          <w:snapToGrid w:val="0"/>
          <w:kern w:val="22"/>
          <w:sz w:val="24"/>
        </w:rPr>
        <w:t>5</w:t>
      </w:r>
      <w:r w:rsidRPr="00E650A4">
        <w:rPr>
          <w:rFonts w:ascii="宋体" w:hAnsi="宋体" w:cs="宋体" w:hint="eastAsia"/>
          <w:snapToGrid w:val="0"/>
          <w:kern w:val="22"/>
          <w:sz w:val="24"/>
        </w:rPr>
        <w:t>（</w:t>
      </w:r>
      <w:r w:rsidRPr="00E650A4">
        <w:rPr>
          <w:rFonts w:cs="Times New Roman"/>
          <w:snapToGrid w:val="0"/>
          <w:kern w:val="22"/>
          <w:sz w:val="24"/>
        </w:rPr>
        <w:t>a</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和</w:t>
      </w:r>
      <w:r w:rsidRPr="00E650A4">
        <w:rPr>
          <w:rFonts w:ascii="宋体" w:hAnsi="宋体" w:cs="宋体" w:hint="eastAsia"/>
          <w:snapToGrid w:val="0"/>
          <w:kern w:val="22"/>
          <w:sz w:val="24"/>
        </w:rPr>
        <w:t>（</w:t>
      </w:r>
      <w:r w:rsidRPr="00E650A4">
        <w:rPr>
          <w:rFonts w:cs="Times New Roman"/>
          <w:snapToGrid w:val="0"/>
          <w:kern w:val="22"/>
          <w:sz w:val="24"/>
        </w:rPr>
        <w:t>b</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段</w:t>
      </w:r>
      <w:r w:rsidRPr="00E650A4">
        <w:rPr>
          <w:rFonts w:ascii="宋体" w:hAnsi="宋体" w:cs="宋体" w:hint="eastAsia"/>
          <w:snapToGrid w:val="0"/>
          <w:kern w:val="22"/>
          <w:sz w:val="24"/>
        </w:rPr>
        <w:t>；</w:t>
      </w:r>
    </w:p>
    <w:p w:rsidR="006531B4" w:rsidRPr="00E650A4" w:rsidRDefault="006531B4" w:rsidP="000222E7">
      <w:pPr>
        <w:widowControl w:val="0"/>
        <w:numPr>
          <w:ilvl w:val="0"/>
          <w:numId w:val="37"/>
        </w:numPr>
        <w:suppressLineNumbers/>
        <w:tabs>
          <w:tab w:val="left" w:pos="1440"/>
        </w:tabs>
        <w:suppressAutoHyphens/>
        <w:adjustRightInd w:val="0"/>
        <w:snapToGrid w:val="0"/>
        <w:spacing w:before="120" w:after="120" w:line="240" w:lineRule="atLeast"/>
        <w:ind w:left="0" w:firstLine="720"/>
        <w:rPr>
          <w:rFonts w:cs="Times New Roman"/>
          <w:snapToGrid w:val="0"/>
          <w:kern w:val="22"/>
          <w:sz w:val="24"/>
        </w:rPr>
      </w:pPr>
      <w:r w:rsidRPr="00E650A4">
        <w:rPr>
          <w:rFonts w:ascii="宋体" w:hAnsi="宋体" w:cs="宋体" w:hint="eastAsia"/>
          <w:snapToGrid w:val="0"/>
          <w:kern w:val="22"/>
          <w:sz w:val="24"/>
          <w:lang w:val="zh-CN"/>
        </w:rPr>
        <w:t>采取步骤处理上文第</w:t>
      </w:r>
      <w:r w:rsidRPr="00E650A4">
        <w:rPr>
          <w:rFonts w:cs="Times New Roman"/>
          <w:snapToGrid w:val="0"/>
          <w:kern w:val="22"/>
          <w:sz w:val="24"/>
        </w:rPr>
        <w:t>5</w:t>
      </w:r>
      <w:r w:rsidRPr="00E650A4">
        <w:rPr>
          <w:rFonts w:ascii="宋体" w:hAnsi="宋体" w:cs="宋体" w:hint="eastAsia"/>
          <w:snapToGrid w:val="0"/>
          <w:kern w:val="22"/>
          <w:sz w:val="24"/>
        </w:rPr>
        <w:t>（</w:t>
      </w:r>
      <w:r w:rsidRPr="00E650A4">
        <w:rPr>
          <w:rFonts w:cs="Times New Roman"/>
          <w:snapToGrid w:val="0"/>
          <w:kern w:val="22"/>
          <w:sz w:val="24"/>
        </w:rPr>
        <w:t>c</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和</w:t>
      </w:r>
      <w:r w:rsidRPr="00E650A4">
        <w:rPr>
          <w:rFonts w:ascii="宋体" w:hAnsi="宋体" w:cs="宋体" w:hint="eastAsia"/>
          <w:snapToGrid w:val="0"/>
          <w:kern w:val="22"/>
          <w:sz w:val="24"/>
        </w:rPr>
        <w:t>（</w:t>
      </w:r>
      <w:r w:rsidRPr="00E650A4">
        <w:rPr>
          <w:rFonts w:cs="Times New Roman"/>
          <w:snapToGrid w:val="0"/>
          <w:kern w:val="22"/>
          <w:sz w:val="24"/>
        </w:rPr>
        <w:t>d</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段确定的优先领域</w:t>
      </w:r>
      <w:r w:rsidRPr="00E650A4">
        <w:rPr>
          <w:rFonts w:ascii="宋体" w:hAnsi="宋体" w:cs="宋体" w:hint="eastAsia"/>
          <w:snapToGrid w:val="0"/>
          <w:kern w:val="22"/>
          <w:sz w:val="24"/>
        </w:rPr>
        <w:t>；</w:t>
      </w:r>
    </w:p>
    <w:p w:rsidR="006531B4" w:rsidRPr="00E650A4" w:rsidRDefault="006531B4" w:rsidP="000222E7">
      <w:pPr>
        <w:widowControl w:val="0"/>
        <w:numPr>
          <w:ilvl w:val="0"/>
          <w:numId w:val="37"/>
        </w:numPr>
        <w:suppressLineNumbers/>
        <w:tabs>
          <w:tab w:val="left" w:pos="1440"/>
        </w:tabs>
        <w:suppressAutoHyphens/>
        <w:adjustRightInd w:val="0"/>
        <w:snapToGrid w:val="0"/>
        <w:spacing w:before="120" w:after="120" w:line="240" w:lineRule="atLeast"/>
        <w:ind w:left="0" w:firstLine="720"/>
        <w:rPr>
          <w:rFonts w:cs="Times New Roman"/>
          <w:snapToGrid w:val="0"/>
          <w:kern w:val="22"/>
          <w:sz w:val="24"/>
          <w:u w:val="single" w:color="000000"/>
          <w:lang w:val="en-US"/>
        </w:rPr>
      </w:pPr>
      <w:r w:rsidRPr="00E650A4">
        <w:rPr>
          <w:rFonts w:ascii="宋体" w:hAnsi="宋体" w:cs="宋体" w:hint="eastAsia"/>
          <w:snapToGrid w:val="0"/>
          <w:kern w:val="22"/>
          <w:sz w:val="24"/>
          <w:lang w:val="zh-CN"/>
        </w:rPr>
        <w:t>根据《议定书》第</w:t>
      </w:r>
      <w:r w:rsidRPr="00E650A4">
        <w:rPr>
          <w:rFonts w:cs="Times New Roman"/>
          <w:snapToGrid w:val="0"/>
          <w:kern w:val="22"/>
          <w:sz w:val="24"/>
        </w:rPr>
        <w:t>14</w:t>
      </w:r>
      <w:r w:rsidRPr="00E650A4">
        <w:rPr>
          <w:rFonts w:ascii="宋体" w:hAnsi="宋体" w:cs="宋体" w:hint="eastAsia"/>
          <w:snapToGrid w:val="0"/>
          <w:kern w:val="22"/>
          <w:sz w:val="24"/>
          <w:lang w:val="zh-CN"/>
        </w:rPr>
        <w:t>条第</w:t>
      </w:r>
      <w:r w:rsidRPr="00E650A4">
        <w:rPr>
          <w:rFonts w:cs="Times New Roman"/>
          <w:snapToGrid w:val="0"/>
          <w:kern w:val="22"/>
          <w:sz w:val="24"/>
        </w:rPr>
        <w:t>2</w:t>
      </w:r>
      <w:r w:rsidRPr="00E650A4">
        <w:rPr>
          <w:rFonts w:ascii="宋体" w:hAnsi="宋体" w:cs="宋体" w:hint="eastAsia"/>
          <w:snapToGrid w:val="0"/>
          <w:kern w:val="22"/>
          <w:sz w:val="24"/>
          <w:lang w:val="zh-CN"/>
        </w:rPr>
        <w:t>款规定的义务</w:t>
      </w:r>
      <w:r>
        <w:rPr>
          <w:rFonts w:ascii="宋体" w:hAnsi="宋体" w:cs="宋体" w:hint="eastAsia"/>
          <w:snapToGrid w:val="0"/>
          <w:kern w:val="22"/>
          <w:sz w:val="24"/>
          <w:lang w:val="zh-CN"/>
        </w:rPr>
        <w:t>，</w:t>
      </w:r>
      <w:r w:rsidRPr="00E650A4">
        <w:rPr>
          <w:rFonts w:ascii="宋体" w:hAnsi="宋体" w:cs="宋体" w:hint="eastAsia"/>
          <w:snapToGrid w:val="0"/>
          <w:kern w:val="22"/>
          <w:sz w:val="24"/>
          <w:lang w:val="zh-CN"/>
        </w:rPr>
        <w:t>在获取和惠益分享信息交换所尽快发布国家一级现有的所有规定信息</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包括有关构成国际公认合规证书的许可证或同等效力证书的信息</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以期便利监测遗传资源的使用和缔约方间的合作</w:t>
      </w:r>
      <w:r w:rsidRPr="00E650A4">
        <w:rPr>
          <w:rFonts w:ascii="宋体" w:hAnsi="宋体" w:cs="宋体" w:hint="eastAsia"/>
          <w:snapToGrid w:val="0"/>
          <w:kern w:val="22"/>
          <w:sz w:val="24"/>
        </w:rPr>
        <w:t>；</w:t>
      </w:r>
    </w:p>
    <w:p w:rsidR="006531B4" w:rsidRPr="00E650A4" w:rsidRDefault="006531B4" w:rsidP="000222E7">
      <w:pPr>
        <w:widowControl w:val="0"/>
        <w:numPr>
          <w:ilvl w:val="0"/>
          <w:numId w:val="35"/>
        </w:numPr>
        <w:suppressLineNumbers/>
        <w:tabs>
          <w:tab w:val="left" w:pos="1440"/>
        </w:tabs>
        <w:suppressAutoHyphens/>
        <w:adjustRightInd w:val="0"/>
        <w:snapToGrid w:val="0"/>
        <w:spacing w:before="120" w:after="120" w:line="240" w:lineRule="atLeast"/>
        <w:ind w:left="0" w:firstLine="720"/>
        <w:rPr>
          <w:rFonts w:cs="Times New Roman"/>
          <w:snapToGrid w:val="0"/>
          <w:kern w:val="22"/>
          <w:sz w:val="24"/>
        </w:rPr>
      </w:pPr>
      <w:r w:rsidRPr="00E650A4">
        <w:rPr>
          <w:rFonts w:eastAsia="KaiTi" w:cs="Times New Roman" w:hint="eastAsia"/>
          <w:snapToGrid w:val="0"/>
          <w:kern w:val="22"/>
          <w:sz w:val="24"/>
          <w:lang w:val="zh-CN"/>
        </w:rPr>
        <w:t>鼓励</w:t>
      </w:r>
      <w:r w:rsidRPr="00E650A4">
        <w:rPr>
          <w:rFonts w:ascii="宋体" w:hAnsi="宋体" w:cs="宋体" w:hint="eastAsia"/>
          <w:snapToGrid w:val="0"/>
          <w:kern w:val="22"/>
          <w:sz w:val="24"/>
          <w:lang w:val="zh-CN"/>
        </w:rPr>
        <w:t>有能力的缔约方、非缔约方和相关组织</w:t>
      </w:r>
      <w:r w:rsidRPr="00E650A4">
        <w:rPr>
          <w:rFonts w:ascii="宋体" w:hAnsi="宋体" w:cs="宋体" w:hint="eastAsia"/>
          <w:snapToGrid w:val="0"/>
          <w:kern w:val="22"/>
          <w:sz w:val="24"/>
          <w:lang w:val="en-US"/>
        </w:rPr>
        <w:t>：</w:t>
      </w:r>
      <w:r w:rsidRPr="00E650A4">
        <w:rPr>
          <w:rFonts w:cs="Times New Roman"/>
          <w:snapToGrid w:val="0"/>
          <w:kern w:val="22"/>
          <w:sz w:val="24"/>
          <w:lang w:val="en-US"/>
        </w:rPr>
        <w:t xml:space="preserve"> </w:t>
      </w:r>
    </w:p>
    <w:p w:rsidR="006531B4" w:rsidRPr="00B6332A" w:rsidRDefault="006531B4" w:rsidP="000222E7">
      <w:pPr>
        <w:widowControl w:val="0"/>
        <w:numPr>
          <w:ilvl w:val="0"/>
          <w:numId w:val="38"/>
        </w:numPr>
        <w:suppressLineNumbers/>
        <w:tabs>
          <w:tab w:val="left" w:pos="1440"/>
        </w:tabs>
        <w:suppressAutoHyphens/>
        <w:adjustRightInd w:val="0"/>
        <w:spacing w:before="120" w:after="120" w:line="240" w:lineRule="atLeast"/>
        <w:ind w:left="0" w:firstLine="720"/>
        <w:rPr>
          <w:rFonts w:cs="Times New Roman"/>
          <w:snapToGrid w:val="0"/>
          <w:kern w:val="22"/>
          <w:sz w:val="24"/>
        </w:rPr>
      </w:pPr>
      <w:r w:rsidRPr="00E650A4">
        <w:rPr>
          <w:rFonts w:ascii="宋体" w:hAnsi="宋体" w:cs="宋体" w:hint="eastAsia"/>
          <w:snapToGrid w:val="0"/>
          <w:kern w:val="22"/>
          <w:sz w:val="24"/>
          <w:lang w:val="zh-CN"/>
        </w:rPr>
        <w:t>加强努力建设发展中国家缔约方特别是其中的最不发达国家和小岛屿发展中国家以及经济转型缔约方执行《名古屋议定书》的能力</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同时考虑到上文第</w:t>
      </w:r>
      <w:r w:rsidRPr="00E650A4">
        <w:rPr>
          <w:rFonts w:cs="Times New Roman"/>
          <w:snapToGrid w:val="0"/>
          <w:kern w:val="22"/>
          <w:sz w:val="24"/>
        </w:rPr>
        <w:t>5</w:t>
      </w:r>
      <w:r w:rsidRPr="00E650A4">
        <w:rPr>
          <w:rFonts w:ascii="宋体" w:hAnsi="宋体" w:cs="宋体" w:hint="eastAsia"/>
          <w:snapToGrid w:val="0"/>
          <w:kern w:val="22"/>
          <w:sz w:val="24"/>
          <w:lang w:val="zh-CN"/>
        </w:rPr>
        <w:t>段确定的优先领域</w:t>
      </w:r>
      <w:r>
        <w:rPr>
          <w:rFonts w:ascii="宋体" w:hAnsi="宋体" w:cs="宋体" w:hint="eastAsia"/>
          <w:snapToGrid w:val="0"/>
          <w:kern w:val="22"/>
          <w:sz w:val="24"/>
          <w:lang w:val="zh-CN"/>
        </w:rPr>
        <w:t>、加强机构能力的必要性和</w:t>
      </w:r>
      <w:r w:rsidRPr="00E650A4">
        <w:rPr>
          <w:rFonts w:ascii="宋体" w:hAnsi="宋体" w:cs="宋体" w:hint="eastAsia"/>
          <w:snapToGrid w:val="0"/>
          <w:kern w:val="22"/>
          <w:sz w:val="24"/>
          <w:lang w:val="zh-CN"/>
        </w:rPr>
        <w:t>附件一中的主要结论以及土著人民和地方社区及相关利益攸关方的需要和优先事项</w:t>
      </w:r>
      <w:r w:rsidRPr="00E650A4">
        <w:rPr>
          <w:rFonts w:ascii="宋体" w:hAnsi="宋体" w:cs="宋体" w:hint="eastAsia"/>
          <w:snapToGrid w:val="0"/>
          <w:kern w:val="22"/>
          <w:sz w:val="24"/>
        </w:rPr>
        <w:t>；</w:t>
      </w:r>
    </w:p>
    <w:p w:rsidR="006531B4" w:rsidRPr="00E650A4" w:rsidRDefault="006531B4" w:rsidP="000222E7">
      <w:pPr>
        <w:widowControl w:val="0"/>
        <w:numPr>
          <w:ilvl w:val="0"/>
          <w:numId w:val="38"/>
        </w:numPr>
        <w:suppressLineNumbers/>
        <w:tabs>
          <w:tab w:val="left" w:pos="1440"/>
        </w:tabs>
        <w:suppressAutoHyphens/>
        <w:adjustRightInd w:val="0"/>
        <w:spacing w:before="120" w:after="120" w:line="240" w:lineRule="atLeast"/>
        <w:ind w:left="0" w:firstLine="720"/>
        <w:rPr>
          <w:rFonts w:cs="Times New Roman"/>
          <w:snapToGrid w:val="0"/>
          <w:kern w:val="22"/>
          <w:sz w:val="24"/>
        </w:rPr>
      </w:pPr>
      <w:r w:rsidRPr="00E650A4">
        <w:rPr>
          <w:rFonts w:ascii="宋体" w:hAnsi="宋体" w:cs="宋体" w:hint="eastAsia"/>
          <w:snapToGrid w:val="0"/>
          <w:kern w:val="22"/>
          <w:sz w:val="24"/>
          <w:lang w:val="zh-CN"/>
        </w:rPr>
        <w:t>支持为执行《议定书》采取的能力建设举措</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例如秘书处和国际发展法组织为建立国家法律框架而推出的能力建设方案</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包括提供资金</w:t>
      </w:r>
      <w:r w:rsidRPr="00E650A4">
        <w:rPr>
          <w:rFonts w:ascii="宋体" w:hAnsi="宋体" w:cs="宋体" w:hint="eastAsia"/>
          <w:snapToGrid w:val="0"/>
          <w:kern w:val="22"/>
          <w:sz w:val="24"/>
        </w:rPr>
        <w:t>；</w:t>
      </w:r>
    </w:p>
    <w:p w:rsidR="006531B4" w:rsidRPr="00E650A4" w:rsidRDefault="006531B4" w:rsidP="000222E7">
      <w:pPr>
        <w:widowControl w:val="0"/>
        <w:numPr>
          <w:ilvl w:val="0"/>
          <w:numId w:val="38"/>
        </w:numPr>
        <w:suppressLineNumbers/>
        <w:tabs>
          <w:tab w:val="left" w:pos="1440"/>
        </w:tabs>
        <w:suppressAutoHyphens/>
        <w:adjustRightInd w:val="0"/>
        <w:spacing w:before="120" w:after="120" w:line="240" w:lineRule="atLeast"/>
        <w:ind w:left="0" w:firstLine="720"/>
        <w:rPr>
          <w:rFonts w:cs="Times New Roman"/>
          <w:snapToGrid w:val="0"/>
          <w:kern w:val="22"/>
          <w:sz w:val="24"/>
        </w:rPr>
      </w:pPr>
      <w:r w:rsidRPr="00E650A4">
        <w:rPr>
          <w:rFonts w:ascii="宋体" w:hAnsi="宋体" w:cs="宋体" w:hint="eastAsia"/>
          <w:snapToGrid w:val="0"/>
          <w:kern w:val="22"/>
          <w:sz w:val="24"/>
          <w:lang w:val="zh-CN"/>
        </w:rPr>
        <w:t>在获取和惠益分享信息交换所发布有关能力建设举措和能力建设资源的信息</w:t>
      </w:r>
      <w:r w:rsidRPr="00E650A4">
        <w:rPr>
          <w:rFonts w:ascii="宋体" w:hAnsi="宋体" w:cs="宋体" w:hint="eastAsia"/>
          <w:snapToGrid w:val="0"/>
          <w:kern w:val="22"/>
          <w:sz w:val="24"/>
        </w:rPr>
        <w:t>；</w:t>
      </w:r>
    </w:p>
    <w:p w:rsidR="006531B4" w:rsidRPr="00E650A4" w:rsidRDefault="006531B4" w:rsidP="000222E7">
      <w:pPr>
        <w:widowControl w:val="0"/>
        <w:numPr>
          <w:ilvl w:val="0"/>
          <w:numId w:val="38"/>
        </w:numPr>
        <w:suppressLineNumbers/>
        <w:tabs>
          <w:tab w:val="left" w:pos="1440"/>
        </w:tabs>
        <w:suppressAutoHyphens/>
        <w:adjustRightInd w:val="0"/>
        <w:spacing w:before="120" w:after="120" w:line="240" w:lineRule="atLeast"/>
        <w:ind w:left="0" w:firstLine="720"/>
        <w:rPr>
          <w:rFonts w:cs="Times New Roman"/>
          <w:snapToGrid w:val="0"/>
          <w:kern w:val="22"/>
          <w:sz w:val="24"/>
        </w:rPr>
      </w:pPr>
      <w:r w:rsidRPr="00E650A4">
        <w:rPr>
          <w:rFonts w:ascii="宋体" w:hAnsi="宋体" w:cs="宋体" w:hint="eastAsia"/>
          <w:snapToGrid w:val="0"/>
          <w:kern w:val="22"/>
          <w:sz w:val="24"/>
          <w:lang w:val="zh-CN"/>
        </w:rPr>
        <w:t>考虑采取区域办法</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除其他外</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通过为持有相同遗传资源或与遗传资源相关的传统知识的国家举办能力建设活动</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以支持《议定书》的协调执行</w:t>
      </w:r>
      <w:r w:rsidRPr="00E650A4">
        <w:rPr>
          <w:rFonts w:ascii="宋体" w:hAnsi="宋体" w:cs="宋体" w:hint="eastAsia"/>
          <w:snapToGrid w:val="0"/>
          <w:kern w:val="22"/>
          <w:sz w:val="24"/>
        </w:rPr>
        <w:t>；</w:t>
      </w:r>
    </w:p>
    <w:p w:rsidR="006531B4" w:rsidRPr="00E650A4" w:rsidRDefault="006531B4" w:rsidP="000222E7">
      <w:pPr>
        <w:widowControl w:val="0"/>
        <w:numPr>
          <w:ilvl w:val="0"/>
          <w:numId w:val="38"/>
        </w:numPr>
        <w:suppressLineNumbers/>
        <w:tabs>
          <w:tab w:val="left" w:pos="1440"/>
        </w:tabs>
        <w:suppressAutoHyphens/>
        <w:adjustRightInd w:val="0"/>
        <w:spacing w:before="120" w:after="120" w:line="240" w:lineRule="atLeast"/>
        <w:ind w:left="0" w:firstLine="720"/>
        <w:rPr>
          <w:rFonts w:cs="Times New Roman"/>
          <w:snapToGrid w:val="0"/>
          <w:kern w:val="22"/>
          <w:sz w:val="24"/>
        </w:rPr>
      </w:pPr>
      <w:r w:rsidRPr="00E650A4">
        <w:rPr>
          <w:rFonts w:ascii="宋体" w:hAnsi="宋体" w:cs="宋体" w:hint="eastAsia"/>
          <w:snapToGrid w:val="0"/>
          <w:kern w:val="22"/>
          <w:sz w:val="24"/>
          <w:lang w:val="zh-CN"/>
        </w:rPr>
        <w:t>根据《议定书》第</w:t>
      </w:r>
      <w:r w:rsidRPr="00E650A4">
        <w:rPr>
          <w:rFonts w:cs="Times New Roman"/>
          <w:snapToGrid w:val="0"/>
          <w:kern w:val="22"/>
          <w:sz w:val="24"/>
        </w:rPr>
        <w:t>11</w:t>
      </w:r>
      <w:r w:rsidRPr="00E650A4">
        <w:rPr>
          <w:rFonts w:ascii="宋体" w:hAnsi="宋体" w:cs="宋体" w:hint="eastAsia"/>
          <w:snapToGrid w:val="0"/>
          <w:kern w:val="22"/>
          <w:sz w:val="24"/>
          <w:lang w:val="zh-CN"/>
        </w:rPr>
        <w:t>条促进分享跨界合作信息和经验</w:t>
      </w:r>
      <w:r w:rsidRPr="00E650A4">
        <w:rPr>
          <w:rFonts w:ascii="宋体" w:hAnsi="宋体" w:cs="宋体" w:hint="eastAsia"/>
          <w:snapToGrid w:val="0"/>
          <w:kern w:val="22"/>
          <w:sz w:val="24"/>
        </w:rPr>
        <w:t>；</w:t>
      </w:r>
    </w:p>
    <w:p w:rsidR="006531B4" w:rsidRPr="00E650A4" w:rsidRDefault="006531B4" w:rsidP="000222E7">
      <w:pPr>
        <w:numPr>
          <w:ilvl w:val="0"/>
          <w:numId w:val="38"/>
        </w:numPr>
        <w:suppressLineNumbers/>
        <w:tabs>
          <w:tab w:val="left" w:pos="1440"/>
        </w:tabs>
        <w:suppressAutoHyphens/>
        <w:adjustRightInd w:val="0"/>
        <w:spacing w:before="120" w:after="120" w:line="240" w:lineRule="atLeast"/>
        <w:ind w:left="0" w:firstLine="720"/>
        <w:rPr>
          <w:rFonts w:cs="Times New Roman"/>
          <w:snapToGrid w:val="0"/>
          <w:kern w:val="22"/>
          <w:sz w:val="24"/>
        </w:rPr>
      </w:pPr>
      <w:r w:rsidRPr="00E650A4">
        <w:rPr>
          <w:rFonts w:ascii="宋体" w:hAnsi="宋体" w:cs="宋体" w:hint="eastAsia"/>
          <w:snapToGrid w:val="0"/>
          <w:kern w:val="22"/>
          <w:sz w:val="24"/>
          <w:lang w:val="zh-CN"/>
        </w:rPr>
        <w:t>支持进行战略交流</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以增进对《议定书》的认识</w:t>
      </w:r>
      <w:r w:rsidRPr="00E650A4">
        <w:rPr>
          <w:rFonts w:ascii="宋体" w:hAnsi="宋体" w:cs="宋体" w:hint="eastAsia"/>
          <w:snapToGrid w:val="0"/>
          <w:kern w:val="22"/>
          <w:sz w:val="24"/>
        </w:rPr>
        <w:t>；</w:t>
      </w:r>
    </w:p>
    <w:p w:rsidR="006531B4" w:rsidRPr="00E650A4" w:rsidRDefault="006531B4" w:rsidP="000222E7">
      <w:pPr>
        <w:numPr>
          <w:ilvl w:val="0"/>
          <w:numId w:val="38"/>
        </w:numPr>
        <w:suppressLineNumbers/>
        <w:tabs>
          <w:tab w:val="left" w:pos="1440"/>
        </w:tabs>
        <w:suppressAutoHyphens/>
        <w:adjustRightInd w:val="0"/>
        <w:spacing w:before="120" w:after="120" w:line="240" w:lineRule="atLeast"/>
        <w:ind w:left="0" w:firstLine="720"/>
        <w:rPr>
          <w:rFonts w:cs="Times New Roman"/>
          <w:snapToGrid w:val="0"/>
          <w:kern w:val="22"/>
          <w:sz w:val="24"/>
        </w:rPr>
      </w:pPr>
      <w:r w:rsidRPr="00E650A4">
        <w:rPr>
          <w:rFonts w:ascii="宋体" w:hAnsi="宋体" w:cs="宋体" w:hint="eastAsia"/>
          <w:snapToGrid w:val="0"/>
          <w:kern w:val="22"/>
          <w:sz w:val="24"/>
          <w:lang w:val="zh-CN"/>
        </w:rPr>
        <w:t>建设缔约方和土著人民和地方社区谈判互相商定的条件的能力，促进遗传资源和</w:t>
      </w:r>
      <w:r>
        <w:rPr>
          <w:rFonts w:ascii="宋体" w:hAnsi="宋体" w:cs="宋体"/>
          <w:snapToGrid w:val="0"/>
          <w:kern w:val="22"/>
          <w:sz w:val="24"/>
          <w:lang w:val="zh-CN"/>
        </w:rPr>
        <w:t>/</w:t>
      </w:r>
      <w:r w:rsidRPr="00E650A4">
        <w:rPr>
          <w:rFonts w:ascii="宋体" w:hAnsi="宋体" w:cs="宋体" w:hint="eastAsia"/>
          <w:snapToGrid w:val="0"/>
          <w:kern w:val="22"/>
          <w:sz w:val="24"/>
          <w:lang w:val="zh-CN"/>
        </w:rPr>
        <w:t>或相关传统知识的使用者和提供者之间的伙伴关系和技术转让</w:t>
      </w:r>
      <w:r w:rsidRPr="00E650A4">
        <w:rPr>
          <w:rFonts w:ascii="宋体" w:hAnsi="宋体" w:cs="宋体" w:hint="eastAsia"/>
          <w:snapToGrid w:val="0"/>
          <w:kern w:val="22"/>
          <w:sz w:val="24"/>
        </w:rPr>
        <w:t>；</w:t>
      </w:r>
    </w:p>
    <w:p w:rsidR="006531B4" w:rsidRPr="00E650A4" w:rsidRDefault="006531B4" w:rsidP="00E27CE5">
      <w:pPr>
        <w:numPr>
          <w:ilvl w:val="0"/>
          <w:numId w:val="35"/>
        </w:numPr>
        <w:suppressLineNumbers/>
        <w:tabs>
          <w:tab w:val="left" w:pos="1440"/>
        </w:tabs>
        <w:suppressAutoHyphens/>
        <w:adjustRightInd w:val="0"/>
        <w:snapToGrid w:val="0"/>
        <w:spacing w:before="120" w:after="120" w:line="240" w:lineRule="atLeast"/>
        <w:ind w:left="0" w:firstLine="720"/>
        <w:rPr>
          <w:rFonts w:cs="Times New Roman"/>
          <w:snapToGrid w:val="0"/>
          <w:kern w:val="22"/>
          <w:sz w:val="24"/>
        </w:rPr>
      </w:pPr>
      <w:r w:rsidRPr="00E650A4">
        <w:rPr>
          <w:rFonts w:ascii="KaiTi" w:eastAsia="KaiTi" w:cs="Times New Roman" w:hint="eastAsia"/>
          <w:snapToGrid w:val="0"/>
          <w:kern w:val="22"/>
          <w:sz w:val="24"/>
          <w:lang w:val="zh-CN"/>
        </w:rPr>
        <w:t>邀请</w:t>
      </w:r>
      <w:r w:rsidRPr="00E650A4">
        <w:rPr>
          <w:rFonts w:ascii="宋体" w:hAnsi="宋体" w:cs="宋体" w:hint="eastAsia"/>
          <w:snapToGrid w:val="0"/>
          <w:kern w:val="22"/>
          <w:sz w:val="24"/>
          <w:lang w:val="zh-CN"/>
        </w:rPr>
        <w:t>各缔约方、非缔约方、国际组织、区域开发银行、其他金融机构和私营部门酌情加强努力</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提供资金支持《议定书》的执行</w:t>
      </w:r>
      <w:r w:rsidRPr="00E650A4">
        <w:rPr>
          <w:rFonts w:ascii="宋体" w:hAnsi="宋体" w:cs="宋体" w:hint="eastAsia"/>
          <w:snapToGrid w:val="0"/>
          <w:kern w:val="22"/>
          <w:sz w:val="24"/>
        </w:rPr>
        <w:t>；</w:t>
      </w:r>
    </w:p>
    <w:p w:rsidR="006531B4" w:rsidRPr="00E650A4" w:rsidRDefault="006531B4" w:rsidP="00E27CE5">
      <w:pPr>
        <w:numPr>
          <w:ilvl w:val="0"/>
          <w:numId w:val="35"/>
        </w:numPr>
        <w:suppressLineNumbers/>
        <w:tabs>
          <w:tab w:val="left" w:pos="1440"/>
        </w:tabs>
        <w:suppressAutoHyphens/>
        <w:adjustRightInd w:val="0"/>
        <w:snapToGrid w:val="0"/>
        <w:spacing w:before="120" w:after="120" w:line="240" w:lineRule="atLeast"/>
        <w:ind w:left="0" w:firstLine="720"/>
        <w:rPr>
          <w:rFonts w:cs="Times New Roman"/>
          <w:snapToGrid w:val="0"/>
          <w:kern w:val="22"/>
          <w:sz w:val="24"/>
        </w:rPr>
      </w:pPr>
      <w:r w:rsidRPr="00E650A4">
        <w:rPr>
          <w:rFonts w:ascii="KaiTi" w:eastAsia="KaiTi" w:cs="Times New Roman" w:hint="eastAsia"/>
          <w:snapToGrid w:val="0"/>
          <w:kern w:val="22"/>
          <w:sz w:val="24"/>
          <w:lang w:val="zh-CN"/>
        </w:rPr>
        <w:t>建议</w:t>
      </w:r>
      <w:r w:rsidRPr="00E650A4">
        <w:rPr>
          <w:rFonts w:ascii="宋体" w:hAnsi="宋体" w:cs="宋体" w:hint="eastAsia"/>
          <w:snapToGrid w:val="0"/>
          <w:kern w:val="22"/>
          <w:sz w:val="24"/>
          <w:lang w:val="zh-CN"/>
        </w:rPr>
        <w:t>缔约方大会在通过支持执行《名古屋议定书》的财务机制的指导意见时</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邀请全球环境基金继续协助符合资格的缔约方执行《名古屋议定书》</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包括制定有关获取和惠益分享的立法、行政和政策措施及相关体制安排并为此提供资金</w:t>
      </w:r>
      <w:r w:rsidRPr="00E650A4">
        <w:rPr>
          <w:rFonts w:ascii="宋体" w:hAnsi="宋体" w:cs="宋体" w:hint="eastAsia"/>
          <w:snapToGrid w:val="0"/>
          <w:kern w:val="22"/>
          <w:sz w:val="24"/>
        </w:rPr>
        <w:t>；</w:t>
      </w:r>
    </w:p>
    <w:p w:rsidR="006531B4" w:rsidRPr="00E650A4" w:rsidRDefault="006531B4" w:rsidP="00E27CE5">
      <w:pPr>
        <w:numPr>
          <w:ilvl w:val="0"/>
          <w:numId w:val="35"/>
        </w:numPr>
        <w:suppressLineNumbers/>
        <w:tabs>
          <w:tab w:val="left" w:pos="1440"/>
        </w:tabs>
        <w:suppressAutoHyphens/>
        <w:adjustRightInd w:val="0"/>
        <w:snapToGrid w:val="0"/>
        <w:spacing w:before="120" w:after="120" w:line="240" w:lineRule="atLeast"/>
        <w:ind w:left="0" w:firstLine="720"/>
        <w:rPr>
          <w:rFonts w:cs="Times New Roman"/>
          <w:snapToGrid w:val="0"/>
          <w:kern w:val="22"/>
          <w:sz w:val="24"/>
        </w:rPr>
      </w:pPr>
      <w:r w:rsidRPr="00E650A4">
        <w:rPr>
          <w:rFonts w:ascii="KaiTi" w:eastAsia="KaiTi" w:cs="Times New Roman" w:hint="eastAsia"/>
          <w:snapToGrid w:val="0"/>
          <w:kern w:val="22"/>
          <w:sz w:val="24"/>
          <w:lang w:val="zh-CN"/>
        </w:rPr>
        <w:t>鼓励</w:t>
      </w:r>
      <w:r w:rsidRPr="00E650A4">
        <w:rPr>
          <w:rFonts w:ascii="宋体" w:hAnsi="宋体" w:cs="宋体" w:hint="eastAsia"/>
          <w:snapToGrid w:val="0"/>
          <w:kern w:val="22"/>
          <w:sz w:val="24"/>
          <w:lang w:val="zh-CN"/>
        </w:rPr>
        <w:t>各缔约方、非缔约方、土著人民和地方社区以及相关组织利用临时国家报告和</w:t>
      </w:r>
      <w:r>
        <w:rPr>
          <w:rFonts w:ascii="宋体" w:hAnsi="宋体" w:cs="宋体" w:hint="eastAsia"/>
          <w:snapToGrid w:val="0"/>
          <w:kern w:val="22"/>
          <w:sz w:val="24"/>
          <w:lang w:val="zh-CN"/>
        </w:rPr>
        <w:t>获取和惠益分享</w:t>
      </w:r>
      <w:r w:rsidRPr="00E650A4">
        <w:rPr>
          <w:rFonts w:ascii="宋体" w:hAnsi="宋体" w:cs="宋体" w:hint="eastAsia"/>
          <w:snapToGrid w:val="0"/>
          <w:kern w:val="22"/>
          <w:sz w:val="24"/>
          <w:lang w:val="zh-CN"/>
        </w:rPr>
        <w:t>信息交换所现有的丰富信息和经验以及现有工具和资料</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例如准则和能力建设材料</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支持执行工作和促进经验交流</w:t>
      </w:r>
      <w:r w:rsidRPr="00E650A4">
        <w:rPr>
          <w:rFonts w:ascii="宋体" w:hAnsi="宋体" w:cs="宋体" w:hint="eastAsia"/>
          <w:snapToGrid w:val="0"/>
          <w:kern w:val="22"/>
          <w:sz w:val="24"/>
        </w:rPr>
        <w:t>；</w:t>
      </w:r>
    </w:p>
    <w:p w:rsidR="006531B4" w:rsidRPr="00E650A4" w:rsidRDefault="006531B4" w:rsidP="00E27CE5">
      <w:pPr>
        <w:numPr>
          <w:ilvl w:val="0"/>
          <w:numId w:val="35"/>
        </w:numPr>
        <w:suppressLineNumbers/>
        <w:tabs>
          <w:tab w:val="left" w:pos="1440"/>
        </w:tabs>
        <w:suppressAutoHyphens/>
        <w:adjustRightInd w:val="0"/>
        <w:snapToGrid w:val="0"/>
        <w:spacing w:before="120" w:after="120" w:line="240" w:lineRule="atLeast"/>
        <w:ind w:left="0" w:firstLine="720"/>
        <w:rPr>
          <w:rFonts w:cs="Times New Roman"/>
          <w:snapToGrid w:val="0"/>
          <w:kern w:val="22"/>
          <w:sz w:val="24"/>
        </w:rPr>
      </w:pPr>
      <w:r w:rsidRPr="00E650A4">
        <w:rPr>
          <w:rFonts w:ascii="KaiTi" w:eastAsia="KaiTi" w:cs="Times New Roman" w:hint="eastAsia"/>
          <w:snapToGrid w:val="0"/>
          <w:kern w:val="22"/>
          <w:sz w:val="24"/>
          <w:lang w:val="zh-CN"/>
        </w:rPr>
        <w:t>邀请</w:t>
      </w:r>
      <w:r w:rsidRPr="00E650A4">
        <w:rPr>
          <w:rFonts w:ascii="宋体" w:hAnsi="宋体" w:cs="宋体" w:hint="eastAsia"/>
          <w:snapToGrid w:val="0"/>
          <w:kern w:val="22"/>
          <w:sz w:val="24"/>
          <w:lang w:val="zh-CN"/>
        </w:rPr>
        <w:t>各缔约方鉴于《议定书》的跨领域性质建立适当机制以便利</w:t>
      </w:r>
      <w:r w:rsidRPr="00E650A4">
        <w:rPr>
          <w:rFonts w:ascii="宋体" w:hAnsi="宋体" w:cs="宋体" w:hint="eastAsia"/>
          <w:snapToGrid w:val="0"/>
          <w:kern w:val="22"/>
          <w:sz w:val="24"/>
        </w:rPr>
        <w:t>：</w:t>
      </w:r>
    </w:p>
    <w:p w:rsidR="006531B4" w:rsidRPr="00E650A4" w:rsidRDefault="006531B4" w:rsidP="00E27CE5">
      <w:pPr>
        <w:numPr>
          <w:ilvl w:val="0"/>
          <w:numId w:val="39"/>
        </w:numPr>
        <w:suppressLineNumbers/>
        <w:tabs>
          <w:tab w:val="left" w:pos="1440"/>
        </w:tabs>
        <w:suppressAutoHyphens/>
        <w:adjustRightInd w:val="0"/>
        <w:snapToGrid w:val="0"/>
        <w:spacing w:before="120" w:after="120" w:line="240" w:lineRule="atLeast"/>
        <w:ind w:left="0" w:firstLine="720"/>
        <w:rPr>
          <w:rFonts w:cs="Times New Roman"/>
          <w:snapToGrid w:val="0"/>
          <w:kern w:val="22"/>
          <w:sz w:val="24"/>
        </w:rPr>
      </w:pPr>
      <w:r w:rsidRPr="00E650A4">
        <w:rPr>
          <w:rFonts w:ascii="宋体" w:hAnsi="宋体" w:cs="宋体" w:hint="eastAsia"/>
          <w:snapToGrid w:val="0"/>
          <w:kern w:val="22"/>
          <w:sz w:val="24"/>
          <w:lang w:val="zh-CN"/>
        </w:rPr>
        <w:t>涉及获取和惠益分享的</w:t>
      </w:r>
      <w:r>
        <w:rPr>
          <w:rFonts w:ascii="宋体" w:hAnsi="宋体" w:cs="宋体" w:hint="eastAsia"/>
          <w:snapToGrid w:val="0"/>
          <w:kern w:val="22"/>
          <w:sz w:val="24"/>
          <w:lang w:val="zh-CN"/>
        </w:rPr>
        <w:t>各相关</w:t>
      </w:r>
      <w:r w:rsidRPr="00E650A4">
        <w:rPr>
          <w:rFonts w:ascii="宋体" w:hAnsi="宋体" w:cs="宋体" w:hint="eastAsia"/>
          <w:snapToGrid w:val="0"/>
          <w:kern w:val="22"/>
          <w:sz w:val="24"/>
          <w:lang w:val="zh-CN"/>
        </w:rPr>
        <w:t>机构</w:t>
      </w:r>
      <w:r>
        <w:rPr>
          <w:rFonts w:ascii="宋体" w:hAnsi="宋体" w:cs="宋体" w:hint="eastAsia"/>
          <w:snapToGrid w:val="0"/>
          <w:kern w:val="22"/>
          <w:sz w:val="24"/>
          <w:lang w:val="zh-CN"/>
        </w:rPr>
        <w:t>，包括国家联络点、国家主管当局</w:t>
      </w:r>
      <w:r w:rsidRPr="00E650A4">
        <w:rPr>
          <w:rFonts w:ascii="宋体" w:hAnsi="宋体" w:cs="宋体" w:hint="eastAsia"/>
          <w:snapToGrid w:val="0"/>
          <w:kern w:val="22"/>
          <w:sz w:val="24"/>
          <w:lang w:val="zh-CN"/>
        </w:rPr>
        <w:t>和</w:t>
      </w:r>
      <w:r>
        <w:rPr>
          <w:rFonts w:ascii="宋体" w:hAnsi="宋体" w:cs="宋体" w:hint="eastAsia"/>
          <w:snapToGrid w:val="0"/>
          <w:kern w:val="22"/>
          <w:sz w:val="24"/>
          <w:lang w:val="zh-CN"/>
        </w:rPr>
        <w:t>各</w:t>
      </w:r>
      <w:r w:rsidRPr="00E650A4">
        <w:rPr>
          <w:rFonts w:ascii="宋体" w:hAnsi="宋体" w:cs="宋体" w:hint="eastAsia"/>
          <w:snapToGrid w:val="0"/>
          <w:kern w:val="22"/>
          <w:sz w:val="24"/>
          <w:lang w:val="zh-CN"/>
        </w:rPr>
        <w:t>部之间进行国家协调</w:t>
      </w:r>
      <w:r w:rsidRPr="00E650A4">
        <w:rPr>
          <w:rFonts w:ascii="宋体" w:hAnsi="宋体" w:cs="宋体" w:hint="eastAsia"/>
          <w:snapToGrid w:val="0"/>
          <w:kern w:val="22"/>
          <w:sz w:val="24"/>
        </w:rPr>
        <w:t>；</w:t>
      </w:r>
    </w:p>
    <w:p w:rsidR="006531B4" w:rsidRPr="00E650A4" w:rsidRDefault="006531B4" w:rsidP="00E27CE5">
      <w:pPr>
        <w:numPr>
          <w:ilvl w:val="0"/>
          <w:numId w:val="39"/>
        </w:numPr>
        <w:suppressLineNumbers/>
        <w:tabs>
          <w:tab w:val="left" w:pos="1440"/>
        </w:tabs>
        <w:suppressAutoHyphens/>
        <w:adjustRightInd w:val="0"/>
        <w:snapToGrid w:val="0"/>
        <w:spacing w:before="120" w:after="120" w:line="240" w:lineRule="atLeast"/>
        <w:ind w:left="0" w:firstLine="720"/>
        <w:rPr>
          <w:rFonts w:cs="Times New Roman"/>
          <w:snapToGrid w:val="0"/>
          <w:kern w:val="22"/>
          <w:sz w:val="24"/>
        </w:rPr>
      </w:pPr>
      <w:r w:rsidRPr="00E650A4">
        <w:rPr>
          <w:rFonts w:ascii="宋体" w:hAnsi="宋体" w:cs="宋体" w:hint="eastAsia"/>
          <w:snapToGrid w:val="0"/>
          <w:kern w:val="22"/>
          <w:sz w:val="24"/>
          <w:lang w:val="zh-CN"/>
        </w:rPr>
        <w:t>土著人民和地方社区充分和有效参与执行《议定书》有关土著人民和地方社区的条款</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以期考虑到他们的需要和国情</w:t>
      </w:r>
      <w:r w:rsidRPr="00E650A4">
        <w:rPr>
          <w:rFonts w:ascii="宋体" w:hAnsi="宋体" w:cs="宋体" w:hint="eastAsia"/>
          <w:snapToGrid w:val="0"/>
          <w:kern w:val="22"/>
          <w:sz w:val="24"/>
        </w:rPr>
        <w:t>；</w:t>
      </w:r>
    </w:p>
    <w:p w:rsidR="006531B4" w:rsidRPr="00E650A4" w:rsidRDefault="006531B4" w:rsidP="00E27CE5">
      <w:pPr>
        <w:numPr>
          <w:ilvl w:val="0"/>
          <w:numId w:val="39"/>
        </w:numPr>
        <w:suppressLineNumbers/>
        <w:tabs>
          <w:tab w:val="left" w:pos="1440"/>
        </w:tabs>
        <w:suppressAutoHyphens/>
        <w:adjustRightInd w:val="0"/>
        <w:snapToGrid w:val="0"/>
        <w:spacing w:before="120" w:after="120" w:line="240" w:lineRule="atLeast"/>
        <w:ind w:left="0" w:firstLine="720"/>
        <w:rPr>
          <w:rFonts w:cs="Times New Roman"/>
          <w:snapToGrid w:val="0"/>
          <w:kern w:val="22"/>
          <w:sz w:val="24"/>
        </w:rPr>
      </w:pPr>
      <w:r w:rsidRPr="00E650A4">
        <w:rPr>
          <w:rFonts w:ascii="宋体" w:hAnsi="宋体" w:cs="宋体" w:hint="eastAsia"/>
          <w:snapToGrid w:val="0"/>
          <w:kern w:val="22"/>
          <w:sz w:val="24"/>
          <w:lang w:val="zh-CN"/>
        </w:rPr>
        <w:t>不同部门的相关利益攸关方的参与</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以期在制定关于获取和惠益分享的立法、行政和政策措施时考虑到他们的需要</w:t>
      </w:r>
      <w:r w:rsidRPr="00E650A4">
        <w:rPr>
          <w:rFonts w:ascii="宋体" w:hAnsi="宋体" w:cs="宋体" w:hint="eastAsia"/>
          <w:snapToGrid w:val="0"/>
          <w:kern w:val="22"/>
          <w:sz w:val="24"/>
        </w:rPr>
        <w:t>；</w:t>
      </w:r>
    </w:p>
    <w:p w:rsidR="006531B4" w:rsidRPr="00E650A4" w:rsidRDefault="006531B4" w:rsidP="00E27CE5">
      <w:pPr>
        <w:numPr>
          <w:ilvl w:val="0"/>
          <w:numId w:val="35"/>
        </w:numPr>
        <w:suppressLineNumbers/>
        <w:tabs>
          <w:tab w:val="left" w:pos="1440"/>
        </w:tabs>
        <w:suppressAutoHyphens/>
        <w:adjustRightInd w:val="0"/>
        <w:snapToGrid w:val="0"/>
        <w:spacing w:before="120" w:after="120" w:line="240" w:lineRule="atLeast"/>
        <w:ind w:left="0" w:firstLine="720"/>
        <w:rPr>
          <w:rFonts w:cs="Times New Roman"/>
          <w:i/>
          <w:snapToGrid w:val="0"/>
          <w:kern w:val="22"/>
          <w:sz w:val="24"/>
        </w:rPr>
      </w:pPr>
      <w:r w:rsidRPr="00E650A4">
        <w:rPr>
          <w:rFonts w:ascii="KaiTi" w:eastAsia="KaiTi" w:cs="Times New Roman" w:hint="eastAsia"/>
          <w:snapToGrid w:val="0"/>
          <w:kern w:val="22"/>
          <w:sz w:val="24"/>
          <w:lang w:val="zh-CN"/>
        </w:rPr>
        <w:t>又邀请</w:t>
      </w:r>
      <w:r w:rsidRPr="00E650A4">
        <w:rPr>
          <w:rFonts w:ascii="宋体" w:hAnsi="宋体" w:cs="宋体" w:hint="eastAsia"/>
          <w:snapToGrid w:val="0"/>
          <w:kern w:val="22"/>
          <w:sz w:val="24"/>
          <w:lang w:val="zh-CN"/>
        </w:rPr>
        <w:t>各缔约方</w:t>
      </w:r>
      <w:r w:rsidRPr="00E650A4">
        <w:rPr>
          <w:rFonts w:ascii="宋体" w:hAnsi="宋体" w:cs="宋体" w:hint="eastAsia"/>
          <w:snapToGrid w:val="0"/>
          <w:kern w:val="22"/>
          <w:sz w:val="24"/>
        </w:rPr>
        <w:t>：</w:t>
      </w:r>
    </w:p>
    <w:p w:rsidR="006531B4" w:rsidRPr="00E650A4" w:rsidRDefault="006531B4" w:rsidP="00E27CE5">
      <w:pPr>
        <w:numPr>
          <w:ilvl w:val="0"/>
          <w:numId w:val="40"/>
        </w:numPr>
        <w:suppressLineNumbers/>
        <w:tabs>
          <w:tab w:val="left" w:pos="1440"/>
        </w:tabs>
        <w:suppressAutoHyphens/>
        <w:adjustRightInd w:val="0"/>
        <w:snapToGrid w:val="0"/>
        <w:spacing w:before="120" w:after="120" w:line="240" w:lineRule="atLeast"/>
        <w:ind w:left="0" w:firstLine="720"/>
        <w:rPr>
          <w:rFonts w:cs="Times New Roman"/>
          <w:snapToGrid w:val="0"/>
          <w:kern w:val="22"/>
          <w:sz w:val="24"/>
        </w:rPr>
      </w:pPr>
      <w:r w:rsidRPr="00E650A4">
        <w:rPr>
          <w:rFonts w:ascii="宋体" w:hAnsi="宋体" w:cs="宋体" w:hint="eastAsia"/>
          <w:snapToGrid w:val="0"/>
          <w:kern w:val="22"/>
          <w:sz w:val="24"/>
          <w:lang w:val="zh-CN"/>
        </w:rPr>
        <w:t>考虑执行临时措施</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以便获得经验</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指导制定关于获取和惠益分享的立法、行政或政策措施</w:t>
      </w:r>
      <w:r w:rsidRPr="00E650A4">
        <w:rPr>
          <w:rFonts w:ascii="宋体" w:hAnsi="宋体" w:cs="宋体" w:hint="eastAsia"/>
          <w:snapToGrid w:val="0"/>
          <w:kern w:val="22"/>
          <w:sz w:val="24"/>
        </w:rPr>
        <w:t>；</w:t>
      </w:r>
    </w:p>
    <w:p w:rsidR="006531B4" w:rsidRPr="00E650A4" w:rsidRDefault="006531B4" w:rsidP="00E27CE5">
      <w:pPr>
        <w:numPr>
          <w:ilvl w:val="0"/>
          <w:numId w:val="40"/>
        </w:numPr>
        <w:suppressLineNumbers/>
        <w:tabs>
          <w:tab w:val="left" w:pos="1440"/>
        </w:tabs>
        <w:suppressAutoHyphens/>
        <w:adjustRightInd w:val="0"/>
        <w:snapToGrid w:val="0"/>
        <w:spacing w:before="120" w:after="120" w:line="240" w:lineRule="atLeast"/>
        <w:ind w:left="0" w:firstLine="720"/>
        <w:rPr>
          <w:rFonts w:cs="Times New Roman"/>
          <w:snapToGrid w:val="0"/>
          <w:kern w:val="22"/>
          <w:sz w:val="24"/>
        </w:rPr>
      </w:pPr>
      <w:r w:rsidRPr="00E650A4">
        <w:rPr>
          <w:rFonts w:ascii="宋体" w:hAnsi="宋体" w:cs="宋体" w:hint="eastAsia"/>
          <w:snapToGrid w:val="0"/>
          <w:kern w:val="22"/>
          <w:sz w:val="24"/>
          <w:lang w:val="zh-CN"/>
        </w:rPr>
        <w:t>在执行《议定书》第</w:t>
      </w:r>
      <w:r w:rsidRPr="00E650A4">
        <w:rPr>
          <w:rFonts w:cs="Times New Roman"/>
          <w:snapToGrid w:val="0"/>
          <w:kern w:val="22"/>
          <w:sz w:val="24"/>
        </w:rPr>
        <w:t>8</w:t>
      </w:r>
      <w:r w:rsidRPr="00E650A4">
        <w:rPr>
          <w:rFonts w:ascii="宋体" w:hAnsi="宋体" w:cs="宋体" w:hint="eastAsia"/>
          <w:snapToGrid w:val="0"/>
          <w:kern w:val="22"/>
          <w:sz w:val="24"/>
          <w:lang w:val="zh-CN"/>
        </w:rPr>
        <w:t>条时</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酌情根据国情考虑到联合国粮食及农业组织、世界卫生组织和其他相关组织开展的相关工作</w:t>
      </w:r>
      <w:r w:rsidRPr="00E650A4">
        <w:rPr>
          <w:rFonts w:ascii="宋体" w:hAnsi="宋体" w:cs="宋体" w:hint="eastAsia"/>
          <w:snapToGrid w:val="0"/>
          <w:kern w:val="22"/>
          <w:sz w:val="24"/>
        </w:rPr>
        <w:t>；</w:t>
      </w:r>
    </w:p>
    <w:p w:rsidR="006531B4" w:rsidRPr="00192A09" w:rsidRDefault="006531B4" w:rsidP="00E27CE5">
      <w:pPr>
        <w:numPr>
          <w:ilvl w:val="0"/>
          <w:numId w:val="40"/>
        </w:numPr>
        <w:suppressLineNumbers/>
        <w:tabs>
          <w:tab w:val="left" w:pos="1440"/>
        </w:tabs>
        <w:suppressAutoHyphens/>
        <w:adjustRightInd w:val="0"/>
        <w:snapToGrid w:val="0"/>
        <w:spacing w:before="120" w:after="120" w:line="240" w:lineRule="atLeast"/>
        <w:ind w:left="0" w:firstLine="720"/>
        <w:rPr>
          <w:rFonts w:cs="Times New Roman"/>
          <w:snapToGrid w:val="0"/>
          <w:kern w:val="22"/>
          <w:sz w:val="24"/>
        </w:rPr>
      </w:pPr>
      <w:r w:rsidRPr="00E650A4">
        <w:rPr>
          <w:rFonts w:ascii="宋体" w:hAnsi="宋体" w:cs="宋体" w:hint="eastAsia"/>
          <w:snapToGrid w:val="0"/>
          <w:kern w:val="22"/>
          <w:sz w:val="24"/>
          <w:lang w:val="zh-CN"/>
        </w:rPr>
        <w:t>在执行《议定书》第</w:t>
      </w:r>
      <w:r w:rsidRPr="00E650A4">
        <w:rPr>
          <w:rFonts w:cs="Times New Roman"/>
          <w:snapToGrid w:val="0"/>
          <w:kern w:val="22"/>
          <w:sz w:val="24"/>
        </w:rPr>
        <w:t>16</w:t>
      </w:r>
      <w:r w:rsidRPr="00E650A4">
        <w:rPr>
          <w:rFonts w:ascii="宋体" w:hAnsi="宋体" w:cs="宋体" w:hint="eastAsia"/>
          <w:snapToGrid w:val="0"/>
          <w:kern w:val="22"/>
          <w:sz w:val="24"/>
          <w:lang w:val="zh-CN"/>
        </w:rPr>
        <w:t>条时</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酌情注意到世界知识产权组织进行的相关工作</w:t>
      </w:r>
      <w:r>
        <w:rPr>
          <w:rFonts w:ascii="宋体" w:hAnsi="宋体" w:cs="宋体" w:hint="eastAsia"/>
          <w:snapToGrid w:val="0"/>
          <w:kern w:val="22"/>
          <w:sz w:val="24"/>
          <w:lang w:val="zh-CN"/>
        </w:rPr>
        <w:t>，但条件是不能违反《公约》及其《议定书》的目标</w:t>
      </w:r>
      <w:r w:rsidRPr="00E650A4">
        <w:rPr>
          <w:rFonts w:ascii="宋体" w:hAnsi="宋体" w:cs="宋体" w:hint="eastAsia"/>
          <w:snapToGrid w:val="0"/>
          <w:kern w:val="22"/>
          <w:sz w:val="24"/>
        </w:rPr>
        <w:t>；</w:t>
      </w:r>
    </w:p>
    <w:p w:rsidR="006531B4" w:rsidRPr="00E650A4" w:rsidRDefault="006531B4" w:rsidP="00E27CE5">
      <w:pPr>
        <w:numPr>
          <w:ilvl w:val="0"/>
          <w:numId w:val="35"/>
        </w:numPr>
        <w:suppressLineNumbers/>
        <w:tabs>
          <w:tab w:val="left" w:pos="1440"/>
        </w:tabs>
        <w:suppressAutoHyphens/>
        <w:adjustRightInd w:val="0"/>
        <w:snapToGrid w:val="0"/>
        <w:spacing w:before="120" w:after="120" w:line="240" w:lineRule="atLeast"/>
        <w:ind w:left="0" w:firstLine="720"/>
        <w:rPr>
          <w:rFonts w:cs="Times New Roman"/>
          <w:snapToGrid w:val="0"/>
          <w:kern w:val="22"/>
          <w:sz w:val="24"/>
        </w:rPr>
      </w:pPr>
      <w:r w:rsidRPr="00E650A4">
        <w:rPr>
          <w:rFonts w:ascii="KaiTi" w:eastAsia="KaiTi" w:cs="Times New Roman" w:hint="eastAsia"/>
          <w:snapToGrid w:val="0"/>
          <w:kern w:val="22"/>
          <w:sz w:val="24"/>
          <w:lang w:val="zh-CN"/>
        </w:rPr>
        <w:t>邀请</w:t>
      </w:r>
      <w:r w:rsidRPr="00E650A4">
        <w:rPr>
          <w:rFonts w:ascii="宋体" w:hAnsi="宋体" w:cs="宋体" w:hint="eastAsia"/>
          <w:snapToGrid w:val="0"/>
          <w:kern w:val="22"/>
          <w:sz w:val="24"/>
          <w:lang w:val="zh-CN"/>
        </w:rPr>
        <w:t>土著人民和地方社区依照他们的习惯做法参与获取和惠益分享进程</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包括制定关于获取和惠益分享的社区规约</w:t>
      </w:r>
      <w:r w:rsidRPr="00771266">
        <w:rPr>
          <w:rStyle w:val="FootnoteReference"/>
          <w:rFonts w:ascii="宋体"/>
          <w:snapToGrid w:val="0"/>
          <w:kern w:val="22"/>
          <w:sz w:val="24"/>
          <w:vertAlign w:val="superscript"/>
          <w:lang w:val="zh-CN"/>
        </w:rPr>
        <w:footnoteReference w:id="1"/>
      </w:r>
      <w:r w:rsidRPr="00E650A4">
        <w:rPr>
          <w:rFonts w:ascii="宋体" w:hAnsi="宋体" w:cs="宋体" w:hint="eastAsia"/>
          <w:snapToGrid w:val="0"/>
          <w:kern w:val="22"/>
          <w:sz w:val="24"/>
          <w:lang w:val="zh-CN"/>
        </w:rPr>
        <w:t>和程序</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并在获取和惠益分享信息交换所发布</w:t>
      </w:r>
      <w:r>
        <w:rPr>
          <w:rFonts w:ascii="宋体" w:hAnsi="宋体" w:cs="宋体" w:hint="eastAsia"/>
          <w:snapToGrid w:val="0"/>
          <w:kern w:val="22"/>
          <w:sz w:val="24"/>
          <w:lang w:val="zh-CN"/>
        </w:rPr>
        <w:t>，并邀请相关组织提供指导意见，以支持土著人民和地方社区制定其社区规约和程序</w:t>
      </w:r>
      <w:r w:rsidRPr="00E650A4">
        <w:rPr>
          <w:rFonts w:ascii="宋体" w:hAnsi="宋体" w:cs="宋体" w:hint="eastAsia"/>
          <w:snapToGrid w:val="0"/>
          <w:kern w:val="22"/>
          <w:sz w:val="24"/>
        </w:rPr>
        <w:t>；</w:t>
      </w:r>
    </w:p>
    <w:p w:rsidR="006531B4" w:rsidRPr="006D56E9" w:rsidRDefault="006531B4" w:rsidP="004766D6">
      <w:pPr>
        <w:numPr>
          <w:ilvl w:val="0"/>
          <w:numId w:val="35"/>
        </w:numPr>
        <w:suppressLineNumbers/>
        <w:tabs>
          <w:tab w:val="left" w:pos="1440"/>
        </w:tabs>
        <w:suppressAutoHyphens/>
        <w:adjustRightInd w:val="0"/>
        <w:snapToGrid w:val="0"/>
        <w:spacing w:before="120" w:after="120" w:line="240" w:lineRule="atLeast"/>
        <w:ind w:left="0" w:firstLine="720"/>
        <w:rPr>
          <w:rFonts w:cs="Times New Roman"/>
          <w:snapToGrid w:val="0"/>
          <w:kern w:val="22"/>
          <w:sz w:val="24"/>
        </w:rPr>
      </w:pPr>
      <w:r w:rsidRPr="006D56E9">
        <w:rPr>
          <w:rFonts w:ascii="KaiTi" w:eastAsia="KaiTi" w:cs="Times New Roman" w:hint="eastAsia"/>
          <w:snapToGrid w:val="0"/>
          <w:kern w:val="22"/>
          <w:sz w:val="24"/>
          <w:lang w:val="zh-CN"/>
        </w:rPr>
        <w:t>邀请</w:t>
      </w:r>
      <w:r w:rsidRPr="006D56E9">
        <w:rPr>
          <w:rFonts w:ascii="宋体" w:hAnsi="宋体" w:cs="宋体" w:hint="eastAsia"/>
          <w:snapToGrid w:val="0"/>
          <w:kern w:val="22"/>
          <w:sz w:val="24"/>
          <w:lang w:val="zh-CN"/>
        </w:rPr>
        <w:t>相关利益攸关方和使用者组织和网络参与获取和惠益分享进程</w:t>
      </w:r>
      <w:r w:rsidRPr="006D56E9">
        <w:rPr>
          <w:rFonts w:ascii="宋体" w:hAnsi="宋体" w:cs="宋体" w:hint="eastAsia"/>
          <w:snapToGrid w:val="0"/>
          <w:kern w:val="22"/>
          <w:sz w:val="24"/>
        </w:rPr>
        <w:t>，</w:t>
      </w:r>
      <w:r w:rsidRPr="006D56E9">
        <w:rPr>
          <w:rFonts w:ascii="宋体" w:hAnsi="宋体" w:cs="宋体" w:hint="eastAsia"/>
          <w:snapToGrid w:val="0"/>
          <w:kern w:val="22"/>
          <w:sz w:val="24"/>
          <w:lang w:val="zh-CN"/>
        </w:rPr>
        <w:t>包括开发能解决其群体需要并促进遵守获取和惠益分享要求的工具</w:t>
      </w:r>
      <w:r w:rsidRPr="006D56E9">
        <w:rPr>
          <w:rFonts w:ascii="宋体" w:hAnsi="宋体" w:cs="宋体" w:hint="eastAsia"/>
          <w:snapToGrid w:val="0"/>
          <w:kern w:val="22"/>
          <w:sz w:val="24"/>
        </w:rPr>
        <w:t>，</w:t>
      </w:r>
      <w:r w:rsidRPr="006D56E9">
        <w:rPr>
          <w:rFonts w:ascii="宋体" w:hAnsi="宋体" w:cs="宋体" w:hint="eastAsia"/>
          <w:snapToGrid w:val="0"/>
          <w:kern w:val="22"/>
          <w:sz w:val="24"/>
          <w:lang w:val="zh-CN"/>
        </w:rPr>
        <w:t>例如示范合同条款、行为守则、准则、最佳做法和</w:t>
      </w:r>
      <w:r>
        <w:rPr>
          <w:rFonts w:ascii="宋体" w:hAnsi="宋体" w:cs="宋体"/>
          <w:snapToGrid w:val="0"/>
          <w:kern w:val="22"/>
          <w:sz w:val="24"/>
          <w:lang w:val="zh-CN"/>
        </w:rPr>
        <w:t>/</w:t>
      </w:r>
      <w:r w:rsidRPr="006D56E9">
        <w:rPr>
          <w:rFonts w:ascii="宋体" w:hAnsi="宋体" w:cs="宋体" w:hint="eastAsia"/>
          <w:snapToGrid w:val="0"/>
          <w:kern w:val="22"/>
          <w:sz w:val="24"/>
          <w:lang w:val="zh-CN"/>
        </w:rPr>
        <w:t>或标准</w:t>
      </w:r>
      <w:r w:rsidRPr="006D56E9">
        <w:rPr>
          <w:rFonts w:ascii="宋体" w:hAnsi="宋体" w:cs="宋体" w:hint="eastAsia"/>
          <w:snapToGrid w:val="0"/>
          <w:kern w:val="22"/>
          <w:sz w:val="24"/>
        </w:rPr>
        <w:t>，</w:t>
      </w:r>
      <w:r w:rsidRPr="006D56E9">
        <w:rPr>
          <w:rFonts w:ascii="宋体" w:hAnsi="宋体" w:cs="宋体" w:hint="eastAsia"/>
          <w:snapToGrid w:val="0"/>
          <w:kern w:val="22"/>
          <w:sz w:val="24"/>
          <w:lang w:val="zh-CN"/>
        </w:rPr>
        <w:t>并将这些工具在获取和惠益分享信息交换所发布</w:t>
      </w:r>
      <w:r w:rsidRPr="006D56E9">
        <w:rPr>
          <w:rFonts w:ascii="宋体" w:hAnsi="宋体" w:cs="宋体" w:hint="eastAsia"/>
          <w:snapToGrid w:val="0"/>
          <w:kern w:val="22"/>
          <w:sz w:val="24"/>
        </w:rPr>
        <w:t>；</w:t>
      </w:r>
    </w:p>
    <w:p w:rsidR="006531B4" w:rsidRPr="00E650A4" w:rsidRDefault="006531B4" w:rsidP="00E27CE5">
      <w:pPr>
        <w:numPr>
          <w:ilvl w:val="0"/>
          <w:numId w:val="35"/>
        </w:numPr>
        <w:suppressLineNumbers/>
        <w:tabs>
          <w:tab w:val="left" w:pos="1440"/>
        </w:tabs>
        <w:suppressAutoHyphens/>
        <w:adjustRightInd w:val="0"/>
        <w:snapToGrid w:val="0"/>
        <w:spacing w:before="120" w:after="120" w:line="240" w:lineRule="atLeast"/>
        <w:ind w:left="0" w:firstLine="720"/>
        <w:rPr>
          <w:rFonts w:cs="Times New Roman"/>
          <w:snapToGrid w:val="0"/>
          <w:kern w:val="22"/>
          <w:sz w:val="24"/>
        </w:rPr>
      </w:pPr>
      <w:r w:rsidRPr="00E650A4">
        <w:rPr>
          <w:rFonts w:ascii="KaiTi" w:eastAsia="KaiTi" w:cs="Times New Roman" w:hint="eastAsia"/>
          <w:snapToGrid w:val="0"/>
          <w:kern w:val="22"/>
          <w:sz w:val="24"/>
          <w:lang w:val="zh-CN"/>
        </w:rPr>
        <w:t>注意到</w:t>
      </w:r>
      <w:r w:rsidRPr="00E650A4">
        <w:rPr>
          <w:rFonts w:ascii="宋体" w:hAnsi="宋体" w:cs="宋体" w:hint="eastAsia"/>
          <w:snapToGrid w:val="0"/>
          <w:kern w:val="22"/>
          <w:sz w:val="24"/>
          <w:lang w:val="zh-CN"/>
        </w:rPr>
        <w:t>世界知识产权组织仍在就关于知识产权的一项或多项国际法律文书进行工作</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以期确保平衡而有效地保护遗传资源、传统知识和传统文化表现形式</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因此</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评估这项进程的成果能如何促进《议定书》的执行的时机仍未成熟</w:t>
      </w:r>
      <w:r w:rsidRPr="00E650A4">
        <w:rPr>
          <w:rFonts w:ascii="宋体" w:hAnsi="宋体" w:cs="宋体" w:hint="eastAsia"/>
          <w:snapToGrid w:val="0"/>
          <w:kern w:val="22"/>
          <w:sz w:val="24"/>
        </w:rPr>
        <w:t>；</w:t>
      </w:r>
    </w:p>
    <w:p w:rsidR="006531B4" w:rsidRPr="00E650A4" w:rsidRDefault="006531B4" w:rsidP="00E27CE5">
      <w:pPr>
        <w:numPr>
          <w:ilvl w:val="0"/>
          <w:numId w:val="35"/>
        </w:numPr>
        <w:suppressLineNumbers/>
        <w:tabs>
          <w:tab w:val="left" w:pos="1440"/>
        </w:tabs>
        <w:suppressAutoHyphens/>
        <w:adjustRightInd w:val="0"/>
        <w:snapToGrid w:val="0"/>
        <w:spacing w:before="120" w:after="120" w:line="240" w:lineRule="atLeast"/>
        <w:ind w:left="0" w:firstLine="720"/>
        <w:rPr>
          <w:rFonts w:cs="Times New Roman"/>
          <w:snapToGrid w:val="0"/>
          <w:kern w:val="22"/>
          <w:sz w:val="24"/>
        </w:rPr>
      </w:pPr>
      <w:r w:rsidRPr="00E650A4">
        <w:rPr>
          <w:rFonts w:ascii="KaiTi" w:eastAsia="KaiTi" w:hAnsi="KaiTi" w:cs="Times New Roman" w:hint="eastAsia"/>
          <w:snapToGrid w:val="0"/>
          <w:kern w:val="22"/>
          <w:sz w:val="24"/>
          <w:lang w:val="zh-CN"/>
        </w:rPr>
        <w:t>又注意到</w:t>
      </w:r>
      <w:r w:rsidRPr="00E650A4">
        <w:rPr>
          <w:rFonts w:ascii="宋体" w:hAnsi="宋体" w:cs="宋体" w:hint="eastAsia"/>
          <w:snapToGrid w:val="0"/>
          <w:kern w:val="22"/>
          <w:sz w:val="24"/>
          <w:lang w:val="zh-CN"/>
        </w:rPr>
        <w:t>没有足够的信息依照《议定书》第</w:t>
      </w:r>
      <w:r w:rsidRPr="00E650A4">
        <w:rPr>
          <w:rFonts w:cs="Times New Roman"/>
          <w:snapToGrid w:val="0"/>
          <w:kern w:val="22"/>
          <w:sz w:val="24"/>
        </w:rPr>
        <w:t>18</w:t>
      </w:r>
      <w:r w:rsidRPr="00E650A4">
        <w:rPr>
          <w:rFonts w:ascii="宋体" w:hAnsi="宋体" w:cs="宋体" w:hint="eastAsia"/>
          <w:snapToGrid w:val="0"/>
          <w:kern w:val="22"/>
          <w:sz w:val="24"/>
          <w:lang w:val="zh-CN"/>
        </w:rPr>
        <w:t>条第</w:t>
      </w:r>
      <w:r w:rsidRPr="00E650A4">
        <w:rPr>
          <w:rFonts w:cs="Times New Roman"/>
          <w:snapToGrid w:val="0"/>
          <w:kern w:val="22"/>
          <w:sz w:val="24"/>
        </w:rPr>
        <w:t>4</w:t>
      </w:r>
      <w:r w:rsidRPr="00E650A4">
        <w:rPr>
          <w:rFonts w:ascii="宋体" w:hAnsi="宋体" w:cs="宋体" w:hint="eastAsia"/>
          <w:snapToGrid w:val="0"/>
          <w:kern w:val="22"/>
          <w:sz w:val="24"/>
          <w:lang w:val="zh-CN"/>
        </w:rPr>
        <w:t>款衡量第</w:t>
      </w:r>
      <w:r w:rsidRPr="00E650A4">
        <w:rPr>
          <w:rFonts w:cs="Times New Roman"/>
          <w:snapToGrid w:val="0"/>
          <w:kern w:val="22"/>
          <w:sz w:val="24"/>
        </w:rPr>
        <w:t>18</w:t>
      </w:r>
      <w:r w:rsidRPr="00E650A4">
        <w:rPr>
          <w:rFonts w:ascii="宋体" w:hAnsi="宋体" w:cs="宋体" w:hint="eastAsia"/>
          <w:snapToGrid w:val="0"/>
          <w:kern w:val="22"/>
          <w:sz w:val="24"/>
          <w:lang w:val="zh-CN"/>
        </w:rPr>
        <w:t>条的成效</w:t>
      </w:r>
      <w:r w:rsidRPr="00E650A4">
        <w:rPr>
          <w:rFonts w:ascii="宋体" w:hAnsi="宋体" w:cs="宋体" w:hint="eastAsia"/>
          <w:snapToGrid w:val="0"/>
          <w:kern w:val="22"/>
          <w:sz w:val="24"/>
        </w:rPr>
        <w:t>；</w:t>
      </w:r>
    </w:p>
    <w:p w:rsidR="006531B4" w:rsidRPr="00E650A4" w:rsidRDefault="006531B4" w:rsidP="00E27CE5">
      <w:pPr>
        <w:numPr>
          <w:ilvl w:val="0"/>
          <w:numId w:val="35"/>
        </w:numPr>
        <w:suppressLineNumbers/>
        <w:tabs>
          <w:tab w:val="left" w:pos="1440"/>
        </w:tabs>
        <w:suppressAutoHyphens/>
        <w:adjustRightInd w:val="0"/>
        <w:snapToGrid w:val="0"/>
        <w:spacing w:before="120" w:after="120" w:line="240" w:lineRule="atLeast"/>
        <w:ind w:left="0" w:firstLine="720"/>
        <w:rPr>
          <w:rFonts w:cs="Times New Roman"/>
          <w:snapToGrid w:val="0"/>
          <w:kern w:val="22"/>
          <w:sz w:val="24"/>
        </w:rPr>
      </w:pPr>
      <w:r w:rsidRPr="00E650A4">
        <w:rPr>
          <w:rFonts w:ascii="KaiTi" w:eastAsia="KaiTi" w:hAnsi="KaiTi" w:cs="Times New Roman" w:hint="eastAsia"/>
          <w:snapToGrid w:val="0"/>
          <w:kern w:val="22"/>
          <w:sz w:val="24"/>
          <w:lang w:val="zh-CN"/>
        </w:rPr>
        <w:t>决定</w:t>
      </w:r>
      <w:r w:rsidRPr="00E650A4">
        <w:rPr>
          <w:rFonts w:ascii="宋体" w:hAnsi="宋体" w:cs="宋体" w:hint="eastAsia"/>
          <w:snapToGrid w:val="0"/>
          <w:kern w:val="22"/>
          <w:sz w:val="24"/>
          <w:lang w:val="zh-CN"/>
        </w:rPr>
        <w:t>在《议定书》的第二次评估和审查时评估与执行《议定书》有关的所有要素包括第</w:t>
      </w:r>
      <w:r w:rsidRPr="00E650A4">
        <w:rPr>
          <w:rFonts w:cs="Times New Roman"/>
          <w:snapToGrid w:val="0"/>
          <w:kern w:val="22"/>
          <w:sz w:val="24"/>
        </w:rPr>
        <w:t>16</w:t>
      </w:r>
      <w:r w:rsidRPr="00E650A4">
        <w:rPr>
          <w:rFonts w:ascii="宋体" w:hAnsi="宋体" w:cs="宋体" w:hint="eastAsia"/>
          <w:snapToGrid w:val="0"/>
          <w:kern w:val="22"/>
          <w:sz w:val="24"/>
          <w:lang w:val="zh-CN"/>
        </w:rPr>
        <w:t>段所列要素以及关于全球多边惠益分享机制的第</w:t>
      </w:r>
      <w:r w:rsidRPr="00E650A4">
        <w:rPr>
          <w:rFonts w:cs="Times New Roman"/>
          <w:snapToGrid w:val="0"/>
          <w:kern w:val="22"/>
          <w:sz w:val="24"/>
        </w:rPr>
        <w:t>10</w:t>
      </w:r>
      <w:r w:rsidRPr="00E650A4">
        <w:rPr>
          <w:rFonts w:ascii="宋体" w:hAnsi="宋体" w:cs="宋体" w:hint="eastAsia"/>
          <w:snapToGrid w:val="0"/>
          <w:kern w:val="22"/>
          <w:sz w:val="24"/>
          <w:lang w:val="zh-CN"/>
        </w:rPr>
        <w:t>条和关于技术转让、协作和合作的第</w:t>
      </w:r>
      <w:r w:rsidRPr="00E650A4">
        <w:rPr>
          <w:rFonts w:cs="Times New Roman"/>
          <w:snapToGrid w:val="0"/>
          <w:kern w:val="22"/>
          <w:sz w:val="24"/>
        </w:rPr>
        <w:t>23</w:t>
      </w:r>
      <w:r w:rsidRPr="00E650A4">
        <w:rPr>
          <w:rFonts w:ascii="宋体" w:hAnsi="宋体" w:cs="宋体" w:hint="eastAsia"/>
          <w:snapToGrid w:val="0"/>
          <w:kern w:val="22"/>
          <w:sz w:val="24"/>
          <w:lang w:val="zh-CN"/>
        </w:rPr>
        <w:t>条的进展</w:t>
      </w:r>
      <w:r w:rsidRPr="00E650A4">
        <w:rPr>
          <w:rFonts w:ascii="宋体" w:hAnsi="宋体" w:cs="宋体" w:hint="eastAsia"/>
          <w:snapToGrid w:val="0"/>
          <w:kern w:val="22"/>
          <w:sz w:val="24"/>
        </w:rPr>
        <w:t>；</w:t>
      </w:r>
    </w:p>
    <w:p w:rsidR="006531B4" w:rsidRPr="00E650A4" w:rsidRDefault="006531B4" w:rsidP="00E27CE5">
      <w:pPr>
        <w:numPr>
          <w:ilvl w:val="0"/>
          <w:numId w:val="35"/>
        </w:numPr>
        <w:suppressLineNumbers/>
        <w:tabs>
          <w:tab w:val="left" w:pos="1440"/>
        </w:tabs>
        <w:suppressAutoHyphens/>
        <w:adjustRightInd w:val="0"/>
        <w:snapToGrid w:val="0"/>
        <w:spacing w:before="120" w:after="120" w:line="240" w:lineRule="atLeast"/>
        <w:ind w:left="0" w:firstLine="720"/>
        <w:rPr>
          <w:rFonts w:cs="Times New Roman"/>
          <w:snapToGrid w:val="0"/>
          <w:kern w:val="22"/>
          <w:sz w:val="24"/>
        </w:rPr>
      </w:pPr>
      <w:r w:rsidRPr="00E650A4">
        <w:rPr>
          <w:rFonts w:ascii="KaiTi" w:eastAsia="KaiTi" w:hAnsi="KaiTi" w:cs="Times New Roman" w:hint="eastAsia"/>
          <w:snapToGrid w:val="0"/>
          <w:kern w:val="22"/>
          <w:sz w:val="24"/>
          <w:lang w:val="zh-CN"/>
        </w:rPr>
        <w:t>请</w:t>
      </w:r>
      <w:r w:rsidRPr="00E650A4">
        <w:rPr>
          <w:rFonts w:ascii="宋体" w:hAnsi="宋体" w:cs="宋体" w:hint="eastAsia"/>
          <w:snapToGrid w:val="0"/>
          <w:kern w:val="22"/>
          <w:sz w:val="24"/>
          <w:lang w:val="zh-CN"/>
        </w:rPr>
        <w:t>执行秘书</w:t>
      </w:r>
      <w:r w:rsidRPr="00E650A4">
        <w:rPr>
          <w:rFonts w:ascii="宋体" w:hAnsi="宋体" w:cs="宋体" w:hint="eastAsia"/>
          <w:snapToGrid w:val="0"/>
          <w:kern w:val="22"/>
          <w:sz w:val="24"/>
        </w:rPr>
        <w:t>：</w:t>
      </w:r>
    </w:p>
    <w:p w:rsidR="006531B4" w:rsidRPr="00E650A4" w:rsidRDefault="006531B4" w:rsidP="00E27CE5">
      <w:pPr>
        <w:numPr>
          <w:ilvl w:val="0"/>
          <w:numId w:val="41"/>
        </w:numPr>
        <w:suppressLineNumbers/>
        <w:tabs>
          <w:tab w:val="left" w:pos="1440"/>
        </w:tabs>
        <w:suppressAutoHyphens/>
        <w:adjustRightInd w:val="0"/>
        <w:snapToGrid w:val="0"/>
        <w:spacing w:before="120" w:after="120" w:line="240" w:lineRule="atLeast"/>
        <w:ind w:left="0" w:firstLine="720"/>
        <w:rPr>
          <w:rFonts w:cs="Times New Roman"/>
          <w:snapToGrid w:val="0"/>
          <w:kern w:val="22"/>
          <w:sz w:val="24"/>
          <w:u w:color="000000"/>
        </w:rPr>
      </w:pPr>
      <w:r w:rsidRPr="00E650A4">
        <w:rPr>
          <w:rFonts w:ascii="宋体" w:hAnsi="宋体" w:cs="宋体" w:hint="eastAsia"/>
          <w:snapToGrid w:val="0"/>
          <w:kern w:val="22"/>
          <w:sz w:val="24"/>
          <w:u w:color="000000"/>
        </w:rPr>
        <w:t>就</w:t>
      </w:r>
      <w:r w:rsidRPr="00E650A4">
        <w:rPr>
          <w:rFonts w:ascii="宋体" w:hAnsi="宋体" w:cs="宋体" w:hint="eastAsia"/>
          <w:snapToGrid w:val="0"/>
          <w:kern w:val="22"/>
          <w:sz w:val="24"/>
          <w:lang w:val="zh-CN"/>
        </w:rPr>
        <w:t>《议定书》执行工作上的各种挑战</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对获取和惠益分享的国家联络点</w:t>
      </w:r>
      <w:r>
        <w:rPr>
          <w:rFonts w:ascii="宋体" w:hAnsi="宋体" w:cs="宋体" w:hint="eastAsia"/>
          <w:snapToGrid w:val="0"/>
          <w:kern w:val="22"/>
          <w:sz w:val="24"/>
          <w:lang w:val="zh-CN"/>
        </w:rPr>
        <w:t>、国家主管部门</w:t>
      </w:r>
      <w:r w:rsidRPr="00E650A4">
        <w:rPr>
          <w:rFonts w:ascii="宋体" w:hAnsi="宋体" w:cs="宋体" w:hint="eastAsia"/>
          <w:snapToGrid w:val="0"/>
          <w:kern w:val="22"/>
          <w:sz w:val="24"/>
          <w:lang w:val="zh-CN"/>
        </w:rPr>
        <w:t>及遗传资源和</w:t>
      </w:r>
      <w:r>
        <w:rPr>
          <w:rFonts w:ascii="宋体" w:hAnsi="宋体" w:cs="宋体"/>
          <w:snapToGrid w:val="0"/>
          <w:kern w:val="22"/>
          <w:sz w:val="24"/>
          <w:lang w:val="zh-CN"/>
        </w:rPr>
        <w:t>/</w:t>
      </w:r>
      <w:r w:rsidRPr="00E650A4">
        <w:rPr>
          <w:rFonts w:ascii="宋体" w:hAnsi="宋体" w:cs="宋体" w:hint="eastAsia"/>
          <w:snapToGrid w:val="0"/>
          <w:kern w:val="22"/>
          <w:sz w:val="24"/>
          <w:lang w:val="zh-CN"/>
        </w:rPr>
        <w:t>或相关传统知识使用者和提供者进行一次有针对性的调查</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以便为未来评估和审查《议定书》成效的进程提供另一个信息来源</w:t>
      </w:r>
      <w:r w:rsidRPr="00E650A4">
        <w:rPr>
          <w:rFonts w:ascii="宋体" w:hAnsi="宋体" w:cs="宋体" w:hint="eastAsia"/>
          <w:snapToGrid w:val="0"/>
          <w:kern w:val="22"/>
          <w:sz w:val="24"/>
        </w:rPr>
        <w:t>；</w:t>
      </w:r>
    </w:p>
    <w:p w:rsidR="006531B4" w:rsidRPr="00E650A4" w:rsidRDefault="006531B4" w:rsidP="00E27CE5">
      <w:pPr>
        <w:numPr>
          <w:ilvl w:val="0"/>
          <w:numId w:val="41"/>
        </w:numPr>
        <w:suppressLineNumbers/>
        <w:tabs>
          <w:tab w:val="left" w:pos="1440"/>
        </w:tabs>
        <w:suppressAutoHyphens/>
        <w:adjustRightInd w:val="0"/>
        <w:snapToGrid w:val="0"/>
        <w:spacing w:before="120" w:after="120" w:line="240" w:lineRule="atLeast"/>
        <w:ind w:left="0" w:firstLine="720"/>
        <w:rPr>
          <w:rFonts w:cs="Times New Roman"/>
          <w:snapToGrid w:val="0"/>
          <w:kern w:val="22"/>
          <w:sz w:val="24"/>
        </w:rPr>
      </w:pPr>
      <w:r w:rsidRPr="00E650A4">
        <w:rPr>
          <w:rFonts w:ascii="宋体" w:hAnsi="宋体" w:cs="宋体" w:hint="eastAsia"/>
          <w:snapToGrid w:val="0"/>
          <w:kern w:val="22"/>
          <w:sz w:val="24"/>
          <w:u w:color="000000"/>
          <w:lang w:val="zh-CN"/>
        </w:rPr>
        <w:t>在编制《名古屋议定书》执行情况下一份国家报告的拟议格式时</w:t>
      </w:r>
      <w:r w:rsidRPr="00E650A4">
        <w:rPr>
          <w:rFonts w:ascii="宋体" w:hAnsi="宋体" w:cs="宋体" w:hint="eastAsia"/>
          <w:snapToGrid w:val="0"/>
          <w:kern w:val="22"/>
          <w:sz w:val="24"/>
          <w:u w:color="000000"/>
        </w:rPr>
        <w:t>，</w:t>
      </w:r>
      <w:r w:rsidRPr="00E650A4">
        <w:rPr>
          <w:rFonts w:ascii="宋体" w:hAnsi="宋体" w:cs="宋体" w:hint="eastAsia"/>
          <w:snapToGrid w:val="0"/>
          <w:kern w:val="22"/>
          <w:sz w:val="24"/>
          <w:u w:color="000000"/>
          <w:lang w:val="zh-CN"/>
        </w:rPr>
        <w:t>考虑到附件二所载的各项指标</w:t>
      </w:r>
      <w:r w:rsidRPr="00E650A4">
        <w:rPr>
          <w:rFonts w:ascii="宋体" w:hAnsi="宋体" w:cs="宋体" w:hint="eastAsia"/>
          <w:snapToGrid w:val="0"/>
          <w:kern w:val="22"/>
          <w:sz w:val="24"/>
          <w:u w:color="000000"/>
        </w:rPr>
        <w:t>；</w:t>
      </w:r>
    </w:p>
    <w:p w:rsidR="006531B4" w:rsidRPr="00E650A4" w:rsidRDefault="006531B4" w:rsidP="00E27CE5">
      <w:pPr>
        <w:numPr>
          <w:ilvl w:val="0"/>
          <w:numId w:val="35"/>
        </w:numPr>
        <w:suppressLineNumbers/>
        <w:tabs>
          <w:tab w:val="left" w:pos="1440"/>
        </w:tabs>
        <w:suppressAutoHyphens/>
        <w:adjustRightInd w:val="0"/>
        <w:snapToGrid w:val="0"/>
        <w:spacing w:before="120" w:after="120" w:line="240" w:lineRule="atLeast"/>
        <w:ind w:left="0" w:firstLine="720"/>
        <w:rPr>
          <w:rFonts w:cs="Times New Roman"/>
          <w:snapToGrid w:val="0"/>
          <w:kern w:val="22"/>
          <w:sz w:val="24"/>
        </w:rPr>
      </w:pPr>
      <w:r w:rsidRPr="00E650A4">
        <w:rPr>
          <w:rFonts w:ascii="KaiTi" w:eastAsia="KaiTi" w:cs="Times New Roman" w:hint="eastAsia"/>
          <w:snapToGrid w:val="0"/>
          <w:kern w:val="22"/>
          <w:sz w:val="24"/>
          <w:lang w:val="zh-CN"/>
        </w:rPr>
        <w:t>欢迎</w:t>
      </w:r>
      <w:r w:rsidRPr="00E650A4">
        <w:rPr>
          <w:rFonts w:ascii="宋体" w:hAnsi="宋体" w:cs="宋体" w:hint="eastAsia"/>
          <w:snapToGrid w:val="0"/>
          <w:kern w:val="22"/>
          <w:sz w:val="24"/>
          <w:lang w:val="zh-CN"/>
        </w:rPr>
        <w:t>秘书处在实施和运作获取和惠益分享信息交换所方面取得的进展</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并</w:t>
      </w:r>
      <w:r w:rsidRPr="00E650A4">
        <w:rPr>
          <w:rFonts w:ascii="KaiTi" w:eastAsia="KaiTi" w:cs="Times New Roman" w:hint="eastAsia"/>
          <w:snapToGrid w:val="0"/>
          <w:kern w:val="22"/>
          <w:sz w:val="24"/>
          <w:lang w:val="zh-CN"/>
        </w:rPr>
        <w:t>强调</w:t>
      </w:r>
      <w:r w:rsidRPr="00E650A4">
        <w:rPr>
          <w:rFonts w:ascii="宋体" w:hAnsi="宋体" w:cs="宋体" w:hint="eastAsia"/>
          <w:snapToGrid w:val="0"/>
          <w:kern w:val="22"/>
          <w:sz w:val="24"/>
          <w:lang w:val="zh-CN"/>
        </w:rPr>
        <w:t>发布有关在一个国家获取遗传资源和相关传统知识所需遵循程序的信息的重要性</w:t>
      </w:r>
      <w:r w:rsidRPr="00E650A4">
        <w:rPr>
          <w:rFonts w:ascii="宋体" w:hAnsi="宋体" w:cs="宋体" w:hint="eastAsia"/>
          <w:snapToGrid w:val="0"/>
          <w:kern w:val="22"/>
          <w:sz w:val="24"/>
        </w:rPr>
        <w:t>；</w:t>
      </w:r>
    </w:p>
    <w:p w:rsidR="006531B4" w:rsidRPr="00E650A4" w:rsidRDefault="006531B4" w:rsidP="00E27CE5">
      <w:pPr>
        <w:numPr>
          <w:ilvl w:val="0"/>
          <w:numId w:val="35"/>
        </w:numPr>
        <w:suppressLineNumbers/>
        <w:tabs>
          <w:tab w:val="left" w:pos="1440"/>
        </w:tabs>
        <w:suppressAutoHyphens/>
        <w:adjustRightInd w:val="0"/>
        <w:snapToGrid w:val="0"/>
        <w:spacing w:before="120" w:after="120" w:line="240" w:lineRule="atLeast"/>
        <w:ind w:left="0" w:firstLine="720"/>
        <w:rPr>
          <w:rFonts w:cs="Times New Roman"/>
          <w:snapToGrid w:val="0"/>
          <w:kern w:val="22"/>
          <w:sz w:val="24"/>
        </w:rPr>
      </w:pPr>
      <w:r w:rsidRPr="00E650A4">
        <w:rPr>
          <w:rFonts w:ascii="KaiTi" w:eastAsia="KaiTi" w:hAnsi="KaiTi" w:cs="Times New Roman" w:hint="eastAsia"/>
          <w:snapToGrid w:val="0"/>
          <w:kern w:val="22"/>
          <w:sz w:val="24"/>
          <w:lang w:val="zh-CN"/>
        </w:rPr>
        <w:t>请</w:t>
      </w:r>
      <w:r w:rsidRPr="00E650A4">
        <w:rPr>
          <w:rFonts w:ascii="宋体" w:hAnsi="宋体" w:cs="宋体" w:hint="eastAsia"/>
          <w:snapToGrid w:val="0"/>
          <w:kern w:val="22"/>
          <w:sz w:val="24"/>
          <w:lang w:val="zh-CN"/>
        </w:rPr>
        <w:t>执行秘书</w:t>
      </w:r>
      <w:r w:rsidRPr="00E650A4">
        <w:rPr>
          <w:rFonts w:ascii="宋体" w:hAnsi="宋体" w:cs="宋体" w:hint="eastAsia"/>
          <w:snapToGrid w:val="0"/>
          <w:kern w:val="22"/>
          <w:sz w:val="24"/>
        </w:rPr>
        <w:t>：</w:t>
      </w:r>
    </w:p>
    <w:p w:rsidR="006531B4" w:rsidRPr="00E650A4" w:rsidRDefault="006531B4" w:rsidP="00E27CE5">
      <w:pPr>
        <w:numPr>
          <w:ilvl w:val="0"/>
          <w:numId w:val="42"/>
        </w:numPr>
        <w:suppressLineNumbers/>
        <w:tabs>
          <w:tab w:val="left" w:pos="1440"/>
        </w:tabs>
        <w:suppressAutoHyphens/>
        <w:adjustRightInd w:val="0"/>
        <w:snapToGrid w:val="0"/>
        <w:spacing w:before="120" w:after="120" w:line="240" w:lineRule="atLeast"/>
        <w:ind w:left="0" w:firstLine="720"/>
        <w:rPr>
          <w:rFonts w:cs="Times New Roman"/>
          <w:snapToGrid w:val="0"/>
          <w:kern w:val="22"/>
          <w:sz w:val="24"/>
        </w:rPr>
      </w:pPr>
      <w:r w:rsidRPr="00E650A4">
        <w:rPr>
          <w:rFonts w:ascii="宋体" w:hAnsi="宋体" w:cs="宋体" w:hint="eastAsia"/>
          <w:snapToGrid w:val="0"/>
          <w:kern w:val="22"/>
          <w:sz w:val="24"/>
          <w:lang w:val="zh-CN"/>
        </w:rPr>
        <w:t>优先将获取和惠益分享信息交换所翻译成联合国六种正式语文</w:t>
      </w:r>
      <w:r w:rsidRPr="00E650A4">
        <w:rPr>
          <w:rFonts w:ascii="宋体" w:hAnsi="宋体" w:cs="宋体" w:hint="eastAsia"/>
          <w:snapToGrid w:val="0"/>
          <w:kern w:val="22"/>
          <w:sz w:val="24"/>
        </w:rPr>
        <w:t>；</w:t>
      </w:r>
    </w:p>
    <w:p w:rsidR="006531B4" w:rsidRPr="00E650A4" w:rsidRDefault="006531B4" w:rsidP="00E27CE5">
      <w:pPr>
        <w:numPr>
          <w:ilvl w:val="0"/>
          <w:numId w:val="42"/>
        </w:numPr>
        <w:suppressLineNumbers/>
        <w:tabs>
          <w:tab w:val="left" w:pos="1440"/>
        </w:tabs>
        <w:suppressAutoHyphens/>
        <w:adjustRightInd w:val="0"/>
        <w:snapToGrid w:val="0"/>
        <w:spacing w:before="120" w:after="120" w:line="240" w:lineRule="atLeast"/>
        <w:ind w:left="0" w:firstLine="720"/>
        <w:rPr>
          <w:rFonts w:cs="Times New Roman"/>
          <w:snapToGrid w:val="0"/>
          <w:kern w:val="22"/>
          <w:sz w:val="24"/>
        </w:rPr>
      </w:pPr>
      <w:r w:rsidRPr="00E650A4">
        <w:rPr>
          <w:rFonts w:ascii="宋体" w:hAnsi="宋体" w:cs="宋体" w:hint="eastAsia"/>
          <w:snapToGrid w:val="0"/>
          <w:spacing w:val="-1"/>
          <w:kern w:val="22"/>
          <w:sz w:val="24"/>
          <w:lang w:val="zh-CN"/>
        </w:rPr>
        <w:t>继续提高获取和惠益分享信息交换所的绩效</w:t>
      </w:r>
      <w:r w:rsidRPr="00E650A4">
        <w:rPr>
          <w:rFonts w:ascii="宋体" w:hAnsi="宋体" w:cs="宋体" w:hint="eastAsia"/>
          <w:snapToGrid w:val="0"/>
          <w:spacing w:val="-1"/>
          <w:kern w:val="22"/>
          <w:sz w:val="24"/>
        </w:rPr>
        <w:t>；</w:t>
      </w:r>
    </w:p>
    <w:p w:rsidR="006531B4" w:rsidRPr="00E650A4" w:rsidRDefault="006531B4" w:rsidP="00E27CE5">
      <w:pPr>
        <w:numPr>
          <w:ilvl w:val="0"/>
          <w:numId w:val="42"/>
        </w:numPr>
        <w:suppressLineNumbers/>
        <w:tabs>
          <w:tab w:val="left" w:pos="1440"/>
        </w:tabs>
        <w:suppressAutoHyphens/>
        <w:adjustRightInd w:val="0"/>
        <w:snapToGrid w:val="0"/>
        <w:spacing w:before="120" w:after="120" w:line="240" w:lineRule="atLeast"/>
        <w:ind w:left="0" w:firstLine="720"/>
        <w:rPr>
          <w:rFonts w:cs="Times New Roman"/>
          <w:snapToGrid w:val="0"/>
          <w:kern w:val="22"/>
          <w:sz w:val="24"/>
        </w:rPr>
      </w:pPr>
      <w:r w:rsidRPr="00E650A4">
        <w:rPr>
          <w:rFonts w:ascii="宋体" w:hAnsi="宋体" w:cs="宋体" w:hint="eastAsia"/>
          <w:snapToGrid w:val="0"/>
          <w:kern w:val="22"/>
          <w:sz w:val="24"/>
          <w:lang w:val="zh-CN"/>
        </w:rPr>
        <w:t>征求获取和惠益分享信息交换所各类用户对其实施和运作的反馈意见</w:t>
      </w:r>
      <w:r w:rsidRPr="00E650A4">
        <w:rPr>
          <w:rFonts w:ascii="宋体" w:hAnsi="宋体" w:cs="宋体" w:hint="eastAsia"/>
          <w:snapToGrid w:val="0"/>
          <w:kern w:val="22"/>
          <w:sz w:val="24"/>
        </w:rPr>
        <w:t>；</w:t>
      </w:r>
    </w:p>
    <w:p w:rsidR="006531B4" w:rsidRPr="00E650A4" w:rsidRDefault="006531B4" w:rsidP="00E27CE5">
      <w:pPr>
        <w:numPr>
          <w:ilvl w:val="0"/>
          <w:numId w:val="35"/>
        </w:numPr>
        <w:suppressLineNumbers/>
        <w:tabs>
          <w:tab w:val="left" w:pos="1440"/>
        </w:tabs>
        <w:suppressAutoHyphens/>
        <w:adjustRightInd w:val="0"/>
        <w:snapToGrid w:val="0"/>
        <w:spacing w:before="120" w:after="120" w:line="240" w:lineRule="atLeast"/>
        <w:ind w:left="0" w:firstLine="720"/>
        <w:rPr>
          <w:rFonts w:cs="Times New Roman"/>
          <w:snapToGrid w:val="0"/>
          <w:kern w:val="22"/>
          <w:sz w:val="24"/>
        </w:rPr>
      </w:pPr>
      <w:r w:rsidRPr="00E650A4">
        <w:rPr>
          <w:rFonts w:ascii="KaiTi" w:eastAsia="KaiTi" w:cs="Times New Roman" w:hint="eastAsia"/>
          <w:snapToGrid w:val="0"/>
          <w:kern w:val="22"/>
          <w:sz w:val="24"/>
          <w:lang w:val="zh-CN"/>
        </w:rPr>
        <w:t>又请</w:t>
      </w:r>
      <w:r w:rsidRPr="00E650A4">
        <w:rPr>
          <w:rFonts w:ascii="宋体" w:hAnsi="宋体" w:cs="宋体" w:hint="eastAsia"/>
          <w:snapToGrid w:val="0"/>
          <w:kern w:val="22"/>
          <w:sz w:val="24"/>
          <w:lang w:val="zh-CN"/>
        </w:rPr>
        <w:t>执行秘书继续提供技术援助</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协助提交有关获取和惠益分享信息交换所的信息</w:t>
      </w:r>
      <w:r w:rsidRPr="00E650A4">
        <w:rPr>
          <w:rFonts w:ascii="宋体" w:hAnsi="宋体" w:cs="宋体" w:hint="eastAsia"/>
          <w:snapToGrid w:val="0"/>
          <w:kern w:val="22"/>
          <w:sz w:val="24"/>
        </w:rPr>
        <w:t>，</w:t>
      </w:r>
      <w:r w:rsidRPr="00E650A4">
        <w:rPr>
          <w:rFonts w:ascii="宋体" w:hAnsi="宋体" w:cs="宋体" w:hint="eastAsia"/>
          <w:snapToGrid w:val="0"/>
          <w:kern w:val="22"/>
          <w:sz w:val="24"/>
          <w:lang w:val="zh-CN"/>
        </w:rPr>
        <w:t>其中包括</w:t>
      </w:r>
      <w:r w:rsidRPr="00E650A4">
        <w:rPr>
          <w:rFonts w:ascii="宋体" w:hAnsi="宋体" w:cs="宋体" w:hint="eastAsia"/>
          <w:snapToGrid w:val="0"/>
          <w:kern w:val="22"/>
          <w:sz w:val="24"/>
        </w:rPr>
        <w:t>：</w:t>
      </w:r>
    </w:p>
    <w:p w:rsidR="006531B4" w:rsidRPr="00E650A4" w:rsidRDefault="006531B4" w:rsidP="00E27CE5">
      <w:pPr>
        <w:numPr>
          <w:ilvl w:val="0"/>
          <w:numId w:val="43"/>
        </w:numPr>
        <w:suppressLineNumbers/>
        <w:tabs>
          <w:tab w:val="left" w:pos="1440"/>
        </w:tabs>
        <w:suppressAutoHyphens/>
        <w:adjustRightInd w:val="0"/>
        <w:snapToGrid w:val="0"/>
        <w:spacing w:before="120" w:after="120" w:line="240" w:lineRule="atLeast"/>
        <w:ind w:left="0" w:firstLine="720"/>
        <w:rPr>
          <w:rFonts w:cs="Times New Roman"/>
          <w:snapToGrid w:val="0"/>
          <w:kern w:val="22"/>
          <w:sz w:val="24"/>
        </w:rPr>
      </w:pPr>
      <w:r w:rsidRPr="00E650A4">
        <w:rPr>
          <w:rFonts w:ascii="宋体" w:hAnsi="宋体" w:cs="宋体" w:hint="eastAsia"/>
          <w:snapToGrid w:val="0"/>
          <w:kern w:val="22"/>
          <w:sz w:val="24"/>
          <w:u w:color="000000"/>
        </w:rPr>
        <w:t>鼓励</w:t>
      </w:r>
      <w:r w:rsidRPr="00E650A4">
        <w:rPr>
          <w:rFonts w:ascii="宋体" w:hAnsi="宋体" w:cs="宋体" w:hint="eastAsia"/>
          <w:snapToGrid w:val="0"/>
          <w:kern w:val="22"/>
          <w:sz w:val="24"/>
          <w:u w:color="000000"/>
          <w:lang w:val="zh-CN"/>
        </w:rPr>
        <w:t>缔约方以及非缔约方在获取和惠益分享信息交换所发布国家一级现有的所有规定信息和其他相关信息</w:t>
      </w:r>
      <w:r w:rsidRPr="00E650A4">
        <w:rPr>
          <w:rFonts w:ascii="宋体" w:hAnsi="宋体" w:cs="宋体" w:hint="eastAsia"/>
          <w:snapToGrid w:val="0"/>
          <w:kern w:val="22"/>
          <w:sz w:val="24"/>
          <w:u w:color="000000"/>
        </w:rPr>
        <w:t>，</w:t>
      </w:r>
      <w:r w:rsidRPr="00E650A4">
        <w:rPr>
          <w:rFonts w:ascii="宋体" w:hAnsi="宋体" w:cs="宋体" w:hint="eastAsia"/>
          <w:snapToGrid w:val="0"/>
          <w:kern w:val="22"/>
          <w:sz w:val="24"/>
          <w:u w:color="000000"/>
          <w:lang w:val="zh-CN"/>
        </w:rPr>
        <w:t>并为使用获取和惠益分享信息交换所提供培训；</w:t>
      </w:r>
    </w:p>
    <w:p w:rsidR="006531B4" w:rsidRPr="00E650A4" w:rsidRDefault="006531B4" w:rsidP="00E27CE5">
      <w:pPr>
        <w:numPr>
          <w:ilvl w:val="0"/>
          <w:numId w:val="43"/>
        </w:numPr>
        <w:suppressLineNumbers/>
        <w:tabs>
          <w:tab w:val="left" w:pos="1440"/>
        </w:tabs>
        <w:suppressAutoHyphens/>
        <w:adjustRightInd w:val="0"/>
        <w:snapToGrid w:val="0"/>
        <w:spacing w:before="120" w:after="120" w:line="240" w:lineRule="atLeast"/>
        <w:ind w:left="0" w:firstLine="720"/>
        <w:rPr>
          <w:rFonts w:cs="Times New Roman"/>
          <w:snapToGrid w:val="0"/>
          <w:kern w:val="22"/>
          <w:sz w:val="24"/>
        </w:rPr>
      </w:pPr>
      <w:r w:rsidRPr="00E650A4">
        <w:rPr>
          <w:rFonts w:ascii="宋体" w:hAnsi="宋体" w:cs="宋体" w:hint="eastAsia"/>
          <w:snapToGrid w:val="0"/>
          <w:kern w:val="22"/>
          <w:sz w:val="24"/>
          <w:u w:color="000000"/>
          <w:lang w:val="zh-CN"/>
        </w:rPr>
        <w:t>鼓励相关利益攸关方、土著人民和地方社区以及相关组织酌情在获取和惠益分享信息交换所发布参考记录</w:t>
      </w:r>
      <w:r w:rsidRPr="00E650A4">
        <w:rPr>
          <w:rFonts w:ascii="宋体" w:hAnsi="宋体" w:cs="宋体" w:hint="eastAsia"/>
          <w:snapToGrid w:val="0"/>
          <w:kern w:val="22"/>
          <w:sz w:val="24"/>
          <w:u w:color="000000"/>
        </w:rPr>
        <w:t>；</w:t>
      </w:r>
    </w:p>
    <w:p w:rsidR="006531B4" w:rsidRPr="00E650A4" w:rsidRDefault="006531B4" w:rsidP="00E650A4">
      <w:pPr>
        <w:numPr>
          <w:ilvl w:val="0"/>
          <w:numId w:val="43"/>
        </w:numPr>
        <w:suppressLineNumbers/>
        <w:tabs>
          <w:tab w:val="left" w:pos="1440"/>
        </w:tabs>
        <w:suppressAutoHyphens/>
        <w:adjustRightInd w:val="0"/>
        <w:spacing w:before="120" w:after="120" w:line="240" w:lineRule="atLeast"/>
        <w:ind w:left="0" w:firstLine="720"/>
        <w:rPr>
          <w:rFonts w:ascii="SimSun" w:cs="Times New Roman"/>
          <w:snapToGrid w:val="0"/>
          <w:kern w:val="22"/>
          <w:sz w:val="24"/>
          <w:u w:color="000000"/>
        </w:rPr>
      </w:pPr>
      <w:r w:rsidRPr="00E650A4">
        <w:rPr>
          <w:rFonts w:ascii="宋体" w:hAnsi="宋体" w:cs="宋体" w:hint="eastAsia"/>
          <w:snapToGrid w:val="0"/>
          <w:kern w:val="22"/>
          <w:sz w:val="24"/>
          <w:u w:color="000000"/>
          <w:lang w:val="zh-CN"/>
        </w:rPr>
        <w:t>加强了解该系统的运作</w:t>
      </w:r>
      <w:r w:rsidRPr="00E650A4">
        <w:rPr>
          <w:rFonts w:ascii="宋体" w:hAnsi="宋体" w:cs="宋体" w:hint="eastAsia"/>
          <w:snapToGrid w:val="0"/>
          <w:kern w:val="22"/>
          <w:sz w:val="24"/>
          <w:u w:color="000000"/>
        </w:rPr>
        <w:t>，</w:t>
      </w:r>
      <w:r w:rsidRPr="00E650A4">
        <w:rPr>
          <w:rFonts w:ascii="宋体" w:hAnsi="宋体" w:cs="宋体" w:hint="eastAsia"/>
          <w:snapToGrid w:val="0"/>
          <w:kern w:val="22"/>
          <w:sz w:val="24"/>
          <w:u w:color="000000"/>
          <w:lang w:val="zh-CN"/>
        </w:rPr>
        <w:t>以便通过获取和惠益分享信息交换所监测遗传资源的利用情况</w:t>
      </w:r>
      <w:r w:rsidRPr="00E650A4">
        <w:rPr>
          <w:rFonts w:ascii="宋体" w:hAnsi="宋体" w:cs="宋体" w:hint="eastAsia"/>
          <w:snapToGrid w:val="0"/>
          <w:kern w:val="22"/>
          <w:sz w:val="24"/>
          <w:u w:color="000000"/>
        </w:rPr>
        <w:t>；</w:t>
      </w:r>
    </w:p>
    <w:p w:rsidR="006531B4" w:rsidRPr="00E650A4" w:rsidRDefault="006531B4" w:rsidP="00E650A4">
      <w:pPr>
        <w:numPr>
          <w:ilvl w:val="0"/>
          <w:numId w:val="43"/>
        </w:numPr>
        <w:suppressLineNumbers/>
        <w:tabs>
          <w:tab w:val="left" w:pos="1440"/>
        </w:tabs>
        <w:suppressAutoHyphens/>
        <w:adjustRightInd w:val="0"/>
        <w:spacing w:before="120" w:after="120" w:line="240" w:lineRule="atLeast"/>
        <w:ind w:left="0" w:firstLine="720"/>
        <w:rPr>
          <w:rFonts w:cs="Times New Roman"/>
          <w:snapToGrid w:val="0"/>
          <w:kern w:val="22"/>
          <w:sz w:val="24"/>
        </w:rPr>
      </w:pPr>
      <w:r w:rsidRPr="00E650A4">
        <w:rPr>
          <w:rFonts w:ascii="宋体" w:hAnsi="宋体" w:cs="宋体" w:hint="eastAsia"/>
          <w:snapToGrid w:val="0"/>
          <w:kern w:val="22"/>
          <w:sz w:val="24"/>
          <w:u w:color="000000"/>
          <w:lang w:val="zh-CN"/>
        </w:rPr>
        <w:t>鼓励使用获取和惠益分享信息交换所的互操作性功能</w:t>
      </w:r>
      <w:r w:rsidRPr="00E650A4">
        <w:rPr>
          <w:rFonts w:ascii="宋体" w:hAnsi="宋体" w:cs="宋体" w:hint="eastAsia"/>
          <w:snapToGrid w:val="0"/>
          <w:kern w:val="22"/>
          <w:sz w:val="24"/>
          <w:u w:color="000000"/>
        </w:rPr>
        <w:t>，</w:t>
      </w:r>
      <w:r w:rsidRPr="00E650A4">
        <w:rPr>
          <w:rFonts w:ascii="宋体" w:hAnsi="宋体" w:cs="宋体" w:hint="eastAsia"/>
          <w:snapToGrid w:val="0"/>
          <w:kern w:val="22"/>
          <w:sz w:val="24"/>
          <w:u w:color="000000"/>
          <w:lang w:val="zh-CN"/>
        </w:rPr>
        <w:t>例如应用程序编程接口。</w:t>
      </w:r>
    </w:p>
    <w:p w:rsidR="006531B4" w:rsidRPr="00E650A4" w:rsidRDefault="006531B4" w:rsidP="00A86AC1">
      <w:pPr>
        <w:keepNext/>
        <w:spacing w:before="240" w:after="240"/>
        <w:jc w:val="center"/>
        <w:outlineLvl w:val="1"/>
        <w:rPr>
          <w:rFonts w:cs="Times New Roman"/>
          <w:b/>
          <w:bCs/>
          <w:iCs/>
          <w:sz w:val="24"/>
        </w:rPr>
      </w:pPr>
      <w:r>
        <w:rPr>
          <w:rFonts w:cs="Times New Roman"/>
          <w:b/>
          <w:bCs/>
          <w:iCs/>
          <w:sz w:val="24"/>
        </w:rPr>
        <w:t xml:space="preserve">B.   </w:t>
      </w:r>
      <w:r w:rsidRPr="00E650A4">
        <w:rPr>
          <w:rFonts w:ascii="宋体" w:hAnsi="宋体" w:cs="宋体" w:hint="eastAsia"/>
          <w:b/>
          <w:bCs/>
          <w:iCs/>
          <w:sz w:val="24"/>
        </w:rPr>
        <w:t>《议定书》成效的第二次评估和审查</w:t>
      </w:r>
    </w:p>
    <w:p w:rsidR="006531B4" w:rsidRPr="00EC092F" w:rsidRDefault="006531B4" w:rsidP="00B90928">
      <w:pPr>
        <w:widowControl w:val="0"/>
        <w:suppressLineNumbers/>
        <w:suppressAutoHyphens/>
        <w:kinsoku w:val="0"/>
        <w:overflowPunct w:val="0"/>
        <w:autoSpaceDE w:val="0"/>
        <w:autoSpaceDN w:val="0"/>
        <w:snapToGrid w:val="0"/>
        <w:spacing w:before="120" w:after="120"/>
        <w:ind w:firstLine="720"/>
        <w:rPr>
          <w:rFonts w:ascii="KaiTi" w:eastAsia="KaiTi" w:hAnsi="KaiTi" w:cs="Times New Roman"/>
          <w:kern w:val="22"/>
          <w:sz w:val="24"/>
        </w:rPr>
      </w:pPr>
      <w:bookmarkStart w:id="2" w:name="_Hlk530410232"/>
      <w:r w:rsidRPr="00EC092F">
        <w:rPr>
          <w:rFonts w:ascii="KaiTi" w:eastAsia="KaiTi" w:hAnsi="KaiTi" w:cs="Times New Roman" w:hint="eastAsia"/>
          <w:kern w:val="22"/>
          <w:sz w:val="24"/>
        </w:rPr>
        <w:t>作为</w:t>
      </w:r>
      <w:r>
        <w:rPr>
          <w:rFonts w:ascii="KaiTi" w:eastAsia="KaiTi" w:hAnsi="KaiTi" w:cs="Times New Roman" w:hint="eastAsia"/>
          <w:kern w:val="22"/>
          <w:sz w:val="24"/>
        </w:rPr>
        <w:t>名古屋</w:t>
      </w:r>
      <w:r w:rsidRPr="00EC092F">
        <w:rPr>
          <w:rFonts w:ascii="KaiTi" w:eastAsia="KaiTi" w:hAnsi="KaiTi" w:cs="Times New Roman" w:hint="eastAsia"/>
          <w:kern w:val="22"/>
          <w:sz w:val="24"/>
        </w:rPr>
        <w:t>议定书缔约方会议的缔约方大会</w:t>
      </w:r>
    </w:p>
    <w:p w:rsidR="006531B4" w:rsidRPr="00EC092F" w:rsidRDefault="006531B4" w:rsidP="00B90928">
      <w:pPr>
        <w:widowControl w:val="0"/>
        <w:suppressLineNumbers/>
        <w:suppressAutoHyphens/>
        <w:kinsoku w:val="0"/>
        <w:overflowPunct w:val="0"/>
        <w:autoSpaceDE w:val="0"/>
        <w:autoSpaceDN w:val="0"/>
        <w:snapToGrid w:val="0"/>
        <w:spacing w:before="120" w:after="120"/>
        <w:ind w:firstLine="720"/>
        <w:rPr>
          <w:rFonts w:cs="Times New Roman"/>
          <w:kern w:val="22"/>
          <w:sz w:val="24"/>
        </w:rPr>
      </w:pPr>
      <w:r w:rsidRPr="00EC092F">
        <w:rPr>
          <w:rFonts w:ascii="KaiTi" w:eastAsia="KaiTi" w:hAnsi="KaiTi" w:cs="Times New Roman" w:hint="eastAsia"/>
          <w:kern w:val="22"/>
          <w:sz w:val="24"/>
        </w:rPr>
        <w:t>审议</w:t>
      </w:r>
      <w:r w:rsidRPr="00EC092F">
        <w:rPr>
          <w:rFonts w:ascii="宋体" w:hAnsi="宋体" w:cs="宋体" w:hint="eastAsia"/>
          <w:kern w:val="22"/>
          <w:sz w:val="24"/>
        </w:rPr>
        <w:t>了执行秘书关于评估和审查《议定书》成效（第</w:t>
      </w:r>
      <w:r w:rsidRPr="00EC092F">
        <w:rPr>
          <w:rFonts w:cs="Times New Roman"/>
          <w:kern w:val="22"/>
          <w:sz w:val="24"/>
        </w:rPr>
        <w:t>31</w:t>
      </w:r>
      <w:r w:rsidRPr="00EC092F">
        <w:rPr>
          <w:rFonts w:ascii="宋体" w:hAnsi="宋体" w:cs="宋体" w:hint="eastAsia"/>
          <w:kern w:val="22"/>
          <w:sz w:val="24"/>
        </w:rPr>
        <w:t>条）的说明，</w:t>
      </w:r>
      <w:r w:rsidRPr="00EC092F">
        <w:rPr>
          <w:rFonts w:cs="Times New Roman"/>
          <w:kern w:val="22"/>
          <w:sz w:val="24"/>
          <w:vertAlign w:val="superscript"/>
        </w:rPr>
        <w:footnoteReference w:id="2"/>
      </w:r>
    </w:p>
    <w:p w:rsidR="006531B4" w:rsidRPr="00EC092F" w:rsidRDefault="006531B4" w:rsidP="00B90928">
      <w:pPr>
        <w:widowControl w:val="0"/>
        <w:suppressLineNumbers/>
        <w:suppressAutoHyphens/>
        <w:kinsoku w:val="0"/>
        <w:overflowPunct w:val="0"/>
        <w:autoSpaceDE w:val="0"/>
        <w:autoSpaceDN w:val="0"/>
        <w:snapToGrid w:val="0"/>
        <w:spacing w:before="120" w:after="120"/>
        <w:ind w:firstLine="720"/>
        <w:rPr>
          <w:rFonts w:ascii="SimSun" w:hAnsi="SimSun" w:cs="SimSun"/>
          <w:kern w:val="22"/>
          <w:sz w:val="24"/>
        </w:rPr>
      </w:pPr>
      <w:r w:rsidRPr="00EC092F">
        <w:rPr>
          <w:rFonts w:ascii="KaiTi" w:eastAsia="KaiTi" w:hAnsi="KaiTi" w:cs="Times New Roman" w:hint="eastAsia"/>
          <w:kern w:val="22"/>
          <w:sz w:val="24"/>
        </w:rPr>
        <w:t>铭记</w:t>
      </w:r>
      <w:r w:rsidRPr="00EC092F">
        <w:rPr>
          <w:rFonts w:ascii="宋体" w:hAnsi="宋体" w:cs="宋体" w:hint="eastAsia"/>
          <w:kern w:val="22"/>
          <w:sz w:val="24"/>
        </w:rPr>
        <w:t>提交国家报告与评估和审查进程之间的联系，</w:t>
      </w:r>
    </w:p>
    <w:p w:rsidR="006531B4" w:rsidRPr="00EC092F" w:rsidRDefault="006531B4" w:rsidP="00B90928">
      <w:pPr>
        <w:widowControl w:val="0"/>
        <w:numPr>
          <w:ilvl w:val="0"/>
          <w:numId w:val="46"/>
        </w:numPr>
        <w:suppressLineNumbers/>
        <w:tabs>
          <w:tab w:val="left" w:pos="1440"/>
        </w:tabs>
        <w:suppressAutoHyphens/>
        <w:kinsoku w:val="0"/>
        <w:overflowPunct w:val="0"/>
        <w:autoSpaceDE w:val="0"/>
        <w:autoSpaceDN w:val="0"/>
        <w:snapToGrid w:val="0"/>
        <w:spacing w:before="120" w:after="120"/>
        <w:ind w:left="0" w:firstLine="720"/>
        <w:rPr>
          <w:rFonts w:ascii="SimSun" w:hAnsi="SimSun" w:cs="SimSun"/>
          <w:kern w:val="22"/>
          <w:sz w:val="24"/>
        </w:rPr>
      </w:pPr>
      <w:r w:rsidRPr="00EC092F">
        <w:rPr>
          <w:rFonts w:ascii="KaiTi" w:eastAsia="KaiTi" w:hAnsi="KaiTi" w:cs="Times New Roman" w:hint="eastAsia"/>
          <w:kern w:val="22"/>
          <w:sz w:val="24"/>
        </w:rPr>
        <w:t>决定</w:t>
      </w:r>
      <w:r w:rsidRPr="00EC092F">
        <w:rPr>
          <w:rFonts w:ascii="宋体" w:hAnsi="宋体" w:cs="宋体" w:hint="eastAsia"/>
          <w:kern w:val="22"/>
          <w:sz w:val="24"/>
        </w:rPr>
        <w:t>在</w:t>
      </w:r>
      <w:r w:rsidRPr="00EC092F">
        <w:rPr>
          <w:rFonts w:cs="Times New Roman"/>
          <w:kern w:val="22"/>
          <w:sz w:val="24"/>
        </w:rPr>
        <w:t>2024</w:t>
      </w:r>
      <w:r w:rsidRPr="00EC092F">
        <w:rPr>
          <w:rFonts w:ascii="宋体" w:hAnsi="宋体" w:cs="宋体" w:hint="eastAsia"/>
          <w:kern w:val="22"/>
          <w:sz w:val="24"/>
        </w:rPr>
        <w:t>年作为议定书缔约方会议的缔约方大会第六次会议上对《议定书》的成效进行第二次评估和审查；</w:t>
      </w:r>
    </w:p>
    <w:p w:rsidR="006531B4" w:rsidRDefault="006531B4" w:rsidP="00B90928">
      <w:pPr>
        <w:widowControl w:val="0"/>
        <w:numPr>
          <w:ilvl w:val="0"/>
          <w:numId w:val="46"/>
        </w:numPr>
        <w:suppressLineNumbers/>
        <w:tabs>
          <w:tab w:val="left" w:pos="1440"/>
        </w:tabs>
        <w:suppressAutoHyphens/>
        <w:kinsoku w:val="0"/>
        <w:overflowPunct w:val="0"/>
        <w:autoSpaceDE w:val="0"/>
        <w:autoSpaceDN w:val="0"/>
        <w:snapToGrid w:val="0"/>
        <w:spacing w:before="120" w:after="120"/>
        <w:ind w:left="0" w:firstLine="720"/>
        <w:rPr>
          <w:rFonts w:ascii="SimSun" w:hAnsi="SimSun" w:cs="SimSun"/>
          <w:kern w:val="22"/>
          <w:sz w:val="24"/>
        </w:rPr>
      </w:pPr>
      <w:r w:rsidRPr="00EC092F">
        <w:rPr>
          <w:rFonts w:ascii="KaiTi" w:eastAsia="KaiTi" w:hAnsi="KaiTi" w:cs="Times New Roman" w:hint="eastAsia"/>
          <w:kern w:val="22"/>
          <w:sz w:val="24"/>
        </w:rPr>
        <w:t>请</w:t>
      </w:r>
      <w:r w:rsidRPr="00EC092F">
        <w:rPr>
          <w:rFonts w:ascii="宋体" w:hAnsi="宋体" w:cs="宋体" w:hint="eastAsia"/>
          <w:kern w:val="22"/>
          <w:sz w:val="24"/>
        </w:rPr>
        <w:t>执行秘书提出对《议定书》的成效进行第二次评估和审查的方法，同时考虑到第一次评估和审查进程的成果和经验教训</w:t>
      </w:r>
      <w:r>
        <w:rPr>
          <w:rFonts w:ascii="宋体" w:hAnsi="宋体" w:cs="宋体" w:hint="eastAsia"/>
          <w:kern w:val="22"/>
          <w:sz w:val="24"/>
        </w:rPr>
        <w:t>、</w:t>
      </w:r>
      <w:r w:rsidRPr="00EC092F">
        <w:rPr>
          <w:rFonts w:ascii="宋体" w:hAnsi="宋体" w:cs="宋体" w:hint="eastAsia"/>
          <w:kern w:val="22"/>
          <w:sz w:val="24"/>
        </w:rPr>
        <w:t>《卡塔赫纳生物安全议定书》评估和审查进程的经验和</w:t>
      </w:r>
      <w:r w:rsidRPr="00EC092F">
        <w:rPr>
          <w:rFonts w:cs="Times New Roman"/>
          <w:kern w:val="22"/>
          <w:sz w:val="24"/>
        </w:rPr>
        <w:t>2020</w:t>
      </w:r>
      <w:r w:rsidRPr="00EC092F">
        <w:rPr>
          <w:rFonts w:ascii="宋体" w:hAnsi="宋体" w:cs="宋体" w:hint="eastAsia"/>
          <w:kern w:val="22"/>
          <w:sz w:val="24"/>
        </w:rPr>
        <w:t>年后全球生物多样性框架</w:t>
      </w:r>
      <w:r>
        <w:rPr>
          <w:rFonts w:ascii="宋体" w:hAnsi="宋体" w:cs="宋体" w:hint="eastAsia"/>
          <w:kern w:val="22"/>
          <w:sz w:val="24"/>
        </w:rPr>
        <w:t>；</w:t>
      </w:r>
    </w:p>
    <w:p w:rsidR="006531B4" w:rsidRPr="00EC092F" w:rsidRDefault="006531B4" w:rsidP="00B90928">
      <w:pPr>
        <w:widowControl w:val="0"/>
        <w:numPr>
          <w:ilvl w:val="0"/>
          <w:numId w:val="46"/>
        </w:numPr>
        <w:suppressLineNumbers/>
        <w:tabs>
          <w:tab w:val="left" w:pos="1440"/>
        </w:tabs>
        <w:suppressAutoHyphens/>
        <w:kinsoku w:val="0"/>
        <w:overflowPunct w:val="0"/>
        <w:autoSpaceDE w:val="0"/>
        <w:autoSpaceDN w:val="0"/>
        <w:snapToGrid w:val="0"/>
        <w:spacing w:before="120" w:after="120"/>
        <w:ind w:left="0" w:firstLine="720"/>
        <w:rPr>
          <w:rFonts w:ascii="SimSun" w:hAnsi="SimSun" w:cs="SimSun"/>
          <w:kern w:val="22"/>
          <w:sz w:val="24"/>
        </w:rPr>
      </w:pPr>
      <w:r w:rsidRPr="000E7DCD">
        <w:rPr>
          <w:rFonts w:ascii="KaiTi" w:eastAsia="KaiTi" w:hAnsi="KaiTi" w:cs="Times New Roman" w:hint="eastAsia"/>
          <w:kern w:val="22"/>
          <w:sz w:val="24"/>
        </w:rPr>
        <w:t>请</w:t>
      </w:r>
      <w:r>
        <w:rPr>
          <w:rFonts w:ascii="宋体" w:hAnsi="宋体" w:cs="宋体" w:hint="eastAsia"/>
          <w:kern w:val="22"/>
          <w:sz w:val="24"/>
        </w:rPr>
        <w:t>执行问题附属机构在其第四次会议上审议上文第</w:t>
      </w:r>
      <w:r w:rsidRPr="006D56E9">
        <w:rPr>
          <w:rFonts w:cs="Times New Roman"/>
          <w:kern w:val="22"/>
          <w:sz w:val="24"/>
        </w:rPr>
        <w:t>2</w:t>
      </w:r>
      <w:r>
        <w:rPr>
          <w:rFonts w:ascii="宋体" w:hAnsi="宋体" w:cs="宋体" w:hint="eastAsia"/>
          <w:kern w:val="22"/>
          <w:sz w:val="24"/>
        </w:rPr>
        <w:t>段提及的拟议方法并提出建议，</w:t>
      </w:r>
      <w:r w:rsidRPr="00EC092F">
        <w:rPr>
          <w:rFonts w:ascii="宋体" w:hAnsi="宋体" w:cs="宋体" w:hint="eastAsia"/>
          <w:kern w:val="22"/>
          <w:sz w:val="24"/>
        </w:rPr>
        <w:t>供作为议定书缔约方会议的缔约方大会第五次会议审议；</w:t>
      </w:r>
    </w:p>
    <w:p w:rsidR="006531B4" w:rsidRPr="00FE46DE" w:rsidRDefault="006531B4" w:rsidP="00B90928">
      <w:pPr>
        <w:widowControl w:val="0"/>
        <w:numPr>
          <w:ilvl w:val="0"/>
          <w:numId w:val="46"/>
        </w:numPr>
        <w:suppressLineNumbers/>
        <w:tabs>
          <w:tab w:val="left" w:pos="1440"/>
        </w:tabs>
        <w:suppressAutoHyphens/>
        <w:kinsoku w:val="0"/>
        <w:overflowPunct w:val="0"/>
        <w:autoSpaceDE w:val="0"/>
        <w:autoSpaceDN w:val="0"/>
        <w:snapToGrid w:val="0"/>
        <w:spacing w:before="120" w:after="120"/>
        <w:ind w:left="0" w:firstLine="720"/>
        <w:rPr>
          <w:rFonts w:ascii="SimSun" w:hAnsi="SimSun" w:cs="SimSun"/>
          <w:color w:val="000000"/>
          <w:sz w:val="24"/>
          <w:lang w:val="en-US"/>
        </w:rPr>
      </w:pPr>
      <w:r w:rsidRPr="00E650A4">
        <w:rPr>
          <w:rFonts w:ascii="KaiTi" w:eastAsia="KaiTi" w:hAnsi="KaiTi" w:cs="Times New Roman" w:hint="eastAsia"/>
          <w:kern w:val="22"/>
          <w:sz w:val="24"/>
        </w:rPr>
        <w:t>决定</w:t>
      </w:r>
      <w:r w:rsidRPr="00E650A4">
        <w:rPr>
          <w:rFonts w:ascii="宋体" w:hAnsi="宋体" w:cs="宋体" w:hint="eastAsia"/>
          <w:kern w:val="22"/>
          <w:sz w:val="24"/>
        </w:rPr>
        <w:t>在作为议定书缔约方会议的缔约方大会嗣后一次会议上重新讨论《议定书》成效的嗣后评估和审查的时间间隔问题。</w:t>
      </w:r>
    </w:p>
    <w:bookmarkEnd w:id="2"/>
    <w:p w:rsidR="006531B4" w:rsidRPr="00EC092F" w:rsidRDefault="006531B4" w:rsidP="00EC092F">
      <w:pPr>
        <w:widowControl w:val="0"/>
        <w:overflowPunct w:val="0"/>
        <w:autoSpaceDE w:val="0"/>
        <w:autoSpaceDN w:val="0"/>
        <w:adjustRightInd w:val="0"/>
        <w:spacing w:before="240" w:after="120" w:line="240" w:lineRule="atLeast"/>
        <w:ind w:left="360"/>
        <w:jc w:val="center"/>
        <w:textAlignment w:val="baseline"/>
        <w:rPr>
          <w:rFonts w:ascii="KaiTi" w:eastAsia="KaiTi" w:hAnsi="KaiTi" w:cs="Times New Roman"/>
          <w:sz w:val="24"/>
        </w:rPr>
      </w:pPr>
      <w:r w:rsidRPr="00EC092F">
        <w:rPr>
          <w:rFonts w:ascii="KaiTi" w:eastAsia="KaiTi" w:hAnsi="KaiTi" w:cs="Times New Roman" w:hint="eastAsia"/>
          <w:sz w:val="24"/>
        </w:rPr>
        <w:t>附件一</w:t>
      </w:r>
    </w:p>
    <w:p w:rsidR="006531B4" w:rsidRPr="00EC092F" w:rsidRDefault="006531B4" w:rsidP="00EC092F">
      <w:pPr>
        <w:widowControl w:val="0"/>
        <w:overflowPunct w:val="0"/>
        <w:autoSpaceDE w:val="0"/>
        <w:autoSpaceDN w:val="0"/>
        <w:adjustRightInd w:val="0"/>
        <w:spacing w:before="240" w:after="240" w:line="240" w:lineRule="atLeast"/>
        <w:ind w:left="360"/>
        <w:jc w:val="center"/>
        <w:textAlignment w:val="baseline"/>
        <w:rPr>
          <w:rFonts w:ascii="SimSun" w:hAnsi="SimSun" w:cs="Times New Roman"/>
          <w:b/>
          <w:sz w:val="24"/>
        </w:rPr>
      </w:pPr>
      <w:r w:rsidRPr="00EC092F">
        <w:rPr>
          <w:rFonts w:ascii="宋体" w:hAnsi="宋体" w:cs="宋体" w:hint="eastAsia"/>
          <w:b/>
          <w:sz w:val="24"/>
        </w:rPr>
        <w:t>主要结论</w:t>
      </w:r>
    </w:p>
    <w:p w:rsidR="006531B4" w:rsidRPr="00E650A4" w:rsidRDefault="006531B4" w:rsidP="000E7DCD">
      <w:pPr>
        <w:widowControl w:val="0"/>
        <w:tabs>
          <w:tab w:val="left" w:pos="1440"/>
        </w:tabs>
        <w:overflowPunct w:val="0"/>
        <w:autoSpaceDE w:val="0"/>
        <w:autoSpaceDN w:val="0"/>
        <w:adjustRightInd w:val="0"/>
        <w:spacing w:before="120" w:after="120" w:line="240" w:lineRule="atLeast"/>
        <w:ind w:left="1298" w:hanging="1298"/>
        <w:jc w:val="left"/>
        <w:textAlignment w:val="baseline"/>
        <w:rPr>
          <w:rFonts w:cs="Times New Roman"/>
          <w:b/>
          <w:snapToGrid w:val="0"/>
          <w:kern w:val="22"/>
          <w:sz w:val="24"/>
        </w:rPr>
      </w:pPr>
      <w:r w:rsidRPr="00E650A4">
        <w:rPr>
          <w:rFonts w:ascii="宋体" w:hAnsi="宋体" w:cs="宋体" w:hint="eastAsia"/>
          <w:b/>
          <w:sz w:val="24"/>
        </w:rPr>
        <w:t>要点（</w:t>
      </w:r>
      <w:r w:rsidRPr="00E650A4">
        <w:rPr>
          <w:rFonts w:ascii="SimSun" w:hAnsi="SimSun" w:cs="Times New Roman"/>
          <w:b/>
          <w:sz w:val="24"/>
        </w:rPr>
        <w:t>a</w:t>
      </w:r>
      <w:r w:rsidRPr="00E650A4">
        <w:rPr>
          <w:rFonts w:ascii="宋体" w:hAnsi="宋体" w:cs="宋体" w:hint="eastAsia"/>
          <w:b/>
          <w:sz w:val="24"/>
        </w:rPr>
        <w:t>）：</w:t>
      </w:r>
      <w:r w:rsidRPr="00E650A4">
        <w:rPr>
          <w:rFonts w:ascii="宋体" w:hAnsi="宋体" w:cs="宋体" w:hint="eastAsia"/>
          <w:b/>
          <w:kern w:val="22"/>
          <w:sz w:val="24"/>
        </w:rPr>
        <w:t>执行《名古屋议定书</w:t>
      </w:r>
      <w:r w:rsidRPr="00E650A4">
        <w:rPr>
          <w:rFonts w:ascii="宋体" w:hAnsi="宋体" w:cs="宋体" w:hint="eastAsia"/>
          <w:b/>
          <w:snapToGrid w:val="0"/>
          <w:kern w:val="22"/>
          <w:sz w:val="24"/>
        </w:rPr>
        <w:t>》规定和缔约方相关义务的程度，包括评估缔约方为执行《议定书》而建立体制结构和制定获取和惠益分享措施的进展情况</w:t>
      </w:r>
    </w:p>
    <w:p w:rsidR="006531B4" w:rsidRPr="00E650A4" w:rsidRDefault="006531B4" w:rsidP="00EC092F">
      <w:pPr>
        <w:widowControl w:val="0"/>
        <w:numPr>
          <w:ilvl w:val="1"/>
          <w:numId w:val="31"/>
        </w:numPr>
        <w:overflowPunct w:val="0"/>
        <w:autoSpaceDE w:val="0"/>
        <w:autoSpaceDN w:val="0"/>
        <w:adjustRightInd w:val="0"/>
        <w:snapToGrid w:val="0"/>
        <w:spacing w:before="120" w:after="120" w:line="240" w:lineRule="atLeast"/>
        <w:ind w:left="0" w:firstLine="0"/>
        <w:textAlignment w:val="baseline"/>
        <w:rPr>
          <w:rFonts w:ascii="SimSun" w:hAnsi="SimSun" w:cs="Times New Roman"/>
          <w:sz w:val="24"/>
        </w:rPr>
      </w:pPr>
      <w:r w:rsidRPr="00E650A4">
        <w:rPr>
          <w:rFonts w:ascii="宋体" w:hAnsi="宋体" w:cs="宋体" w:hint="eastAsia"/>
          <w:sz w:val="24"/>
        </w:rPr>
        <w:t>为把《名古屋议定书》付诸实施，缔约方需要制定获取和惠益分享的立法、行政和政策措施和体制安排，许多缔约方仍在制定这些措施和机构。对于许多缔约方，这是个耗时且具有挑战性的过程。</w:t>
      </w:r>
    </w:p>
    <w:p w:rsidR="006531B4" w:rsidRPr="00E650A4" w:rsidRDefault="006531B4" w:rsidP="00EC092F">
      <w:pPr>
        <w:widowControl w:val="0"/>
        <w:numPr>
          <w:ilvl w:val="1"/>
          <w:numId w:val="31"/>
        </w:numPr>
        <w:overflowPunct w:val="0"/>
        <w:autoSpaceDE w:val="0"/>
        <w:autoSpaceDN w:val="0"/>
        <w:adjustRightInd w:val="0"/>
        <w:snapToGrid w:val="0"/>
        <w:spacing w:before="120" w:after="120" w:line="240" w:lineRule="atLeast"/>
        <w:ind w:left="0" w:firstLine="0"/>
        <w:textAlignment w:val="baseline"/>
        <w:rPr>
          <w:rFonts w:ascii="SimSun" w:hAnsi="SimSun" w:cs="Times New Roman"/>
          <w:sz w:val="24"/>
        </w:rPr>
      </w:pPr>
      <w:r w:rsidRPr="00E650A4">
        <w:rPr>
          <w:rFonts w:ascii="宋体" w:hAnsi="宋体" w:cs="宋体" w:hint="eastAsia"/>
          <w:sz w:val="24"/>
        </w:rPr>
        <w:t>建立国家主管部门和检查点等体制安排的进展与采取获取和惠益分享措施的进展密切相关。《名古屋议定书》之前采取的一些措施包括指定国家主管部门。但指定检查点是《议定书》提出的新要求，许多缔约方仍需处理。</w:t>
      </w:r>
    </w:p>
    <w:p w:rsidR="006531B4" w:rsidRPr="00E650A4" w:rsidRDefault="006531B4" w:rsidP="00EC092F">
      <w:pPr>
        <w:widowControl w:val="0"/>
        <w:numPr>
          <w:ilvl w:val="1"/>
          <w:numId w:val="31"/>
        </w:numPr>
        <w:overflowPunct w:val="0"/>
        <w:autoSpaceDE w:val="0"/>
        <w:autoSpaceDN w:val="0"/>
        <w:adjustRightInd w:val="0"/>
        <w:snapToGrid w:val="0"/>
        <w:spacing w:before="120" w:after="120" w:line="240" w:lineRule="atLeast"/>
        <w:ind w:left="0" w:firstLine="0"/>
        <w:textAlignment w:val="baseline"/>
        <w:rPr>
          <w:rFonts w:ascii="SimSun" w:hAnsi="SimSun" w:cs="Times New Roman"/>
          <w:sz w:val="24"/>
        </w:rPr>
      </w:pPr>
      <w:r w:rsidRPr="00E650A4">
        <w:rPr>
          <w:rFonts w:ascii="宋体" w:hAnsi="宋体" w:cs="宋体" w:hint="eastAsia"/>
          <w:sz w:val="24"/>
        </w:rPr>
        <w:t>在</w:t>
      </w:r>
      <w:r>
        <w:rPr>
          <w:rFonts w:ascii="宋体" w:hAnsi="宋体" w:cs="宋体" w:hint="eastAsia"/>
          <w:sz w:val="24"/>
        </w:rPr>
        <w:t>获取和惠益分享</w:t>
      </w:r>
      <w:r w:rsidRPr="00E650A4">
        <w:rPr>
          <w:rFonts w:ascii="宋体" w:hAnsi="宋体" w:cs="宋体" w:hint="eastAsia"/>
          <w:sz w:val="24"/>
        </w:rPr>
        <w:t>信息交换所发布规定信息对于</w:t>
      </w:r>
      <w:r>
        <w:rPr>
          <w:rFonts w:ascii="宋体" w:hAnsi="宋体" w:cs="宋体" w:hint="eastAsia"/>
          <w:sz w:val="24"/>
        </w:rPr>
        <w:t>实施</w:t>
      </w:r>
      <w:r w:rsidRPr="00E650A4">
        <w:rPr>
          <w:rFonts w:ascii="宋体" w:hAnsi="宋体" w:cs="宋体" w:hint="eastAsia"/>
          <w:sz w:val="24"/>
        </w:rPr>
        <w:t>《议定书》至关重要，但一些缔约方尚未根据《名古屋议定书》第</w:t>
      </w:r>
      <w:r w:rsidRPr="00E650A4">
        <w:rPr>
          <w:rFonts w:ascii="SimSun" w:hAnsi="SimSun" w:cs="Times New Roman"/>
          <w:sz w:val="24"/>
        </w:rPr>
        <w:t>14</w:t>
      </w:r>
      <w:r w:rsidRPr="00E650A4">
        <w:rPr>
          <w:rFonts w:ascii="宋体" w:hAnsi="宋体" w:cs="宋体" w:hint="eastAsia"/>
          <w:sz w:val="24"/>
        </w:rPr>
        <w:t>条在</w:t>
      </w:r>
      <w:r>
        <w:rPr>
          <w:rFonts w:ascii="宋体" w:hAnsi="宋体" w:cs="宋体" w:hint="eastAsia"/>
          <w:sz w:val="24"/>
        </w:rPr>
        <w:t>获取和惠益分享</w:t>
      </w:r>
      <w:r w:rsidRPr="00E650A4">
        <w:rPr>
          <w:rFonts w:ascii="宋体" w:hAnsi="宋体" w:cs="宋体" w:hint="eastAsia"/>
          <w:sz w:val="24"/>
        </w:rPr>
        <w:t>信息交换所发布现有所有国家信息。</w:t>
      </w:r>
    </w:p>
    <w:p w:rsidR="006531B4" w:rsidRPr="00E650A4" w:rsidRDefault="006531B4" w:rsidP="00EC092F">
      <w:pPr>
        <w:widowControl w:val="0"/>
        <w:numPr>
          <w:ilvl w:val="1"/>
          <w:numId w:val="31"/>
        </w:numPr>
        <w:overflowPunct w:val="0"/>
        <w:autoSpaceDE w:val="0"/>
        <w:autoSpaceDN w:val="0"/>
        <w:adjustRightInd w:val="0"/>
        <w:snapToGrid w:val="0"/>
        <w:spacing w:before="120" w:after="120" w:line="240" w:lineRule="atLeast"/>
        <w:ind w:left="0" w:firstLine="0"/>
        <w:textAlignment w:val="baseline"/>
        <w:rPr>
          <w:rFonts w:ascii="SimSun" w:hAnsi="SimSun" w:cs="Times New Roman"/>
          <w:sz w:val="24"/>
        </w:rPr>
      </w:pPr>
      <w:r w:rsidRPr="00E650A4">
        <w:rPr>
          <w:rFonts w:ascii="宋体" w:hAnsi="宋体" w:cs="宋体" w:hint="eastAsia"/>
          <w:sz w:val="24"/>
        </w:rPr>
        <w:t>考虑到《议定书》的跨领域性质，其执行需要土著人民和地方社区以及相关利益攸关方（例如不同企业部门和科学界）的参与以及不同机构和部委（例如科教、农业、贸易、知识产权）之间的协调。为协助应对这一挑战，可以建立适当的机制来促进协调和参与</w:t>
      </w:r>
      <w:r>
        <w:rPr>
          <w:rFonts w:ascii="宋体" w:hAnsi="宋体" w:cs="宋体" w:hint="eastAsia"/>
          <w:sz w:val="24"/>
        </w:rPr>
        <w:t>，并</w:t>
      </w:r>
      <w:r w:rsidRPr="00E650A4">
        <w:rPr>
          <w:rFonts w:ascii="宋体" w:hAnsi="宋体" w:cs="宋体" w:hint="eastAsia"/>
          <w:sz w:val="24"/>
        </w:rPr>
        <w:t>可能需要提高认识和能力建设。</w:t>
      </w:r>
      <w:r w:rsidRPr="00E650A4">
        <w:rPr>
          <w:rFonts w:ascii="SimSun" w:hAnsi="SimSun" w:cs="Times New Roman"/>
          <w:sz w:val="24"/>
        </w:rPr>
        <w:t xml:space="preserve"> </w:t>
      </w:r>
    </w:p>
    <w:p w:rsidR="006531B4" w:rsidRPr="00E650A4" w:rsidRDefault="006531B4" w:rsidP="00EC092F">
      <w:pPr>
        <w:widowControl w:val="0"/>
        <w:numPr>
          <w:ilvl w:val="1"/>
          <w:numId w:val="31"/>
        </w:numPr>
        <w:overflowPunct w:val="0"/>
        <w:autoSpaceDE w:val="0"/>
        <w:autoSpaceDN w:val="0"/>
        <w:adjustRightInd w:val="0"/>
        <w:snapToGrid w:val="0"/>
        <w:spacing w:before="120" w:after="120" w:line="240" w:lineRule="atLeast"/>
        <w:ind w:left="0" w:firstLine="0"/>
        <w:textAlignment w:val="baseline"/>
        <w:rPr>
          <w:rFonts w:ascii="SimSun" w:hAnsi="SimSun" w:cs="Times New Roman"/>
          <w:sz w:val="24"/>
        </w:rPr>
      </w:pPr>
      <w:r w:rsidRPr="00E650A4">
        <w:rPr>
          <w:rFonts w:ascii="宋体" w:hAnsi="宋体" w:cs="宋体" w:hint="eastAsia"/>
          <w:sz w:val="24"/>
        </w:rPr>
        <w:t>其他主要挑战包括制定获取和惠益分享措施，支持惠益分享，同时创建法律确定性，避免不必要的复杂性和拖延，避免给使用者和缔约方增加负担和费用，许多缔约方负责获取和惠益分享和《</w:t>
      </w:r>
      <w:r>
        <w:rPr>
          <w:rFonts w:ascii="宋体" w:hAnsi="宋体" w:cs="宋体" w:hint="eastAsia"/>
          <w:sz w:val="24"/>
        </w:rPr>
        <w:t>名古屋</w:t>
      </w:r>
      <w:r w:rsidRPr="00E650A4">
        <w:rPr>
          <w:rFonts w:ascii="宋体" w:hAnsi="宋体" w:cs="宋体" w:hint="eastAsia"/>
          <w:sz w:val="24"/>
        </w:rPr>
        <w:t>议定书》工作的人力本来就有限。</w:t>
      </w:r>
    </w:p>
    <w:p w:rsidR="006531B4" w:rsidRPr="00E650A4" w:rsidRDefault="006531B4" w:rsidP="00EC092F">
      <w:pPr>
        <w:widowControl w:val="0"/>
        <w:numPr>
          <w:ilvl w:val="1"/>
          <w:numId w:val="31"/>
        </w:numPr>
        <w:overflowPunct w:val="0"/>
        <w:autoSpaceDE w:val="0"/>
        <w:autoSpaceDN w:val="0"/>
        <w:adjustRightInd w:val="0"/>
        <w:snapToGrid w:val="0"/>
        <w:spacing w:before="120" w:after="120" w:line="240" w:lineRule="atLeast"/>
        <w:ind w:left="0" w:firstLine="0"/>
        <w:textAlignment w:val="baseline"/>
        <w:rPr>
          <w:rFonts w:ascii="SimSun" w:hAnsi="SimSun" w:cs="Times New Roman"/>
          <w:sz w:val="24"/>
        </w:rPr>
      </w:pPr>
      <w:r w:rsidRPr="00E650A4">
        <w:rPr>
          <w:rFonts w:ascii="宋体" w:hAnsi="宋体" w:cs="宋体" w:hint="eastAsia"/>
          <w:sz w:val="24"/>
        </w:rPr>
        <w:t>鉴于这些挑战，作为第一步可先制定临时措施。制定获取和惠益分享措施时</w:t>
      </w:r>
      <w:r>
        <w:rPr>
          <w:rFonts w:ascii="宋体" w:hAnsi="宋体" w:cs="宋体" w:hint="eastAsia"/>
          <w:sz w:val="24"/>
        </w:rPr>
        <w:t>，</w:t>
      </w:r>
      <w:r w:rsidRPr="00E650A4">
        <w:rPr>
          <w:rFonts w:ascii="宋体" w:hAnsi="宋体" w:cs="宋体" w:hint="eastAsia"/>
          <w:sz w:val="24"/>
        </w:rPr>
        <w:t>也应考虑不同部门遗传资源和相关传统知识使用者</w:t>
      </w:r>
      <w:r>
        <w:rPr>
          <w:rFonts w:ascii="宋体" w:hAnsi="宋体" w:cs="宋体" w:hint="eastAsia"/>
          <w:sz w:val="24"/>
        </w:rPr>
        <w:t>包括利益攸关方</w:t>
      </w:r>
      <w:r w:rsidRPr="00E650A4">
        <w:rPr>
          <w:rFonts w:ascii="宋体" w:hAnsi="宋体" w:cs="宋体" w:hint="eastAsia"/>
          <w:sz w:val="24"/>
        </w:rPr>
        <w:t>的需求。区域办法也可能有助于协调执行《议定书》。</w:t>
      </w:r>
      <w:r w:rsidRPr="00E650A4">
        <w:rPr>
          <w:rFonts w:cs="Times New Roman"/>
          <w:sz w:val="24"/>
          <w:vertAlign w:val="superscript"/>
        </w:rPr>
        <w:footnoteReference w:id="3"/>
      </w:r>
    </w:p>
    <w:p w:rsidR="006531B4" w:rsidRPr="00E650A4" w:rsidRDefault="006531B4" w:rsidP="00EC092F">
      <w:pPr>
        <w:widowControl w:val="0"/>
        <w:numPr>
          <w:ilvl w:val="1"/>
          <w:numId w:val="31"/>
        </w:numPr>
        <w:overflowPunct w:val="0"/>
        <w:autoSpaceDE w:val="0"/>
        <w:autoSpaceDN w:val="0"/>
        <w:adjustRightInd w:val="0"/>
        <w:snapToGrid w:val="0"/>
        <w:spacing w:before="120" w:after="120" w:line="240" w:lineRule="atLeast"/>
        <w:ind w:left="0" w:firstLine="0"/>
        <w:textAlignment w:val="baseline"/>
        <w:rPr>
          <w:rFonts w:ascii="SimSun" w:hAnsi="SimSun" w:cs="Times New Roman"/>
          <w:sz w:val="24"/>
        </w:rPr>
      </w:pPr>
      <w:r w:rsidRPr="00E650A4">
        <w:rPr>
          <w:rFonts w:ascii="宋体" w:hAnsi="宋体" w:cs="宋体" w:hint="eastAsia"/>
          <w:sz w:val="24"/>
        </w:rPr>
        <w:t>执行《议定书》的一些新内容，即关于履约、监测遗传资源的利用包括指定检查点的条款以及与土著人民和地方社区有关的义务，是一项特别挑战。</w:t>
      </w:r>
    </w:p>
    <w:p w:rsidR="006531B4" w:rsidRPr="00E650A4" w:rsidRDefault="006531B4" w:rsidP="00EC092F">
      <w:pPr>
        <w:widowControl w:val="0"/>
        <w:numPr>
          <w:ilvl w:val="1"/>
          <w:numId w:val="31"/>
        </w:numPr>
        <w:overflowPunct w:val="0"/>
        <w:autoSpaceDE w:val="0"/>
        <w:autoSpaceDN w:val="0"/>
        <w:adjustRightInd w:val="0"/>
        <w:snapToGrid w:val="0"/>
        <w:spacing w:before="120" w:after="120" w:line="240" w:lineRule="atLeast"/>
        <w:ind w:left="0" w:firstLine="0"/>
        <w:textAlignment w:val="baseline"/>
        <w:rPr>
          <w:rFonts w:ascii="SimSun" w:hAnsi="SimSun" w:cs="Times New Roman"/>
          <w:sz w:val="24"/>
        </w:rPr>
      </w:pPr>
      <w:r w:rsidRPr="00E650A4">
        <w:rPr>
          <w:rFonts w:ascii="宋体" w:hAnsi="宋体" w:cs="宋体" w:hint="eastAsia"/>
          <w:sz w:val="24"/>
        </w:rPr>
        <w:t>《名古屋议定书》不区分遗传资源使用国和遗传资源提供国，《议定书》的义务适用于所有缔约方，包括根据第</w:t>
      </w:r>
      <w:r w:rsidRPr="00E650A4">
        <w:rPr>
          <w:rFonts w:ascii="SimSun" w:hAnsi="SimSun" w:cs="Times New Roman"/>
          <w:sz w:val="24"/>
        </w:rPr>
        <w:t>15</w:t>
      </w:r>
      <w:r w:rsidRPr="00E650A4">
        <w:rPr>
          <w:rFonts w:ascii="宋体" w:hAnsi="宋体" w:cs="宋体" w:hint="eastAsia"/>
          <w:sz w:val="24"/>
        </w:rPr>
        <w:t>和第</w:t>
      </w:r>
      <w:r w:rsidRPr="00E650A4">
        <w:rPr>
          <w:rFonts w:ascii="SimSun" w:hAnsi="SimSun" w:cs="Times New Roman"/>
          <w:sz w:val="24"/>
        </w:rPr>
        <w:t>16</w:t>
      </w:r>
      <w:r w:rsidRPr="00E650A4">
        <w:rPr>
          <w:rFonts w:ascii="宋体" w:hAnsi="宋体" w:cs="宋体" w:hint="eastAsia"/>
          <w:sz w:val="24"/>
        </w:rPr>
        <w:t>条遵守国家立法或监管要求的条款。</w:t>
      </w:r>
    </w:p>
    <w:p w:rsidR="006531B4" w:rsidRPr="00E650A4" w:rsidRDefault="006531B4" w:rsidP="00EC092F">
      <w:pPr>
        <w:widowControl w:val="0"/>
        <w:numPr>
          <w:ilvl w:val="1"/>
          <w:numId w:val="31"/>
        </w:numPr>
        <w:overflowPunct w:val="0"/>
        <w:autoSpaceDE w:val="0"/>
        <w:autoSpaceDN w:val="0"/>
        <w:adjustRightInd w:val="0"/>
        <w:snapToGrid w:val="0"/>
        <w:spacing w:before="120" w:after="120" w:line="240" w:lineRule="atLeast"/>
        <w:ind w:left="0" w:firstLine="0"/>
        <w:textAlignment w:val="baseline"/>
        <w:rPr>
          <w:rFonts w:ascii="SimSun" w:hAnsi="SimSun" w:cs="Times New Roman"/>
          <w:sz w:val="24"/>
        </w:rPr>
      </w:pPr>
      <w:r w:rsidRPr="00E650A4">
        <w:rPr>
          <w:rFonts w:ascii="宋体" w:hAnsi="宋体" w:cs="宋体" w:hint="eastAsia"/>
          <w:sz w:val="24"/>
        </w:rPr>
        <w:t>关于检查点，缔约方需要根据国情更好地了解其职能和指定办法。还需要建设检查点的能力，使其能够履行职能。</w:t>
      </w:r>
    </w:p>
    <w:p w:rsidR="006531B4" w:rsidRPr="00E650A4" w:rsidRDefault="006531B4" w:rsidP="00EC092F">
      <w:pPr>
        <w:widowControl w:val="0"/>
        <w:numPr>
          <w:ilvl w:val="1"/>
          <w:numId w:val="31"/>
        </w:numPr>
        <w:overflowPunct w:val="0"/>
        <w:autoSpaceDE w:val="0"/>
        <w:autoSpaceDN w:val="0"/>
        <w:adjustRightInd w:val="0"/>
        <w:snapToGrid w:val="0"/>
        <w:spacing w:before="120" w:after="120" w:line="240" w:lineRule="atLeast"/>
        <w:ind w:left="0" w:firstLine="0"/>
        <w:textAlignment w:val="baseline"/>
        <w:rPr>
          <w:rFonts w:ascii="SimSun" w:hAnsi="SimSun" w:cs="Times New Roman"/>
          <w:sz w:val="24"/>
        </w:rPr>
      </w:pPr>
      <w:r w:rsidRPr="00E650A4">
        <w:rPr>
          <w:rFonts w:ascii="宋体" w:hAnsi="宋体" w:cs="宋体" w:hint="eastAsia"/>
          <w:sz w:val="24"/>
        </w:rPr>
        <w:t>关于土著人民和地方社区，挑战包括：确定如何在国家层面适用</w:t>
      </w:r>
      <w:r w:rsidRPr="00E650A4">
        <w:rPr>
          <w:rFonts w:ascii="SimSun" w:hAnsi="SimSun" w:cs="Times New Roman"/>
          <w:sz w:val="24"/>
        </w:rPr>
        <w:t>“</w:t>
      </w:r>
      <w:r w:rsidRPr="00E650A4">
        <w:rPr>
          <w:rFonts w:ascii="宋体" w:hAnsi="宋体" w:cs="宋体" w:hint="eastAsia"/>
          <w:sz w:val="24"/>
        </w:rPr>
        <w:t>土著人民和地方社区</w:t>
      </w:r>
      <w:r w:rsidRPr="00E650A4">
        <w:rPr>
          <w:rFonts w:ascii="SimSun" w:hAnsi="SimSun" w:cs="Times New Roman"/>
          <w:sz w:val="24"/>
        </w:rPr>
        <w:t>”</w:t>
      </w:r>
      <w:r w:rsidRPr="00E650A4">
        <w:rPr>
          <w:rFonts w:ascii="宋体" w:hAnsi="宋体" w:cs="宋体" w:hint="eastAsia"/>
          <w:sz w:val="24"/>
        </w:rPr>
        <w:t>的概念；澄清土著人民和地方社区对遗传资源和</w:t>
      </w:r>
      <w:r>
        <w:rPr>
          <w:rFonts w:ascii="宋体" w:hAnsi="宋体" w:cs="宋体"/>
          <w:sz w:val="24"/>
        </w:rPr>
        <w:t>/</w:t>
      </w:r>
      <w:r w:rsidRPr="00E650A4">
        <w:rPr>
          <w:rFonts w:ascii="宋体" w:hAnsi="宋体" w:cs="宋体" w:hint="eastAsia"/>
          <w:sz w:val="24"/>
        </w:rPr>
        <w:t>或与遗传资源相关的传统知识的权利；确定土著人民和地方社区群体；了解其组成方式；将传统知识与这些知识的持有者挂钩。为了应对这些挑战，可以考虑以下几点：</w:t>
      </w:r>
    </w:p>
    <w:p w:rsidR="006531B4" w:rsidRPr="00E650A4" w:rsidRDefault="006531B4" w:rsidP="00EC092F">
      <w:pPr>
        <w:widowControl w:val="0"/>
        <w:numPr>
          <w:ilvl w:val="0"/>
          <w:numId w:val="44"/>
        </w:numPr>
        <w:overflowPunct w:val="0"/>
        <w:autoSpaceDE w:val="0"/>
        <w:autoSpaceDN w:val="0"/>
        <w:adjustRightInd w:val="0"/>
        <w:spacing w:before="120" w:after="120" w:line="240" w:lineRule="atLeast"/>
        <w:ind w:left="0" w:firstLine="720"/>
        <w:textAlignment w:val="baseline"/>
        <w:rPr>
          <w:rFonts w:cs="Times New Roman"/>
          <w:sz w:val="24"/>
        </w:rPr>
      </w:pPr>
      <w:r w:rsidRPr="00E650A4">
        <w:rPr>
          <w:rFonts w:ascii="宋体" w:hAnsi="宋体" w:cs="宋体" w:hint="eastAsia"/>
          <w:sz w:val="24"/>
        </w:rPr>
        <w:t>建设缔约方支持执行</w:t>
      </w:r>
      <w:r>
        <w:rPr>
          <w:rFonts w:ascii="宋体" w:hAnsi="宋体" w:cs="宋体" w:hint="eastAsia"/>
          <w:sz w:val="24"/>
        </w:rPr>
        <w:t>《议定书》</w:t>
      </w:r>
      <w:r w:rsidRPr="00E650A4">
        <w:rPr>
          <w:rFonts w:ascii="宋体" w:hAnsi="宋体" w:cs="宋体" w:hint="eastAsia"/>
          <w:sz w:val="24"/>
        </w:rPr>
        <w:t>与土著人民和地方社区有关的条款的能力，建设土著人民和地方社区在获取和惠益分享问题方面的能力；</w:t>
      </w:r>
    </w:p>
    <w:p w:rsidR="006531B4" w:rsidRPr="00E650A4" w:rsidRDefault="006531B4" w:rsidP="00EC092F">
      <w:pPr>
        <w:widowControl w:val="0"/>
        <w:numPr>
          <w:ilvl w:val="0"/>
          <w:numId w:val="44"/>
        </w:numPr>
        <w:overflowPunct w:val="0"/>
        <w:autoSpaceDE w:val="0"/>
        <w:autoSpaceDN w:val="0"/>
        <w:adjustRightInd w:val="0"/>
        <w:spacing w:before="120" w:after="120" w:line="240" w:lineRule="atLeast"/>
        <w:ind w:left="0" w:firstLine="720"/>
        <w:textAlignment w:val="baseline"/>
        <w:rPr>
          <w:rFonts w:cs="Times New Roman"/>
          <w:sz w:val="24"/>
        </w:rPr>
      </w:pPr>
      <w:r w:rsidRPr="00E650A4">
        <w:rPr>
          <w:rFonts w:ascii="宋体" w:hAnsi="宋体" w:cs="宋体" w:hint="eastAsia"/>
          <w:sz w:val="24"/>
        </w:rPr>
        <w:t>第</w:t>
      </w:r>
      <w:r w:rsidRPr="00E650A4">
        <w:rPr>
          <w:rFonts w:cs="Times New Roman"/>
          <w:sz w:val="24"/>
        </w:rPr>
        <w:t>8(j</w:t>
      </w:r>
      <w:r w:rsidRPr="00E650A4">
        <w:rPr>
          <w:rFonts w:eastAsia="等线" w:cs="Times New Roman"/>
          <w:sz w:val="24"/>
        </w:rPr>
        <w:t>)</w:t>
      </w:r>
      <w:r w:rsidRPr="00E650A4">
        <w:rPr>
          <w:rFonts w:ascii="宋体" w:hAnsi="宋体" w:cs="宋体" w:hint="eastAsia"/>
          <w:sz w:val="24"/>
        </w:rPr>
        <w:t>条和相关条款问题不限成员名额特设工作组关于土著人民和地方社区概念的相关工作；</w:t>
      </w:r>
      <w:r w:rsidRPr="00E650A4">
        <w:rPr>
          <w:rFonts w:cs="Times New Roman"/>
          <w:sz w:val="24"/>
          <w:vertAlign w:val="superscript"/>
        </w:rPr>
        <w:footnoteReference w:id="4"/>
      </w:r>
    </w:p>
    <w:p w:rsidR="006531B4" w:rsidRPr="00E650A4" w:rsidRDefault="006531B4" w:rsidP="00EC092F">
      <w:pPr>
        <w:widowControl w:val="0"/>
        <w:numPr>
          <w:ilvl w:val="0"/>
          <w:numId w:val="44"/>
        </w:numPr>
        <w:overflowPunct w:val="0"/>
        <w:autoSpaceDE w:val="0"/>
        <w:autoSpaceDN w:val="0"/>
        <w:adjustRightInd w:val="0"/>
        <w:spacing w:before="120" w:after="120" w:line="240" w:lineRule="atLeast"/>
        <w:ind w:left="0" w:firstLine="720"/>
        <w:textAlignment w:val="baseline"/>
        <w:rPr>
          <w:rFonts w:cs="Times New Roman"/>
          <w:sz w:val="24"/>
        </w:rPr>
      </w:pPr>
      <w:r w:rsidRPr="00E650A4">
        <w:rPr>
          <w:rFonts w:ascii="宋体" w:hAnsi="宋体" w:cs="宋体" w:hint="eastAsia"/>
          <w:sz w:val="24"/>
        </w:rPr>
        <w:t>土著人民和地方社区参与执行《议定书》中与土著人民和地方社区有关的条款的国家机制，同时考虑到不同国情；</w:t>
      </w:r>
    </w:p>
    <w:p w:rsidR="006531B4" w:rsidRPr="00E650A4" w:rsidRDefault="006531B4" w:rsidP="00EC092F">
      <w:pPr>
        <w:widowControl w:val="0"/>
        <w:numPr>
          <w:ilvl w:val="0"/>
          <w:numId w:val="44"/>
        </w:numPr>
        <w:overflowPunct w:val="0"/>
        <w:autoSpaceDE w:val="0"/>
        <w:autoSpaceDN w:val="0"/>
        <w:adjustRightInd w:val="0"/>
        <w:spacing w:before="120" w:after="120" w:line="240" w:lineRule="atLeast"/>
        <w:ind w:left="0" w:firstLine="720"/>
        <w:textAlignment w:val="baseline"/>
        <w:rPr>
          <w:rFonts w:cs="Times New Roman"/>
          <w:sz w:val="24"/>
        </w:rPr>
      </w:pPr>
      <w:r w:rsidRPr="00E650A4">
        <w:rPr>
          <w:rFonts w:ascii="宋体" w:hAnsi="宋体" w:cs="宋体" w:hint="eastAsia"/>
          <w:sz w:val="24"/>
        </w:rPr>
        <w:t>支持土著人民和地方社区内部和之间的协调和机构建设，通过制定社区规约等措施解决获取和惠益分享问题；</w:t>
      </w:r>
    </w:p>
    <w:p w:rsidR="006531B4" w:rsidRPr="00E650A4" w:rsidRDefault="006531B4" w:rsidP="00EC092F">
      <w:pPr>
        <w:widowControl w:val="0"/>
        <w:numPr>
          <w:ilvl w:val="0"/>
          <w:numId w:val="44"/>
        </w:numPr>
        <w:overflowPunct w:val="0"/>
        <w:autoSpaceDE w:val="0"/>
        <w:autoSpaceDN w:val="0"/>
        <w:adjustRightInd w:val="0"/>
        <w:spacing w:before="120" w:after="120" w:line="240" w:lineRule="atLeast"/>
        <w:ind w:left="0" w:firstLine="720"/>
        <w:textAlignment w:val="baseline"/>
        <w:rPr>
          <w:rFonts w:ascii="SimSun" w:hAnsi="SimSun" w:cs="Times New Roman"/>
          <w:sz w:val="24"/>
        </w:rPr>
      </w:pPr>
      <w:r w:rsidRPr="00E650A4">
        <w:rPr>
          <w:rFonts w:ascii="宋体" w:hAnsi="宋体" w:cs="宋体" w:hint="eastAsia"/>
          <w:sz w:val="24"/>
        </w:rPr>
        <w:t>进行能力建设，支持土著人民和地方社为分享利用与遗传资源相关的传统知识所产生惠益而制定共同商定条件和示范合同条款的最低要求。</w:t>
      </w:r>
    </w:p>
    <w:p w:rsidR="006531B4" w:rsidRPr="00E650A4" w:rsidRDefault="006531B4" w:rsidP="00EC092F">
      <w:pPr>
        <w:widowControl w:val="0"/>
        <w:numPr>
          <w:ilvl w:val="1"/>
          <w:numId w:val="31"/>
        </w:numPr>
        <w:tabs>
          <w:tab w:val="left" w:pos="720"/>
        </w:tabs>
        <w:overflowPunct w:val="0"/>
        <w:autoSpaceDE w:val="0"/>
        <w:autoSpaceDN w:val="0"/>
        <w:adjustRightInd w:val="0"/>
        <w:snapToGrid w:val="0"/>
        <w:spacing w:before="120" w:after="120" w:line="240" w:lineRule="atLeast"/>
        <w:ind w:left="0" w:firstLine="0"/>
        <w:textAlignment w:val="baseline"/>
        <w:rPr>
          <w:rFonts w:ascii="SimSun" w:hAnsi="SimSun" w:cs="Times New Roman"/>
          <w:sz w:val="24"/>
        </w:rPr>
      </w:pPr>
      <w:r w:rsidRPr="00E650A4">
        <w:rPr>
          <w:rFonts w:ascii="宋体" w:hAnsi="宋体" w:cs="宋体" w:hint="eastAsia"/>
          <w:sz w:val="24"/>
        </w:rPr>
        <w:t>缔约方对事先知情同意、共同商定条件和签发许可证有不同的做法。缔约方必须在</w:t>
      </w:r>
      <w:r>
        <w:rPr>
          <w:rFonts w:ascii="宋体" w:hAnsi="宋体" w:cs="宋体" w:hint="eastAsia"/>
          <w:sz w:val="24"/>
        </w:rPr>
        <w:t>获取和惠益分享</w:t>
      </w:r>
      <w:r w:rsidRPr="00E650A4">
        <w:rPr>
          <w:rFonts w:ascii="宋体" w:hAnsi="宋体" w:cs="宋体" w:hint="eastAsia"/>
          <w:sz w:val="24"/>
        </w:rPr>
        <w:t>信息交换所发布明确信息，说明获取遗传资源和相关传统知识需要遵循的程序。</w:t>
      </w:r>
    </w:p>
    <w:p w:rsidR="006531B4" w:rsidRPr="00E650A4" w:rsidRDefault="006531B4" w:rsidP="00EC092F">
      <w:pPr>
        <w:widowControl w:val="0"/>
        <w:numPr>
          <w:ilvl w:val="1"/>
          <w:numId w:val="31"/>
        </w:numPr>
        <w:overflowPunct w:val="0"/>
        <w:autoSpaceDE w:val="0"/>
        <w:autoSpaceDN w:val="0"/>
        <w:adjustRightInd w:val="0"/>
        <w:snapToGrid w:val="0"/>
        <w:spacing w:before="120" w:after="120" w:line="240" w:lineRule="atLeast"/>
        <w:ind w:left="0" w:firstLine="0"/>
        <w:textAlignment w:val="baseline"/>
        <w:rPr>
          <w:rFonts w:ascii="SimSun" w:hAnsi="SimSun" w:cs="Times New Roman"/>
          <w:sz w:val="24"/>
        </w:rPr>
      </w:pPr>
      <w:r w:rsidRPr="00E650A4">
        <w:rPr>
          <w:rFonts w:ascii="宋体" w:hAnsi="宋体" w:cs="宋体" w:hint="eastAsia"/>
          <w:sz w:val="24"/>
        </w:rPr>
        <w:t>此外，在制定和实施获取和惠益分享立法或监管要求时，缔约方应考虑到《议定书》第</w:t>
      </w:r>
      <w:r w:rsidRPr="00E650A4">
        <w:rPr>
          <w:rFonts w:ascii="SimSun" w:hAnsi="SimSun" w:cs="Times New Roman"/>
          <w:sz w:val="24"/>
        </w:rPr>
        <w:t>8</w:t>
      </w:r>
      <w:r w:rsidRPr="00E650A4">
        <w:rPr>
          <w:rFonts w:ascii="宋体" w:hAnsi="宋体" w:cs="宋体" w:hint="eastAsia"/>
          <w:sz w:val="24"/>
        </w:rPr>
        <w:t>条所列特殊考虑。在这方面，联合国粮食及农业组织、</w:t>
      </w:r>
      <w:r w:rsidRPr="00E650A4">
        <w:rPr>
          <w:rFonts w:cs="Times New Roman"/>
          <w:sz w:val="24"/>
          <w:vertAlign w:val="superscript"/>
        </w:rPr>
        <w:footnoteReference w:id="5"/>
      </w:r>
      <w:r w:rsidRPr="00E650A4">
        <w:rPr>
          <w:rFonts w:ascii="宋体" w:hAnsi="宋体" w:cs="宋体" w:hint="eastAsia"/>
          <w:sz w:val="24"/>
        </w:rPr>
        <w:t>世界卫生组织和其他组织开展的有关工作可能会有帮助。</w:t>
      </w:r>
    </w:p>
    <w:p w:rsidR="006531B4" w:rsidRPr="00E650A4" w:rsidRDefault="006531B4" w:rsidP="00EC092F">
      <w:pPr>
        <w:widowControl w:val="0"/>
        <w:numPr>
          <w:ilvl w:val="1"/>
          <w:numId w:val="31"/>
        </w:numPr>
        <w:overflowPunct w:val="0"/>
        <w:autoSpaceDE w:val="0"/>
        <w:autoSpaceDN w:val="0"/>
        <w:adjustRightInd w:val="0"/>
        <w:snapToGrid w:val="0"/>
        <w:spacing w:before="120" w:after="120" w:line="240" w:lineRule="atLeast"/>
        <w:ind w:left="0" w:firstLine="0"/>
        <w:textAlignment w:val="baseline"/>
        <w:rPr>
          <w:rFonts w:ascii="SimSun" w:hAnsi="SimSun" w:cs="Times New Roman"/>
          <w:sz w:val="24"/>
        </w:rPr>
      </w:pPr>
      <w:r w:rsidRPr="00E650A4">
        <w:rPr>
          <w:rFonts w:ascii="宋体" w:hAnsi="宋体" w:cs="宋体" w:hint="eastAsia"/>
          <w:sz w:val="24"/>
        </w:rPr>
        <w:t>强调为跨界合作而交流信息和经验的重要性（第</w:t>
      </w:r>
      <w:r w:rsidRPr="00E650A4">
        <w:rPr>
          <w:rFonts w:ascii="SimSun" w:hAnsi="SimSun" w:cs="Times New Roman"/>
          <w:sz w:val="24"/>
        </w:rPr>
        <w:t>11</w:t>
      </w:r>
      <w:r w:rsidRPr="00E650A4">
        <w:rPr>
          <w:rFonts w:ascii="宋体" w:hAnsi="宋体" w:cs="宋体" w:hint="eastAsia"/>
          <w:sz w:val="24"/>
        </w:rPr>
        <w:t>条）。特别是次区域和双边项目获得的经验可能有助于本条</w:t>
      </w:r>
      <w:r>
        <w:rPr>
          <w:rFonts w:ascii="宋体" w:hAnsi="宋体" w:cs="宋体" w:hint="eastAsia"/>
          <w:sz w:val="24"/>
        </w:rPr>
        <w:t>的执行</w:t>
      </w:r>
      <w:r w:rsidRPr="00E650A4">
        <w:rPr>
          <w:rFonts w:ascii="宋体" w:hAnsi="宋体" w:cs="宋体" w:hint="eastAsia"/>
          <w:sz w:val="24"/>
        </w:rPr>
        <w:t>。有人认为区域结构或项目是解决这个问题的途径，同时指出需要加强区域结构的能力以发挥这一作用。</w:t>
      </w:r>
    </w:p>
    <w:p w:rsidR="006531B4" w:rsidRPr="00E650A4" w:rsidRDefault="006531B4" w:rsidP="00EC092F">
      <w:pPr>
        <w:widowControl w:val="0"/>
        <w:numPr>
          <w:ilvl w:val="1"/>
          <w:numId w:val="31"/>
        </w:numPr>
        <w:overflowPunct w:val="0"/>
        <w:autoSpaceDE w:val="0"/>
        <w:autoSpaceDN w:val="0"/>
        <w:adjustRightInd w:val="0"/>
        <w:snapToGrid w:val="0"/>
        <w:spacing w:before="120" w:after="120" w:line="240" w:lineRule="atLeast"/>
        <w:ind w:left="0" w:firstLine="0"/>
        <w:textAlignment w:val="baseline"/>
        <w:rPr>
          <w:rFonts w:ascii="SimSun" w:hAnsi="SimSun" w:cs="Times New Roman"/>
          <w:sz w:val="24"/>
        </w:rPr>
      </w:pPr>
      <w:r w:rsidRPr="00E650A4">
        <w:rPr>
          <w:rFonts w:ascii="宋体" w:hAnsi="宋体" w:cs="宋体" w:hint="eastAsia"/>
          <w:sz w:val="24"/>
        </w:rPr>
        <w:t>能力建设还有助于持有相同遗传资源或与遗传资源相关的传统知识的国家协调执行《议定书》。</w:t>
      </w:r>
    </w:p>
    <w:p w:rsidR="006531B4" w:rsidRPr="00E650A4" w:rsidRDefault="006531B4" w:rsidP="00EC092F">
      <w:pPr>
        <w:widowControl w:val="0"/>
        <w:overflowPunct w:val="0"/>
        <w:autoSpaceDE w:val="0"/>
        <w:autoSpaceDN w:val="0"/>
        <w:adjustRightInd w:val="0"/>
        <w:snapToGrid w:val="0"/>
        <w:spacing w:before="120" w:after="120" w:line="240" w:lineRule="atLeast"/>
        <w:jc w:val="left"/>
        <w:textAlignment w:val="baseline"/>
        <w:rPr>
          <w:rFonts w:ascii="SimSun" w:hAnsi="SimSun" w:cs="Times New Roman"/>
          <w:b/>
          <w:sz w:val="24"/>
        </w:rPr>
      </w:pPr>
      <w:r w:rsidRPr="00E650A4">
        <w:rPr>
          <w:rFonts w:ascii="宋体" w:hAnsi="宋体" w:cs="宋体" w:hint="eastAsia"/>
          <w:b/>
          <w:sz w:val="24"/>
        </w:rPr>
        <w:t>要点（</w:t>
      </w:r>
      <w:r w:rsidRPr="00E650A4">
        <w:rPr>
          <w:rFonts w:ascii="SimSun" w:hAnsi="SimSun" w:cs="Times New Roman"/>
          <w:b/>
          <w:sz w:val="24"/>
        </w:rPr>
        <w:t>b</w:t>
      </w:r>
      <w:r w:rsidRPr="00E650A4">
        <w:rPr>
          <w:rFonts w:ascii="宋体" w:hAnsi="宋体" w:cs="宋体" w:hint="eastAsia"/>
          <w:b/>
          <w:sz w:val="24"/>
        </w:rPr>
        <w:t>）</w:t>
      </w:r>
      <w:r w:rsidRPr="00E650A4">
        <w:rPr>
          <w:rFonts w:ascii="宋体" w:hAnsi="宋体" w:cs="宋体" w:hint="eastAsia"/>
          <w:b/>
          <w:sz w:val="24"/>
          <w:lang w:val="en-US"/>
        </w:rPr>
        <w:t>：</w:t>
      </w:r>
      <w:r w:rsidRPr="00E650A4">
        <w:rPr>
          <w:rFonts w:ascii="宋体" w:hAnsi="宋体" w:cs="宋体" w:hint="eastAsia"/>
          <w:b/>
          <w:snapToGrid w:val="0"/>
          <w:kern w:val="22"/>
          <w:sz w:val="24"/>
        </w:rPr>
        <w:t>制定衡量成效的</w:t>
      </w:r>
      <w:r w:rsidRPr="00E650A4">
        <w:rPr>
          <w:rFonts w:ascii="宋体" w:hAnsi="宋体" w:cs="宋体" w:hint="eastAsia"/>
          <w:b/>
          <w:sz w:val="24"/>
        </w:rPr>
        <w:t>参考点</w:t>
      </w:r>
    </w:p>
    <w:p w:rsidR="006531B4" w:rsidRPr="00E650A4" w:rsidRDefault="006531B4" w:rsidP="00431412">
      <w:pPr>
        <w:widowControl w:val="0"/>
        <w:numPr>
          <w:ilvl w:val="1"/>
          <w:numId w:val="31"/>
        </w:numPr>
        <w:overflowPunct w:val="0"/>
        <w:autoSpaceDE w:val="0"/>
        <w:autoSpaceDN w:val="0"/>
        <w:adjustRightInd w:val="0"/>
        <w:snapToGrid w:val="0"/>
        <w:spacing w:before="120" w:after="120" w:line="240" w:lineRule="atLeast"/>
        <w:ind w:left="0" w:firstLine="0"/>
        <w:textAlignment w:val="baseline"/>
        <w:rPr>
          <w:rFonts w:ascii="SimSun" w:hAnsi="SimSun" w:cs="Times New Roman"/>
          <w:sz w:val="24"/>
        </w:rPr>
      </w:pPr>
      <w:r w:rsidRPr="00E650A4">
        <w:rPr>
          <w:rFonts w:ascii="宋体" w:hAnsi="宋体" w:cs="宋体" w:hint="eastAsia"/>
          <w:sz w:val="24"/>
        </w:rPr>
        <w:t>一些缔约方报告说，从利用遗传资源和相关传统知识获得了惠益。</w:t>
      </w:r>
    </w:p>
    <w:p w:rsidR="006531B4" w:rsidRPr="00E650A4" w:rsidRDefault="006531B4" w:rsidP="00431412">
      <w:pPr>
        <w:widowControl w:val="0"/>
        <w:numPr>
          <w:ilvl w:val="1"/>
          <w:numId w:val="31"/>
        </w:numPr>
        <w:overflowPunct w:val="0"/>
        <w:autoSpaceDE w:val="0"/>
        <w:autoSpaceDN w:val="0"/>
        <w:adjustRightInd w:val="0"/>
        <w:snapToGrid w:val="0"/>
        <w:spacing w:before="120" w:after="120" w:line="240" w:lineRule="atLeast"/>
        <w:ind w:left="0" w:firstLine="0"/>
        <w:textAlignment w:val="baseline"/>
        <w:rPr>
          <w:rFonts w:ascii="SimSun" w:hAnsi="SimSun" w:cs="Times New Roman"/>
          <w:sz w:val="24"/>
        </w:rPr>
      </w:pPr>
      <w:r w:rsidRPr="00E650A4">
        <w:rPr>
          <w:rFonts w:ascii="宋体" w:hAnsi="宋体" w:cs="宋体" w:hint="eastAsia"/>
          <w:sz w:val="24"/>
        </w:rPr>
        <w:t>关于《名古屋议定书》的执行</w:t>
      </w:r>
      <w:r>
        <w:rPr>
          <w:rFonts w:ascii="宋体" w:hAnsi="宋体" w:cs="宋体" w:hint="eastAsia"/>
          <w:sz w:val="24"/>
        </w:rPr>
        <w:t>能</w:t>
      </w:r>
      <w:r w:rsidRPr="00E650A4">
        <w:rPr>
          <w:rFonts w:ascii="宋体" w:hAnsi="宋体" w:cs="宋体" w:hint="eastAsia"/>
          <w:sz w:val="24"/>
        </w:rPr>
        <w:t>如何促进本国保护和可持续利用生物多样性</w:t>
      </w:r>
      <w:r>
        <w:rPr>
          <w:rFonts w:ascii="宋体" w:hAnsi="宋体" w:cs="宋体" w:hint="eastAsia"/>
          <w:sz w:val="24"/>
        </w:rPr>
        <w:t>的</w:t>
      </w:r>
      <w:r w:rsidRPr="00E650A4">
        <w:rPr>
          <w:rFonts w:ascii="宋体" w:hAnsi="宋体" w:cs="宋体" w:hint="eastAsia"/>
          <w:sz w:val="24"/>
        </w:rPr>
        <w:t>问题，许多缔约方认为，现在回答这个问题为时尚早，因为《名古屋议定书》的执行工作还处于早期阶段。</w:t>
      </w:r>
    </w:p>
    <w:p w:rsidR="006531B4" w:rsidRPr="00E650A4" w:rsidRDefault="006531B4" w:rsidP="00431412">
      <w:pPr>
        <w:widowControl w:val="0"/>
        <w:numPr>
          <w:ilvl w:val="1"/>
          <w:numId w:val="31"/>
        </w:numPr>
        <w:overflowPunct w:val="0"/>
        <w:autoSpaceDE w:val="0"/>
        <w:autoSpaceDN w:val="0"/>
        <w:adjustRightInd w:val="0"/>
        <w:snapToGrid w:val="0"/>
        <w:spacing w:before="120" w:after="120" w:line="240" w:lineRule="atLeast"/>
        <w:ind w:left="0" w:firstLine="0"/>
        <w:textAlignment w:val="baseline"/>
        <w:rPr>
          <w:rFonts w:ascii="SimSun" w:hAnsi="SimSun" w:cs="Times New Roman"/>
          <w:sz w:val="24"/>
        </w:rPr>
      </w:pPr>
      <w:r w:rsidRPr="00E650A4">
        <w:rPr>
          <w:rFonts w:ascii="宋体" w:hAnsi="宋体" w:cs="宋体" w:hint="eastAsia"/>
          <w:sz w:val="24"/>
        </w:rPr>
        <w:t>报告提到的最常见贡献是提高了对保护和可持续利用生物多样性和生态系统服务的价值的认识。各国强调的其他贡献的例子如下：</w:t>
      </w:r>
    </w:p>
    <w:p w:rsidR="006531B4" w:rsidRPr="00E650A4" w:rsidRDefault="006531B4" w:rsidP="00EC092F">
      <w:pPr>
        <w:widowControl w:val="0"/>
        <w:numPr>
          <w:ilvl w:val="0"/>
          <w:numId w:val="45"/>
        </w:numPr>
        <w:overflowPunct w:val="0"/>
        <w:autoSpaceDE w:val="0"/>
        <w:autoSpaceDN w:val="0"/>
        <w:adjustRightInd w:val="0"/>
        <w:spacing w:before="120" w:after="120" w:line="240" w:lineRule="atLeast"/>
        <w:ind w:left="0" w:firstLine="720"/>
        <w:textAlignment w:val="baseline"/>
        <w:rPr>
          <w:rFonts w:ascii="SimSun" w:hAnsi="SimSun" w:cs="Times New Roman"/>
          <w:sz w:val="24"/>
        </w:rPr>
      </w:pPr>
      <w:r w:rsidRPr="00E650A4">
        <w:rPr>
          <w:rFonts w:ascii="宋体" w:hAnsi="宋体" w:cs="宋体" w:hint="eastAsia"/>
          <w:sz w:val="24"/>
        </w:rPr>
        <w:t>自然资源管理者或主管部门更加意识到《名古屋议定书》的潜在</w:t>
      </w:r>
      <w:r>
        <w:rPr>
          <w:rFonts w:ascii="宋体" w:hAnsi="宋体" w:cs="宋体" w:hint="eastAsia"/>
          <w:sz w:val="24"/>
        </w:rPr>
        <w:t>益处</w:t>
      </w:r>
      <w:r w:rsidRPr="00E650A4">
        <w:rPr>
          <w:rFonts w:ascii="宋体" w:hAnsi="宋体" w:cs="宋体" w:hint="eastAsia"/>
          <w:sz w:val="24"/>
        </w:rPr>
        <w:t>，并正在制定保护做法；</w:t>
      </w:r>
    </w:p>
    <w:p w:rsidR="006531B4" w:rsidRPr="00E650A4" w:rsidRDefault="006531B4" w:rsidP="00EC092F">
      <w:pPr>
        <w:widowControl w:val="0"/>
        <w:numPr>
          <w:ilvl w:val="0"/>
          <w:numId w:val="45"/>
        </w:numPr>
        <w:overflowPunct w:val="0"/>
        <w:autoSpaceDE w:val="0"/>
        <w:autoSpaceDN w:val="0"/>
        <w:adjustRightInd w:val="0"/>
        <w:spacing w:before="120" w:after="120" w:line="240" w:lineRule="atLeast"/>
        <w:ind w:left="0" w:firstLine="720"/>
        <w:textAlignment w:val="baseline"/>
        <w:rPr>
          <w:rFonts w:ascii="SimSun" w:hAnsi="SimSun" w:cs="SimSun"/>
          <w:sz w:val="24"/>
        </w:rPr>
      </w:pPr>
      <w:r w:rsidRPr="00E650A4">
        <w:rPr>
          <w:rFonts w:ascii="宋体" w:hAnsi="宋体" w:cs="宋体" w:hint="eastAsia"/>
          <w:sz w:val="24"/>
        </w:rPr>
        <w:t>执行《名古屋议定书》，</w:t>
      </w:r>
      <w:r>
        <w:rPr>
          <w:rFonts w:ascii="宋体" w:hAnsi="宋体" w:cs="宋体" w:hint="eastAsia"/>
          <w:sz w:val="24"/>
        </w:rPr>
        <w:t>包括</w:t>
      </w:r>
      <w:r w:rsidRPr="00E650A4">
        <w:rPr>
          <w:rFonts w:ascii="宋体" w:hAnsi="宋体" w:cs="宋体" w:hint="eastAsia"/>
          <w:sz w:val="24"/>
        </w:rPr>
        <w:t>开发种群数据库或名录，有助于提高对物种的认识，提升遗传资源和特殊保护方法的价值；</w:t>
      </w:r>
    </w:p>
    <w:p w:rsidR="006531B4" w:rsidRPr="00E650A4" w:rsidRDefault="006531B4" w:rsidP="00EC092F">
      <w:pPr>
        <w:widowControl w:val="0"/>
        <w:numPr>
          <w:ilvl w:val="0"/>
          <w:numId w:val="45"/>
        </w:numPr>
        <w:overflowPunct w:val="0"/>
        <w:autoSpaceDE w:val="0"/>
        <w:autoSpaceDN w:val="0"/>
        <w:adjustRightInd w:val="0"/>
        <w:spacing w:before="120" w:after="120" w:line="240" w:lineRule="atLeast"/>
        <w:ind w:left="0" w:firstLine="720"/>
        <w:textAlignment w:val="baseline"/>
        <w:rPr>
          <w:rFonts w:ascii="SimSun" w:hAnsi="SimSun" w:cs="SimSun"/>
          <w:sz w:val="24"/>
        </w:rPr>
      </w:pPr>
      <w:r w:rsidRPr="00E650A4">
        <w:rPr>
          <w:rFonts w:ascii="宋体" w:hAnsi="宋体" w:cs="宋体" w:hint="eastAsia"/>
          <w:sz w:val="24"/>
        </w:rPr>
        <w:t>提高社区对保护和可持续利用的参与；</w:t>
      </w:r>
    </w:p>
    <w:p w:rsidR="006531B4" w:rsidRPr="00E650A4" w:rsidRDefault="006531B4" w:rsidP="00EC092F">
      <w:pPr>
        <w:widowControl w:val="0"/>
        <w:numPr>
          <w:ilvl w:val="0"/>
          <w:numId w:val="45"/>
        </w:numPr>
        <w:overflowPunct w:val="0"/>
        <w:autoSpaceDE w:val="0"/>
        <w:autoSpaceDN w:val="0"/>
        <w:adjustRightInd w:val="0"/>
        <w:spacing w:before="120" w:after="120" w:line="240" w:lineRule="atLeast"/>
        <w:ind w:left="0" w:firstLine="720"/>
        <w:textAlignment w:val="baseline"/>
        <w:rPr>
          <w:rFonts w:ascii="SimSun" w:hAnsi="SimSun" w:cs="SimSun"/>
          <w:sz w:val="24"/>
        </w:rPr>
      </w:pPr>
      <w:r w:rsidRPr="00E650A4">
        <w:rPr>
          <w:rFonts w:ascii="宋体" w:hAnsi="宋体" w:cs="宋体" w:hint="eastAsia"/>
          <w:sz w:val="24"/>
        </w:rPr>
        <w:t>提高遗传资源使用者的守法水平；</w:t>
      </w:r>
    </w:p>
    <w:p w:rsidR="006531B4" w:rsidRPr="00E650A4" w:rsidRDefault="006531B4" w:rsidP="00EC092F">
      <w:pPr>
        <w:widowControl w:val="0"/>
        <w:numPr>
          <w:ilvl w:val="0"/>
          <w:numId w:val="45"/>
        </w:numPr>
        <w:overflowPunct w:val="0"/>
        <w:autoSpaceDE w:val="0"/>
        <w:autoSpaceDN w:val="0"/>
        <w:adjustRightInd w:val="0"/>
        <w:spacing w:before="120" w:after="120" w:line="240" w:lineRule="atLeast"/>
        <w:ind w:left="0" w:firstLine="720"/>
        <w:textAlignment w:val="baseline"/>
        <w:rPr>
          <w:rFonts w:ascii="SimSun" w:hAnsi="SimSun" w:cs="SimSun"/>
          <w:sz w:val="24"/>
        </w:rPr>
      </w:pPr>
      <w:r w:rsidRPr="00E650A4">
        <w:rPr>
          <w:rFonts w:ascii="宋体" w:hAnsi="宋体" w:cs="宋体" w:hint="eastAsia"/>
          <w:sz w:val="24"/>
        </w:rPr>
        <w:t>认识到研发工作对本国遗传资源升值的重要性；</w:t>
      </w:r>
    </w:p>
    <w:p w:rsidR="006531B4" w:rsidRPr="00E650A4" w:rsidRDefault="006531B4" w:rsidP="00EC092F">
      <w:pPr>
        <w:widowControl w:val="0"/>
        <w:numPr>
          <w:ilvl w:val="0"/>
          <w:numId w:val="45"/>
        </w:numPr>
        <w:overflowPunct w:val="0"/>
        <w:autoSpaceDE w:val="0"/>
        <w:autoSpaceDN w:val="0"/>
        <w:adjustRightInd w:val="0"/>
        <w:spacing w:before="120" w:after="120" w:line="240" w:lineRule="atLeast"/>
        <w:ind w:left="0" w:firstLine="720"/>
        <w:textAlignment w:val="baseline"/>
        <w:rPr>
          <w:rFonts w:ascii="SimSun" w:hAnsi="SimSun" w:cs="SimSun"/>
          <w:sz w:val="24"/>
        </w:rPr>
      </w:pPr>
      <w:r w:rsidRPr="00E650A4">
        <w:rPr>
          <w:rFonts w:ascii="宋体" w:hAnsi="宋体" w:cs="宋体" w:hint="eastAsia"/>
          <w:sz w:val="24"/>
        </w:rPr>
        <w:t>执行《议定书》促使政府将保护和使用生物多样性问题纳入政府发展议程，包括《</w:t>
      </w:r>
      <w:r w:rsidRPr="00E650A4">
        <w:rPr>
          <w:rFonts w:cs="Times New Roman"/>
          <w:sz w:val="24"/>
        </w:rPr>
        <w:t>2030</w:t>
      </w:r>
      <w:r w:rsidRPr="00E650A4">
        <w:rPr>
          <w:rFonts w:ascii="宋体" w:hAnsi="宋体" w:cs="宋体" w:hint="eastAsia"/>
          <w:sz w:val="24"/>
        </w:rPr>
        <w:t>年可持续发展议程》。</w:t>
      </w:r>
    </w:p>
    <w:p w:rsidR="006531B4" w:rsidRPr="00E650A4" w:rsidRDefault="006531B4" w:rsidP="00EC092F">
      <w:pPr>
        <w:widowControl w:val="0"/>
        <w:overflowPunct w:val="0"/>
        <w:autoSpaceDE w:val="0"/>
        <w:autoSpaceDN w:val="0"/>
        <w:adjustRightInd w:val="0"/>
        <w:snapToGrid w:val="0"/>
        <w:spacing w:before="120" w:after="120" w:line="240" w:lineRule="atLeast"/>
        <w:jc w:val="left"/>
        <w:textAlignment w:val="baseline"/>
        <w:rPr>
          <w:rFonts w:ascii="SimSun" w:hAnsi="SimSun" w:cs="Times New Roman"/>
          <w:b/>
          <w:sz w:val="24"/>
        </w:rPr>
      </w:pPr>
      <w:r w:rsidRPr="00E650A4">
        <w:rPr>
          <w:rFonts w:ascii="宋体" w:hAnsi="宋体" w:cs="宋体" w:hint="eastAsia"/>
          <w:b/>
          <w:sz w:val="24"/>
        </w:rPr>
        <w:t>要点（</w:t>
      </w:r>
      <w:r w:rsidRPr="00E650A4">
        <w:rPr>
          <w:rFonts w:ascii="SimSun" w:hAnsi="SimSun" w:cs="Times New Roman"/>
          <w:b/>
          <w:sz w:val="24"/>
        </w:rPr>
        <w:t>c</w:t>
      </w:r>
      <w:r w:rsidRPr="00E650A4">
        <w:rPr>
          <w:rFonts w:ascii="宋体" w:hAnsi="宋体" w:cs="宋体" w:hint="eastAsia"/>
          <w:b/>
          <w:sz w:val="24"/>
        </w:rPr>
        <w:t>）：</w:t>
      </w:r>
      <w:r w:rsidRPr="00E650A4">
        <w:rPr>
          <w:rFonts w:ascii="宋体" w:hAnsi="宋体" w:cs="宋体" w:hint="eastAsia"/>
          <w:b/>
          <w:snapToGrid w:val="0"/>
          <w:kern w:val="22"/>
          <w:sz w:val="24"/>
        </w:rPr>
        <w:t>制定对执行工作提供支持的参考点</w:t>
      </w:r>
    </w:p>
    <w:p w:rsidR="006531B4" w:rsidRPr="00E650A4" w:rsidRDefault="006531B4" w:rsidP="00431412">
      <w:pPr>
        <w:widowControl w:val="0"/>
        <w:numPr>
          <w:ilvl w:val="1"/>
          <w:numId w:val="31"/>
        </w:numPr>
        <w:overflowPunct w:val="0"/>
        <w:autoSpaceDE w:val="0"/>
        <w:autoSpaceDN w:val="0"/>
        <w:adjustRightInd w:val="0"/>
        <w:snapToGrid w:val="0"/>
        <w:spacing w:before="120" w:after="120" w:line="240" w:lineRule="atLeast"/>
        <w:ind w:left="0" w:firstLine="0"/>
        <w:textAlignment w:val="baseline"/>
        <w:rPr>
          <w:rFonts w:ascii="SimSun" w:hAnsi="SimSun" w:cs="Times New Roman"/>
          <w:sz w:val="24"/>
        </w:rPr>
      </w:pPr>
      <w:r w:rsidRPr="00E650A4">
        <w:rPr>
          <w:rFonts w:ascii="宋体" w:hAnsi="宋体" w:cs="宋体" w:hint="eastAsia"/>
          <w:sz w:val="24"/>
        </w:rPr>
        <w:t>虽然目前正在为批准和执行《名古屋议定书》采取一些能力建设和发展举措，但许多缔约方仍然缺乏运行《议定书》的必要能力和财力。因此能力建设和发展支持仍然至关重要，以便在执行《议定书》方面取得进展，特别是对发展中国家缔约方和经济转型缔约方而言。</w:t>
      </w:r>
    </w:p>
    <w:p w:rsidR="006531B4" w:rsidRPr="00E650A4" w:rsidRDefault="006531B4" w:rsidP="00431412">
      <w:pPr>
        <w:widowControl w:val="0"/>
        <w:numPr>
          <w:ilvl w:val="1"/>
          <w:numId w:val="31"/>
        </w:numPr>
        <w:overflowPunct w:val="0"/>
        <w:autoSpaceDE w:val="0"/>
        <w:autoSpaceDN w:val="0"/>
        <w:adjustRightInd w:val="0"/>
        <w:snapToGrid w:val="0"/>
        <w:spacing w:before="120" w:after="120" w:line="240" w:lineRule="atLeast"/>
        <w:ind w:left="0" w:firstLine="0"/>
        <w:textAlignment w:val="baseline"/>
        <w:rPr>
          <w:rFonts w:ascii="SimSun" w:hAnsi="SimSun" w:cs="Times New Roman"/>
          <w:sz w:val="24"/>
        </w:rPr>
      </w:pPr>
      <w:r w:rsidRPr="00E650A4">
        <w:rPr>
          <w:rFonts w:ascii="宋体" w:hAnsi="宋体" w:cs="宋体" w:hint="eastAsia"/>
          <w:sz w:val="24"/>
        </w:rPr>
        <w:t>国家报告和</w:t>
      </w:r>
      <w:r>
        <w:rPr>
          <w:rFonts w:ascii="宋体" w:hAnsi="宋体" w:cs="宋体" w:hint="eastAsia"/>
          <w:sz w:val="24"/>
        </w:rPr>
        <w:t>获取和惠益分享</w:t>
      </w:r>
      <w:r w:rsidRPr="00E650A4">
        <w:rPr>
          <w:rFonts w:ascii="宋体" w:hAnsi="宋体" w:cs="宋体" w:hint="eastAsia"/>
          <w:sz w:val="24"/>
        </w:rPr>
        <w:t>信息交换所以及经验交流中提供的丰富信息和经验可能有助于缔约方建立体制结构和制定获取和惠益分享措施。这些信息也可用于能力建设项目。此外可鼓励使用现有的工具和资料（例如准则、能力建设材料）来支持执行工作。</w:t>
      </w:r>
    </w:p>
    <w:p w:rsidR="006531B4" w:rsidRPr="00E650A4" w:rsidRDefault="006531B4" w:rsidP="00431412">
      <w:pPr>
        <w:widowControl w:val="0"/>
        <w:overflowPunct w:val="0"/>
        <w:autoSpaceDE w:val="0"/>
        <w:autoSpaceDN w:val="0"/>
        <w:adjustRightInd w:val="0"/>
        <w:snapToGrid w:val="0"/>
        <w:spacing w:before="120" w:after="120" w:line="240" w:lineRule="atLeast"/>
        <w:jc w:val="left"/>
        <w:textAlignment w:val="baseline"/>
        <w:rPr>
          <w:rFonts w:ascii="SimSun" w:hAnsi="SimSun" w:cs="Times New Roman"/>
          <w:b/>
          <w:sz w:val="24"/>
        </w:rPr>
      </w:pPr>
      <w:r w:rsidRPr="00E650A4">
        <w:rPr>
          <w:rFonts w:ascii="宋体" w:hAnsi="宋体" w:cs="宋体" w:hint="eastAsia"/>
          <w:b/>
          <w:sz w:val="24"/>
        </w:rPr>
        <w:t>要点（</w:t>
      </w:r>
      <w:r w:rsidRPr="00E650A4">
        <w:rPr>
          <w:rFonts w:ascii="SimSun" w:hAnsi="SimSun" w:cs="Times New Roman"/>
          <w:b/>
          <w:sz w:val="24"/>
        </w:rPr>
        <w:t>d</w:t>
      </w:r>
      <w:r w:rsidRPr="00E650A4">
        <w:rPr>
          <w:rFonts w:ascii="宋体" w:hAnsi="宋体" w:cs="宋体" w:hint="eastAsia"/>
          <w:b/>
          <w:sz w:val="24"/>
        </w:rPr>
        <w:t>）：评估第</w:t>
      </w:r>
      <w:r w:rsidRPr="00E650A4">
        <w:rPr>
          <w:rFonts w:ascii="SimSun" w:hAnsi="SimSun" w:cs="Times New Roman"/>
          <w:b/>
          <w:sz w:val="24"/>
        </w:rPr>
        <w:t>18</w:t>
      </w:r>
      <w:r w:rsidRPr="00E650A4">
        <w:rPr>
          <w:rFonts w:ascii="宋体" w:hAnsi="宋体" w:cs="宋体" w:hint="eastAsia"/>
          <w:b/>
          <w:sz w:val="24"/>
        </w:rPr>
        <w:t>条的成效（执行的程度）</w:t>
      </w:r>
    </w:p>
    <w:p w:rsidR="006531B4" w:rsidRPr="00E650A4" w:rsidRDefault="006531B4" w:rsidP="00431412">
      <w:pPr>
        <w:widowControl w:val="0"/>
        <w:numPr>
          <w:ilvl w:val="1"/>
          <w:numId w:val="31"/>
        </w:numPr>
        <w:overflowPunct w:val="0"/>
        <w:autoSpaceDE w:val="0"/>
        <w:autoSpaceDN w:val="0"/>
        <w:adjustRightInd w:val="0"/>
        <w:snapToGrid w:val="0"/>
        <w:spacing w:before="120" w:after="120" w:line="240" w:lineRule="atLeast"/>
        <w:ind w:left="0" w:firstLine="0"/>
        <w:textAlignment w:val="baseline"/>
        <w:rPr>
          <w:rFonts w:ascii="SimSun" w:hAnsi="SimSun" w:cs="Times New Roman"/>
          <w:sz w:val="24"/>
        </w:rPr>
      </w:pPr>
      <w:r w:rsidRPr="00E650A4">
        <w:rPr>
          <w:rFonts w:ascii="宋体" w:hAnsi="宋体" w:cs="宋体" w:hint="eastAsia"/>
          <w:sz w:val="24"/>
        </w:rPr>
        <w:t>第</w:t>
      </w:r>
      <w:r w:rsidRPr="00E650A4">
        <w:rPr>
          <w:rFonts w:ascii="SimSun" w:hAnsi="SimSun" w:cs="Times New Roman"/>
          <w:sz w:val="24"/>
        </w:rPr>
        <w:t>18</w:t>
      </w:r>
      <w:r w:rsidRPr="00E650A4">
        <w:rPr>
          <w:rFonts w:ascii="宋体" w:hAnsi="宋体" w:cs="宋体" w:hint="eastAsia"/>
          <w:sz w:val="24"/>
        </w:rPr>
        <w:t>条关于遵守共同商定条件的条款通常在国家一级通过现行法律（例如合同法、国际私法，国家诉诸司法措施）而不是通过具体获取和惠益分享措施执行。</w:t>
      </w:r>
    </w:p>
    <w:p w:rsidR="006531B4" w:rsidRPr="00E650A4" w:rsidRDefault="006531B4" w:rsidP="00431412">
      <w:pPr>
        <w:widowControl w:val="0"/>
        <w:numPr>
          <w:ilvl w:val="1"/>
          <w:numId w:val="31"/>
        </w:numPr>
        <w:overflowPunct w:val="0"/>
        <w:autoSpaceDE w:val="0"/>
        <w:autoSpaceDN w:val="0"/>
        <w:adjustRightInd w:val="0"/>
        <w:snapToGrid w:val="0"/>
        <w:spacing w:before="120" w:after="120" w:line="240" w:lineRule="atLeast"/>
        <w:ind w:left="0" w:firstLine="0"/>
        <w:textAlignment w:val="baseline"/>
        <w:rPr>
          <w:rFonts w:ascii="SimSun" w:hAnsi="SimSun" w:cs="Times New Roman"/>
          <w:sz w:val="24"/>
        </w:rPr>
      </w:pPr>
      <w:r w:rsidRPr="00E650A4">
        <w:rPr>
          <w:rFonts w:ascii="宋体" w:hAnsi="宋体" w:cs="宋体" w:hint="eastAsia"/>
          <w:sz w:val="24"/>
        </w:rPr>
        <w:t>如合同的一方居住在外国，合同关系属于国际私法范畴。国际私法旨在规范：第一，适用于争端的管辖权；第二，适用于争端的法律；第三，是否以及如何承认最终决定或判决，并在另一个司法管辖区执行。在这些问题上</w:t>
      </w:r>
      <w:r>
        <w:rPr>
          <w:rFonts w:ascii="宋体" w:hAnsi="宋体" w:cs="宋体" w:hint="eastAsia"/>
          <w:sz w:val="24"/>
        </w:rPr>
        <w:t>，</w:t>
      </w:r>
      <w:r w:rsidRPr="00E650A4">
        <w:rPr>
          <w:rFonts w:ascii="宋体" w:hAnsi="宋体" w:cs="宋体" w:hint="eastAsia"/>
          <w:sz w:val="24"/>
        </w:rPr>
        <w:t>每个国家都有自己的国家规则，但其中一些规则可能已通过国际协定、准则和示范法进行了统一。</w:t>
      </w:r>
    </w:p>
    <w:p w:rsidR="006531B4" w:rsidRPr="00E650A4" w:rsidRDefault="006531B4" w:rsidP="00431412">
      <w:pPr>
        <w:widowControl w:val="0"/>
        <w:numPr>
          <w:ilvl w:val="1"/>
          <w:numId w:val="31"/>
        </w:numPr>
        <w:overflowPunct w:val="0"/>
        <w:autoSpaceDE w:val="0"/>
        <w:autoSpaceDN w:val="0"/>
        <w:adjustRightInd w:val="0"/>
        <w:snapToGrid w:val="0"/>
        <w:spacing w:before="120" w:after="120" w:line="240" w:lineRule="atLeast"/>
        <w:ind w:left="0" w:firstLine="0"/>
        <w:textAlignment w:val="baseline"/>
        <w:rPr>
          <w:rFonts w:ascii="SimSun" w:hAnsi="SimSun" w:cs="Times New Roman"/>
          <w:sz w:val="24"/>
        </w:rPr>
      </w:pPr>
      <w:r w:rsidRPr="00E650A4">
        <w:rPr>
          <w:rFonts w:ascii="宋体" w:hAnsi="宋体" w:cs="宋体" w:hint="eastAsia"/>
          <w:sz w:val="24"/>
        </w:rPr>
        <w:t>制定获取和惠益分享措施和</w:t>
      </w:r>
      <w:r>
        <w:rPr>
          <w:rFonts w:ascii="宋体" w:hAnsi="宋体" w:cs="宋体"/>
          <w:sz w:val="24"/>
        </w:rPr>
        <w:t>/</w:t>
      </w:r>
      <w:r w:rsidRPr="00E650A4">
        <w:rPr>
          <w:rFonts w:ascii="宋体" w:hAnsi="宋体" w:cs="宋体" w:hint="eastAsia"/>
          <w:sz w:val="24"/>
        </w:rPr>
        <w:t>或执行《议定书》的人可能不了解涉及合同法、国际私法、国家诉诸司法措施的全部适用法律。一个国家协调机制有助于从处理这些问题的其他机构汲取专门知识。</w:t>
      </w:r>
    </w:p>
    <w:p w:rsidR="006531B4" w:rsidRPr="00E650A4" w:rsidRDefault="006531B4" w:rsidP="00431412">
      <w:pPr>
        <w:widowControl w:val="0"/>
        <w:numPr>
          <w:ilvl w:val="1"/>
          <w:numId w:val="31"/>
        </w:numPr>
        <w:overflowPunct w:val="0"/>
        <w:autoSpaceDE w:val="0"/>
        <w:autoSpaceDN w:val="0"/>
        <w:adjustRightInd w:val="0"/>
        <w:snapToGrid w:val="0"/>
        <w:spacing w:before="120" w:after="120" w:line="240" w:lineRule="atLeast"/>
        <w:ind w:left="0" w:firstLine="0"/>
        <w:textAlignment w:val="baseline"/>
        <w:rPr>
          <w:rFonts w:ascii="SimSun" w:hAnsi="SimSun" w:cs="Times New Roman"/>
          <w:sz w:val="24"/>
        </w:rPr>
      </w:pPr>
      <w:r w:rsidRPr="00E650A4">
        <w:rPr>
          <w:rFonts w:ascii="宋体" w:hAnsi="宋体" w:cs="宋体" w:hint="eastAsia"/>
          <w:sz w:val="24"/>
        </w:rPr>
        <w:t>临时国家报告所载信息以及经验交流有助于缔约方了解如何支持第</w:t>
      </w:r>
      <w:r w:rsidRPr="00E650A4">
        <w:rPr>
          <w:rFonts w:ascii="SimSun" w:hAnsi="SimSun" w:cs="Times New Roman"/>
          <w:sz w:val="24"/>
        </w:rPr>
        <w:t>18</w:t>
      </w:r>
      <w:r w:rsidRPr="00E650A4">
        <w:rPr>
          <w:rFonts w:ascii="宋体" w:hAnsi="宋体" w:cs="宋体" w:hint="eastAsia"/>
          <w:sz w:val="24"/>
        </w:rPr>
        <w:t>条的执行。</w:t>
      </w:r>
    </w:p>
    <w:p w:rsidR="006531B4" w:rsidRPr="00E650A4" w:rsidRDefault="006531B4" w:rsidP="00431412">
      <w:pPr>
        <w:widowControl w:val="0"/>
        <w:overflowPunct w:val="0"/>
        <w:autoSpaceDE w:val="0"/>
        <w:autoSpaceDN w:val="0"/>
        <w:adjustRightInd w:val="0"/>
        <w:snapToGrid w:val="0"/>
        <w:spacing w:before="120" w:after="120" w:line="240" w:lineRule="atLeast"/>
        <w:ind w:left="1296" w:hanging="1296"/>
        <w:jc w:val="left"/>
        <w:textAlignment w:val="baseline"/>
        <w:rPr>
          <w:rFonts w:cs="Times New Roman"/>
          <w:b/>
          <w:snapToGrid w:val="0"/>
          <w:sz w:val="24"/>
        </w:rPr>
      </w:pPr>
      <w:r w:rsidRPr="00E650A4">
        <w:rPr>
          <w:rFonts w:ascii="宋体" w:hAnsi="宋体" w:cs="宋体" w:hint="eastAsia"/>
          <w:b/>
          <w:sz w:val="24"/>
        </w:rPr>
        <w:t>要点（</w:t>
      </w:r>
      <w:r w:rsidRPr="00E650A4">
        <w:rPr>
          <w:rFonts w:ascii="SimSun" w:hAnsi="SimSun" w:cs="Times New Roman"/>
          <w:b/>
          <w:sz w:val="24"/>
        </w:rPr>
        <w:t>e</w:t>
      </w:r>
      <w:r w:rsidRPr="00E650A4">
        <w:rPr>
          <w:rFonts w:ascii="宋体" w:hAnsi="宋体" w:cs="宋体" w:hint="eastAsia"/>
          <w:b/>
          <w:sz w:val="24"/>
        </w:rPr>
        <w:t>）：</w:t>
      </w:r>
      <w:r w:rsidRPr="00E650A4">
        <w:rPr>
          <w:rFonts w:ascii="宋体" w:hAnsi="宋体" w:cs="宋体" w:hint="eastAsia"/>
          <w:b/>
          <w:snapToGrid w:val="0"/>
          <w:kern w:val="22"/>
          <w:sz w:val="24"/>
        </w:rPr>
        <w:t>根据</w:t>
      </w:r>
      <w:r w:rsidRPr="00E650A4">
        <w:rPr>
          <w:rFonts w:ascii="宋体" w:hAnsi="宋体" w:cs="宋体" w:hint="eastAsia"/>
          <w:b/>
          <w:snapToGrid w:val="0"/>
          <w:sz w:val="24"/>
        </w:rPr>
        <w:t>世界知识产权组织等其他有关国际组织的发展情况评估第</w:t>
      </w:r>
      <w:r w:rsidRPr="00E650A4">
        <w:rPr>
          <w:rFonts w:ascii="SimSun" w:hAnsi="SimSun" w:cs="Times New Roman"/>
          <w:b/>
          <w:snapToGrid w:val="0"/>
          <w:kern w:val="22"/>
          <w:sz w:val="24"/>
        </w:rPr>
        <w:t>16</w:t>
      </w:r>
      <w:r w:rsidRPr="00E650A4">
        <w:rPr>
          <w:rFonts w:ascii="宋体" w:hAnsi="宋体" w:cs="宋体" w:hint="eastAsia"/>
          <w:b/>
          <w:snapToGrid w:val="0"/>
          <w:sz w:val="24"/>
        </w:rPr>
        <w:t>条的执行情况</w:t>
      </w:r>
    </w:p>
    <w:p w:rsidR="006531B4" w:rsidRPr="00E650A4" w:rsidRDefault="006531B4" w:rsidP="00431412">
      <w:pPr>
        <w:widowControl w:val="0"/>
        <w:numPr>
          <w:ilvl w:val="1"/>
          <w:numId w:val="31"/>
        </w:numPr>
        <w:overflowPunct w:val="0"/>
        <w:autoSpaceDE w:val="0"/>
        <w:autoSpaceDN w:val="0"/>
        <w:adjustRightInd w:val="0"/>
        <w:snapToGrid w:val="0"/>
        <w:spacing w:before="120" w:after="120" w:line="240" w:lineRule="atLeast"/>
        <w:ind w:left="0" w:firstLine="0"/>
        <w:textAlignment w:val="baseline"/>
        <w:rPr>
          <w:rFonts w:ascii="SimSun" w:hAnsi="SimSun" w:cs="Times New Roman"/>
          <w:sz w:val="24"/>
        </w:rPr>
      </w:pPr>
      <w:r w:rsidRPr="00E650A4">
        <w:rPr>
          <w:rFonts w:ascii="宋体" w:hAnsi="宋体" w:cs="宋体" w:hint="eastAsia"/>
          <w:sz w:val="24"/>
        </w:rPr>
        <w:t>许多缔约方仍在为执行《议定书》而建立获取和惠益分享措施和体制安排。执行遵守条款和与土著人民和地方社区有关的义务对缔约方尤其具有挑战性。</w:t>
      </w:r>
    </w:p>
    <w:p w:rsidR="006531B4" w:rsidRPr="00E650A4" w:rsidRDefault="006531B4" w:rsidP="00431412">
      <w:pPr>
        <w:widowControl w:val="0"/>
        <w:numPr>
          <w:ilvl w:val="1"/>
          <w:numId w:val="31"/>
        </w:numPr>
        <w:overflowPunct w:val="0"/>
        <w:autoSpaceDE w:val="0"/>
        <w:autoSpaceDN w:val="0"/>
        <w:adjustRightInd w:val="0"/>
        <w:snapToGrid w:val="0"/>
        <w:spacing w:before="120" w:after="120" w:line="240" w:lineRule="atLeast"/>
        <w:ind w:left="0" w:firstLine="0"/>
        <w:textAlignment w:val="baseline"/>
        <w:rPr>
          <w:rFonts w:ascii="SimSun" w:hAnsi="SimSun" w:cs="Times New Roman"/>
          <w:sz w:val="24"/>
        </w:rPr>
      </w:pPr>
      <w:r>
        <w:rPr>
          <w:rFonts w:ascii="宋体" w:hAnsi="宋体" w:cs="宋体" w:hint="eastAsia"/>
          <w:sz w:val="24"/>
        </w:rPr>
        <w:t>世界</w:t>
      </w:r>
      <w:r w:rsidRPr="00E650A4">
        <w:rPr>
          <w:rFonts w:ascii="宋体" w:hAnsi="宋体" w:cs="宋体" w:hint="eastAsia"/>
          <w:sz w:val="24"/>
        </w:rPr>
        <w:t>知识产权组织</w:t>
      </w:r>
      <w:r>
        <w:rPr>
          <w:rFonts w:ascii="宋体" w:hAnsi="宋体" w:cs="宋体" w:hint="eastAsia"/>
          <w:sz w:val="24"/>
        </w:rPr>
        <w:t>（知识产权组织）</w:t>
      </w:r>
      <w:r w:rsidRPr="00E650A4">
        <w:rPr>
          <w:rFonts w:ascii="宋体" w:hAnsi="宋体" w:cs="宋体" w:hint="eastAsia"/>
          <w:sz w:val="24"/>
        </w:rPr>
        <w:t>仍在就关于知识产权的一项或多项国际法律文书进行工作</w:t>
      </w:r>
      <w:r>
        <w:rPr>
          <w:rFonts w:ascii="宋体" w:hAnsi="宋体" w:cs="宋体" w:hint="eastAsia"/>
          <w:sz w:val="24"/>
        </w:rPr>
        <w:t>，</w:t>
      </w:r>
      <w:r w:rsidRPr="00E650A4">
        <w:rPr>
          <w:rFonts w:ascii="宋体" w:hAnsi="宋体" w:cs="宋体" w:hint="eastAsia"/>
          <w:sz w:val="24"/>
        </w:rPr>
        <w:t>以期确保平衡而有效地保护遗传资源、传统知识和传统文化表现形式，现在尚无法评估该进程的成果会如何促进《名古屋议定书》的执行。</w:t>
      </w:r>
    </w:p>
    <w:p w:rsidR="006531B4" w:rsidRPr="00E650A4" w:rsidRDefault="006531B4" w:rsidP="00431412">
      <w:pPr>
        <w:widowControl w:val="0"/>
        <w:numPr>
          <w:ilvl w:val="1"/>
          <w:numId w:val="31"/>
        </w:numPr>
        <w:overflowPunct w:val="0"/>
        <w:autoSpaceDE w:val="0"/>
        <w:autoSpaceDN w:val="0"/>
        <w:adjustRightInd w:val="0"/>
        <w:snapToGrid w:val="0"/>
        <w:spacing w:before="120" w:after="120" w:line="240" w:lineRule="atLeast"/>
        <w:ind w:left="0" w:firstLine="0"/>
        <w:textAlignment w:val="baseline"/>
        <w:rPr>
          <w:rFonts w:ascii="SimSun" w:hAnsi="SimSun" w:cs="Times New Roman"/>
          <w:sz w:val="24"/>
        </w:rPr>
      </w:pPr>
      <w:r w:rsidRPr="00E650A4">
        <w:rPr>
          <w:rFonts w:ascii="宋体" w:hAnsi="宋体" w:cs="宋体" w:hint="eastAsia"/>
          <w:sz w:val="24"/>
        </w:rPr>
        <w:t>但是，缔约方在推动</w:t>
      </w:r>
      <w:r>
        <w:rPr>
          <w:rFonts w:ascii="宋体" w:hAnsi="宋体" w:cs="宋体" w:hint="eastAsia"/>
          <w:sz w:val="24"/>
        </w:rPr>
        <w:t>《名古屋议定书》</w:t>
      </w:r>
      <w:r w:rsidRPr="00E650A4">
        <w:rPr>
          <w:rFonts w:ascii="宋体" w:hAnsi="宋体" w:cs="宋体" w:hint="eastAsia"/>
          <w:sz w:val="24"/>
        </w:rPr>
        <w:t>第</w:t>
      </w:r>
      <w:r w:rsidRPr="00E650A4">
        <w:rPr>
          <w:rFonts w:ascii="SimSun" w:hAnsi="SimSun" w:cs="Times New Roman"/>
          <w:sz w:val="24"/>
        </w:rPr>
        <w:t>16</w:t>
      </w:r>
      <w:r w:rsidRPr="00E650A4">
        <w:rPr>
          <w:rFonts w:ascii="宋体" w:hAnsi="宋体" w:cs="宋体" w:hint="eastAsia"/>
          <w:sz w:val="24"/>
        </w:rPr>
        <w:t>条</w:t>
      </w:r>
      <w:r>
        <w:rPr>
          <w:rFonts w:ascii="宋体" w:hAnsi="宋体" w:cs="宋体" w:hint="eastAsia"/>
          <w:sz w:val="24"/>
        </w:rPr>
        <w:t>的执行</w:t>
      </w:r>
      <w:r w:rsidRPr="00E650A4">
        <w:rPr>
          <w:rFonts w:ascii="宋体" w:hAnsi="宋体" w:cs="宋体" w:hint="eastAsia"/>
          <w:sz w:val="24"/>
        </w:rPr>
        <w:t>时可使用若干现有工具和</w:t>
      </w:r>
      <w:r>
        <w:rPr>
          <w:rFonts w:ascii="宋体" w:hAnsi="宋体" w:cs="宋体" w:hint="eastAsia"/>
          <w:sz w:val="24"/>
        </w:rPr>
        <w:t>资源</w:t>
      </w:r>
      <w:r w:rsidRPr="00E650A4">
        <w:rPr>
          <w:rFonts w:ascii="宋体" w:hAnsi="宋体" w:cs="宋体" w:hint="eastAsia"/>
          <w:sz w:val="24"/>
        </w:rPr>
        <w:t>，包括知识产权组织开发的工具和资料以及《生物多样性公约》的</w:t>
      </w:r>
      <w:r w:rsidRPr="00E650A4">
        <w:rPr>
          <w:rFonts w:ascii="SimSun" w:hAnsi="SimSun" w:cs="Times New Roman"/>
          <w:sz w:val="24"/>
        </w:rPr>
        <w:t>“</w:t>
      </w:r>
      <w:r w:rsidRPr="00E650A4">
        <w:rPr>
          <w:rFonts w:ascii="宋体" w:hAnsi="宋体" w:cs="宋体" w:hint="eastAsia"/>
          <w:sz w:val="24"/>
        </w:rPr>
        <w:t>生命之根</w:t>
      </w:r>
      <w:r w:rsidRPr="00E650A4">
        <w:rPr>
          <w:rFonts w:ascii="SimSun" w:hAnsi="SimSun" w:cs="Times New Roman"/>
          <w:sz w:val="24"/>
        </w:rPr>
        <w:t>”</w:t>
      </w:r>
      <w:r w:rsidRPr="00E650A4">
        <w:rPr>
          <w:rFonts w:ascii="宋体" w:hAnsi="宋体" w:cs="宋体" w:hint="eastAsia"/>
          <w:sz w:val="24"/>
        </w:rPr>
        <w:t>自愿准则。</w:t>
      </w:r>
      <w:r w:rsidRPr="00E650A4">
        <w:rPr>
          <w:rFonts w:cs="Times New Roman"/>
          <w:sz w:val="24"/>
          <w:vertAlign w:val="superscript"/>
        </w:rPr>
        <w:footnoteReference w:id="6"/>
      </w:r>
    </w:p>
    <w:p w:rsidR="006531B4" w:rsidRPr="00E650A4" w:rsidRDefault="006531B4" w:rsidP="00441B4A">
      <w:pPr>
        <w:widowControl w:val="0"/>
        <w:overflowPunct w:val="0"/>
        <w:autoSpaceDE w:val="0"/>
        <w:autoSpaceDN w:val="0"/>
        <w:adjustRightInd w:val="0"/>
        <w:snapToGrid w:val="0"/>
        <w:spacing w:before="120" w:after="120" w:line="240" w:lineRule="atLeast"/>
        <w:ind w:left="1296" w:hanging="1296"/>
        <w:jc w:val="left"/>
        <w:textAlignment w:val="baseline"/>
        <w:rPr>
          <w:rFonts w:ascii="SimSun" w:hAnsi="SimSun" w:cs="Times New Roman"/>
          <w:b/>
          <w:sz w:val="24"/>
        </w:rPr>
      </w:pPr>
      <w:r w:rsidRPr="00E650A4">
        <w:rPr>
          <w:rFonts w:ascii="宋体" w:hAnsi="宋体" w:cs="宋体" w:hint="eastAsia"/>
          <w:b/>
          <w:sz w:val="24"/>
        </w:rPr>
        <w:t>要点（</w:t>
      </w:r>
      <w:r w:rsidRPr="00E650A4">
        <w:rPr>
          <w:rFonts w:ascii="SimSun" w:hAnsi="SimSun" w:cs="Times New Roman"/>
          <w:b/>
          <w:sz w:val="24"/>
        </w:rPr>
        <w:t>f</w:t>
      </w:r>
      <w:r w:rsidRPr="00E650A4">
        <w:rPr>
          <w:rFonts w:ascii="宋体" w:hAnsi="宋体" w:cs="宋体" w:hint="eastAsia"/>
          <w:b/>
          <w:sz w:val="24"/>
        </w:rPr>
        <w:t>）：</w:t>
      </w:r>
      <w:r w:rsidRPr="00E650A4">
        <w:rPr>
          <w:rFonts w:ascii="宋体" w:hAnsi="宋体" w:cs="宋体" w:hint="eastAsia"/>
          <w:b/>
          <w:snapToGrid w:val="0"/>
          <w:kern w:val="22"/>
          <w:sz w:val="24"/>
        </w:rPr>
        <w:t>评估示范合同条款、行为守则、准则、最佳做法和标准以及土著人民和地方社区习惯法、社区规约和程序的使用情况</w:t>
      </w:r>
    </w:p>
    <w:p w:rsidR="006531B4" w:rsidRPr="00E650A4" w:rsidRDefault="006531B4" w:rsidP="00431412">
      <w:pPr>
        <w:widowControl w:val="0"/>
        <w:numPr>
          <w:ilvl w:val="1"/>
          <w:numId w:val="31"/>
        </w:numPr>
        <w:overflowPunct w:val="0"/>
        <w:autoSpaceDE w:val="0"/>
        <w:autoSpaceDN w:val="0"/>
        <w:adjustRightInd w:val="0"/>
        <w:snapToGrid w:val="0"/>
        <w:spacing w:before="120" w:after="120" w:line="240" w:lineRule="atLeast"/>
        <w:ind w:left="0" w:firstLine="0"/>
        <w:textAlignment w:val="baseline"/>
        <w:rPr>
          <w:rFonts w:ascii="SimSun" w:hAnsi="SimSun" w:cs="Times New Roman"/>
          <w:sz w:val="24"/>
        </w:rPr>
      </w:pPr>
      <w:r w:rsidRPr="00E650A4">
        <w:rPr>
          <w:rFonts w:ascii="宋体" w:hAnsi="宋体" w:cs="宋体" w:hint="eastAsia"/>
          <w:sz w:val="24"/>
        </w:rPr>
        <w:t>政府和组织制定了一系列示范合同条款、行为守则、准则、最佳做法和标准</w:t>
      </w:r>
      <w:r>
        <w:rPr>
          <w:rFonts w:ascii="宋体" w:hAnsi="宋体" w:cs="宋体" w:hint="eastAsia"/>
          <w:sz w:val="24"/>
        </w:rPr>
        <w:t>，</w:t>
      </w:r>
      <w:r w:rsidRPr="00E650A4">
        <w:rPr>
          <w:rFonts w:ascii="宋体" w:hAnsi="宋体" w:cs="宋体" w:hint="eastAsia"/>
          <w:sz w:val="24"/>
        </w:rPr>
        <w:t>但缺少关于这些工具的使用情况的信息。目前不清楚如何衡量工具的使用。</w:t>
      </w:r>
    </w:p>
    <w:p w:rsidR="006531B4" w:rsidRPr="00E650A4" w:rsidRDefault="006531B4" w:rsidP="00431412">
      <w:pPr>
        <w:widowControl w:val="0"/>
        <w:numPr>
          <w:ilvl w:val="1"/>
          <w:numId w:val="31"/>
        </w:numPr>
        <w:overflowPunct w:val="0"/>
        <w:autoSpaceDE w:val="0"/>
        <w:autoSpaceDN w:val="0"/>
        <w:adjustRightInd w:val="0"/>
        <w:snapToGrid w:val="0"/>
        <w:spacing w:before="120" w:after="120" w:line="240" w:lineRule="atLeast"/>
        <w:ind w:left="0" w:firstLine="0"/>
        <w:jc w:val="left"/>
        <w:textAlignment w:val="baseline"/>
        <w:rPr>
          <w:rFonts w:ascii="SimSun" w:hAnsi="SimSun" w:cs="Times New Roman"/>
          <w:sz w:val="24"/>
        </w:rPr>
      </w:pPr>
      <w:r w:rsidRPr="00E650A4">
        <w:rPr>
          <w:rFonts w:ascii="宋体" w:hAnsi="宋体" w:cs="宋体" w:hint="eastAsia"/>
          <w:sz w:val="24"/>
        </w:rPr>
        <w:t>使用者组织和网络在满足成员需求方面发挥着重要作用，它们开发的工具可以清晰显示如何将获取和惠益分享纳入实践，帮助成员组织遵守获取和惠益分享</w:t>
      </w:r>
      <w:r>
        <w:rPr>
          <w:rFonts w:ascii="宋体" w:hAnsi="宋体" w:cs="宋体" w:hint="eastAsia"/>
          <w:sz w:val="24"/>
        </w:rPr>
        <w:t>规定</w:t>
      </w:r>
      <w:r w:rsidRPr="00E650A4">
        <w:rPr>
          <w:rFonts w:ascii="宋体" w:hAnsi="宋体" w:cs="宋体" w:hint="eastAsia"/>
          <w:sz w:val="24"/>
        </w:rPr>
        <w:t>。</w:t>
      </w:r>
      <w:r w:rsidRPr="00E650A4">
        <w:rPr>
          <w:rFonts w:cs="Times New Roman"/>
          <w:sz w:val="24"/>
        </w:rPr>
        <w:t xml:space="preserve"> </w:t>
      </w:r>
    </w:p>
    <w:p w:rsidR="006531B4" w:rsidRPr="00E650A4" w:rsidRDefault="006531B4" w:rsidP="00431412">
      <w:pPr>
        <w:widowControl w:val="0"/>
        <w:numPr>
          <w:ilvl w:val="1"/>
          <w:numId w:val="31"/>
        </w:numPr>
        <w:overflowPunct w:val="0"/>
        <w:autoSpaceDE w:val="0"/>
        <w:autoSpaceDN w:val="0"/>
        <w:adjustRightInd w:val="0"/>
        <w:snapToGrid w:val="0"/>
        <w:spacing w:before="120" w:after="120" w:line="240" w:lineRule="atLeast"/>
        <w:ind w:left="0" w:firstLine="0"/>
        <w:jc w:val="left"/>
        <w:textAlignment w:val="baseline"/>
        <w:rPr>
          <w:rFonts w:ascii="SimSun" w:hAnsi="SimSun" w:cs="Times New Roman"/>
          <w:sz w:val="24"/>
        </w:rPr>
      </w:pPr>
      <w:r w:rsidRPr="00E650A4">
        <w:rPr>
          <w:rFonts w:ascii="宋体" w:hAnsi="宋体" w:cs="宋体" w:hint="eastAsia"/>
          <w:sz w:val="24"/>
        </w:rPr>
        <w:t>执行与土著人民和地方社区相关的条款被缔约方视为主要挑战之一。获取和惠益分享社区规约可以帮助解决上文第</w:t>
      </w:r>
      <w:r w:rsidRPr="00E650A4">
        <w:rPr>
          <w:rFonts w:cs="Times New Roman"/>
          <w:sz w:val="24"/>
        </w:rPr>
        <w:t>10</w:t>
      </w:r>
      <w:r w:rsidRPr="00E650A4">
        <w:rPr>
          <w:rFonts w:ascii="宋体" w:hAnsi="宋体" w:cs="宋体" w:hint="eastAsia"/>
          <w:sz w:val="24"/>
        </w:rPr>
        <w:t>段所述一些挑战。社区规约有助于土著人民和地方社区阐明他们的价值观、实践和愿望，也有助于政府执行《议定书》</w:t>
      </w:r>
      <w:r>
        <w:rPr>
          <w:rFonts w:ascii="宋体" w:hAnsi="宋体" w:cs="宋体" w:hint="eastAsia"/>
          <w:sz w:val="24"/>
        </w:rPr>
        <w:t>与</w:t>
      </w:r>
      <w:r w:rsidRPr="00E650A4">
        <w:rPr>
          <w:rFonts w:ascii="宋体" w:hAnsi="宋体" w:cs="宋体" w:hint="eastAsia"/>
          <w:sz w:val="24"/>
        </w:rPr>
        <w:t>土著人民和地方社区</w:t>
      </w:r>
      <w:r>
        <w:rPr>
          <w:rFonts w:ascii="宋体" w:hAnsi="宋体" w:cs="宋体" w:hint="eastAsia"/>
          <w:sz w:val="24"/>
        </w:rPr>
        <w:t>有关的</w:t>
      </w:r>
      <w:r w:rsidRPr="00E650A4">
        <w:rPr>
          <w:rFonts w:ascii="宋体" w:hAnsi="宋体" w:cs="宋体" w:hint="eastAsia"/>
          <w:sz w:val="24"/>
        </w:rPr>
        <w:t>条款，还有助于使用者清晰而明确地了解如何获取土著人民和地方社区持有的遗传资源和</w:t>
      </w:r>
      <w:r>
        <w:rPr>
          <w:rFonts w:ascii="宋体" w:hAnsi="宋体" w:cs="宋体"/>
          <w:sz w:val="24"/>
        </w:rPr>
        <w:t>/</w:t>
      </w:r>
      <w:r w:rsidRPr="00E650A4">
        <w:rPr>
          <w:rFonts w:ascii="宋体" w:hAnsi="宋体" w:cs="宋体" w:hint="eastAsia"/>
          <w:sz w:val="24"/>
        </w:rPr>
        <w:t>或相关传统知识。</w:t>
      </w:r>
    </w:p>
    <w:p w:rsidR="006531B4" w:rsidRPr="00E650A4" w:rsidRDefault="006531B4" w:rsidP="00431412">
      <w:pPr>
        <w:widowControl w:val="0"/>
        <w:numPr>
          <w:ilvl w:val="1"/>
          <w:numId w:val="31"/>
        </w:numPr>
        <w:overflowPunct w:val="0"/>
        <w:autoSpaceDE w:val="0"/>
        <w:autoSpaceDN w:val="0"/>
        <w:adjustRightInd w:val="0"/>
        <w:snapToGrid w:val="0"/>
        <w:spacing w:before="120" w:after="120" w:line="240" w:lineRule="atLeast"/>
        <w:ind w:left="0" w:firstLine="0"/>
        <w:jc w:val="left"/>
        <w:textAlignment w:val="baseline"/>
        <w:rPr>
          <w:rFonts w:cs="Times New Roman"/>
          <w:sz w:val="24"/>
        </w:rPr>
      </w:pPr>
      <w:r w:rsidRPr="00E650A4">
        <w:rPr>
          <w:rFonts w:ascii="宋体" w:hAnsi="宋体" w:cs="宋体" w:hint="eastAsia"/>
          <w:sz w:val="24"/>
        </w:rPr>
        <w:t>正在制定和使用各种</w:t>
      </w:r>
      <w:r>
        <w:rPr>
          <w:rFonts w:ascii="宋体" w:hAnsi="宋体" w:cs="宋体" w:hint="eastAsia"/>
          <w:sz w:val="24"/>
        </w:rPr>
        <w:t>情况下的</w:t>
      </w:r>
      <w:r w:rsidRPr="00E650A4">
        <w:rPr>
          <w:rFonts w:ascii="宋体" w:hAnsi="宋体" w:cs="宋体" w:hint="eastAsia"/>
          <w:sz w:val="24"/>
        </w:rPr>
        <w:t>社区规约，包括但不限于获取和惠益分享</w:t>
      </w:r>
      <w:r>
        <w:rPr>
          <w:rFonts w:ascii="宋体" w:hAnsi="宋体" w:cs="宋体" w:hint="eastAsia"/>
          <w:sz w:val="24"/>
        </w:rPr>
        <w:t>，</w:t>
      </w:r>
      <w:r w:rsidRPr="00E650A4">
        <w:rPr>
          <w:rFonts w:ascii="宋体" w:hAnsi="宋体" w:cs="宋体" w:hint="eastAsia"/>
          <w:sz w:val="24"/>
        </w:rPr>
        <w:t>有的涉及生物贸易或土地问题，包括在更广泛背景下的一些获取和惠益分享要点。将获取和惠益分享要点纳入现有资源或土地管理或生物贸易社区规约可促进这一进程。支持土著人民和地方社区制定社区规约是一项重要工作，同样重要的是，支持的方式要确保规约代表社区的价值观、实践和愿望。</w:t>
      </w:r>
    </w:p>
    <w:p w:rsidR="006531B4" w:rsidRPr="00E650A4" w:rsidRDefault="006531B4" w:rsidP="00441B4A">
      <w:pPr>
        <w:widowControl w:val="0"/>
        <w:overflowPunct w:val="0"/>
        <w:autoSpaceDE w:val="0"/>
        <w:autoSpaceDN w:val="0"/>
        <w:adjustRightInd w:val="0"/>
        <w:snapToGrid w:val="0"/>
        <w:spacing w:before="120" w:after="120" w:line="240" w:lineRule="atLeast"/>
        <w:ind w:left="1296" w:hanging="1296"/>
        <w:jc w:val="left"/>
        <w:textAlignment w:val="baseline"/>
        <w:rPr>
          <w:rFonts w:ascii="SimSun" w:hAnsi="SimSun" w:cs="Times New Roman"/>
          <w:b/>
          <w:color w:val="000000"/>
          <w:sz w:val="24"/>
        </w:rPr>
      </w:pPr>
      <w:r w:rsidRPr="00E650A4">
        <w:rPr>
          <w:rFonts w:ascii="宋体" w:hAnsi="宋体" w:cs="宋体" w:hint="eastAsia"/>
          <w:b/>
          <w:color w:val="000000"/>
          <w:kern w:val="22"/>
          <w:sz w:val="24"/>
        </w:rPr>
        <w:t>要点（</w:t>
      </w:r>
      <w:r w:rsidRPr="00E650A4">
        <w:rPr>
          <w:rFonts w:ascii="SimSun" w:hAnsi="SimSun" w:cs="Times New Roman"/>
          <w:b/>
          <w:color w:val="000000"/>
          <w:kern w:val="22"/>
          <w:sz w:val="24"/>
        </w:rPr>
        <w:t>g</w:t>
      </w:r>
      <w:r w:rsidRPr="00E650A4">
        <w:rPr>
          <w:rFonts w:ascii="宋体" w:hAnsi="宋体" w:cs="宋体" w:hint="eastAsia"/>
          <w:b/>
          <w:color w:val="000000"/>
          <w:kern w:val="22"/>
          <w:sz w:val="24"/>
        </w:rPr>
        <w:t>）：</w:t>
      </w:r>
      <w:r w:rsidRPr="00E650A4">
        <w:rPr>
          <w:rFonts w:ascii="宋体" w:hAnsi="宋体" w:cs="宋体" w:hint="eastAsia"/>
          <w:b/>
          <w:snapToGrid w:val="0"/>
          <w:color w:val="000000"/>
          <w:kern w:val="22"/>
          <w:sz w:val="24"/>
        </w:rPr>
        <w:t>审查</w:t>
      </w:r>
      <w:r>
        <w:rPr>
          <w:rFonts w:ascii="宋体" w:hAnsi="宋体" w:cs="宋体" w:hint="eastAsia"/>
          <w:b/>
          <w:snapToGrid w:val="0"/>
          <w:color w:val="000000"/>
          <w:kern w:val="22"/>
          <w:sz w:val="24"/>
        </w:rPr>
        <w:t>获取和惠益分享</w:t>
      </w:r>
      <w:r w:rsidRPr="00E650A4">
        <w:rPr>
          <w:rFonts w:ascii="宋体" w:hAnsi="宋体" w:cs="宋体" w:hint="eastAsia"/>
          <w:b/>
          <w:snapToGrid w:val="0"/>
          <w:color w:val="000000"/>
          <w:kern w:val="22"/>
          <w:sz w:val="24"/>
        </w:rPr>
        <w:t>信息交换所的实施和运作情况，</w:t>
      </w:r>
      <w:r w:rsidRPr="00E650A4">
        <w:rPr>
          <w:rFonts w:ascii="宋体" w:hAnsi="宋体" w:cs="宋体" w:hint="eastAsia"/>
          <w:b/>
          <w:color w:val="000000"/>
          <w:sz w:val="24"/>
        </w:rPr>
        <w:t>包括提供了多少获取和惠益分享措施；多少个国家发布了关于国家主管部门的信息；签发了多少国际公认的遵守证书；发布了多少检查点公报</w:t>
      </w:r>
    </w:p>
    <w:p w:rsidR="006531B4" w:rsidRPr="00E650A4" w:rsidRDefault="006531B4" w:rsidP="00431412">
      <w:pPr>
        <w:widowControl w:val="0"/>
        <w:numPr>
          <w:ilvl w:val="1"/>
          <w:numId w:val="31"/>
        </w:numPr>
        <w:overflowPunct w:val="0"/>
        <w:autoSpaceDE w:val="0"/>
        <w:autoSpaceDN w:val="0"/>
        <w:adjustRightInd w:val="0"/>
        <w:snapToGrid w:val="0"/>
        <w:spacing w:before="120" w:after="120" w:line="240" w:lineRule="atLeast"/>
        <w:ind w:left="0" w:firstLine="0"/>
        <w:jc w:val="left"/>
        <w:textAlignment w:val="baseline"/>
        <w:rPr>
          <w:rFonts w:cs="Times New Roman"/>
          <w:sz w:val="24"/>
        </w:rPr>
      </w:pPr>
      <w:r>
        <w:rPr>
          <w:rFonts w:ascii="宋体" w:hAnsi="宋体" w:cs="宋体" w:hint="eastAsia"/>
          <w:sz w:val="24"/>
        </w:rPr>
        <w:t>获取和惠益分享</w:t>
      </w:r>
      <w:r w:rsidRPr="00E650A4">
        <w:rPr>
          <w:rFonts w:ascii="宋体" w:hAnsi="宋体" w:cs="宋体" w:hint="eastAsia"/>
          <w:sz w:val="24"/>
        </w:rPr>
        <w:t>信息交换所大约一半用户是遗传资源或相关传统知识的使用者。他们登录</w:t>
      </w:r>
      <w:r>
        <w:rPr>
          <w:rFonts w:ascii="宋体" w:hAnsi="宋体" w:cs="宋体" w:hint="eastAsia"/>
          <w:sz w:val="24"/>
        </w:rPr>
        <w:t>获取和惠益分享</w:t>
      </w:r>
      <w:r w:rsidRPr="00E650A4">
        <w:rPr>
          <w:rFonts w:ascii="宋体" w:hAnsi="宋体" w:cs="宋体" w:hint="eastAsia"/>
          <w:sz w:val="24"/>
        </w:rPr>
        <w:t>信息交换所寻找国家信息。收到的反馈意见显示，非常需要提供关于国家获取和惠益分享</w:t>
      </w:r>
      <w:r>
        <w:rPr>
          <w:rFonts w:ascii="宋体" w:hAnsi="宋体" w:cs="宋体" w:hint="eastAsia"/>
          <w:sz w:val="24"/>
        </w:rPr>
        <w:t>规定</w:t>
      </w:r>
      <w:r w:rsidRPr="00E650A4">
        <w:rPr>
          <w:rFonts w:ascii="宋体" w:hAnsi="宋体" w:cs="宋体" w:hint="eastAsia"/>
          <w:sz w:val="24"/>
        </w:rPr>
        <w:t>和程序的清晰信息并提高其质量，向用户提供简单易懂的指导，让用户了解获取遗传资源和相关传统知识的必要申请步骤。</w:t>
      </w:r>
    </w:p>
    <w:p w:rsidR="006531B4" w:rsidRPr="00E650A4" w:rsidRDefault="006531B4" w:rsidP="00431412">
      <w:pPr>
        <w:widowControl w:val="0"/>
        <w:numPr>
          <w:ilvl w:val="1"/>
          <w:numId w:val="31"/>
        </w:numPr>
        <w:overflowPunct w:val="0"/>
        <w:autoSpaceDE w:val="0"/>
        <w:autoSpaceDN w:val="0"/>
        <w:adjustRightInd w:val="0"/>
        <w:snapToGrid w:val="0"/>
        <w:spacing w:before="120" w:after="120" w:line="240" w:lineRule="atLeast"/>
        <w:ind w:left="0" w:firstLine="0"/>
        <w:jc w:val="left"/>
        <w:textAlignment w:val="baseline"/>
        <w:rPr>
          <w:rFonts w:cs="Times New Roman"/>
          <w:sz w:val="24"/>
        </w:rPr>
      </w:pPr>
      <w:r w:rsidRPr="00E650A4">
        <w:rPr>
          <w:rFonts w:ascii="宋体" w:hAnsi="宋体" w:cs="宋体" w:hint="eastAsia"/>
          <w:sz w:val="24"/>
        </w:rPr>
        <w:t>作为遗传资源使用者和相关信息（例如示范条款、行为守则、提高认识材料）的潜在贡献者，相关利益攸关方特别是企业界和科学界可从更多外联和提高认识活动中受益。而对他们的需要有更多了解也有助于</w:t>
      </w:r>
      <w:r>
        <w:rPr>
          <w:rFonts w:ascii="宋体" w:hAnsi="宋体" w:cs="宋体" w:hint="eastAsia"/>
          <w:sz w:val="24"/>
        </w:rPr>
        <w:t>获取和惠益分享</w:t>
      </w:r>
      <w:r w:rsidRPr="00E650A4">
        <w:rPr>
          <w:rFonts w:ascii="宋体" w:hAnsi="宋体" w:cs="宋体" w:hint="eastAsia"/>
          <w:sz w:val="24"/>
        </w:rPr>
        <w:t>信息交换所</w:t>
      </w:r>
      <w:r>
        <w:rPr>
          <w:rFonts w:ascii="宋体" w:hAnsi="宋体" w:cs="宋体" w:hint="eastAsia"/>
          <w:sz w:val="24"/>
        </w:rPr>
        <w:t>的实施</w:t>
      </w:r>
      <w:r w:rsidRPr="00E650A4">
        <w:rPr>
          <w:rFonts w:ascii="宋体" w:hAnsi="宋体" w:cs="宋体" w:hint="eastAsia"/>
          <w:sz w:val="24"/>
        </w:rPr>
        <w:t>，改进其功能和设计。</w:t>
      </w:r>
    </w:p>
    <w:p w:rsidR="006531B4" w:rsidRPr="00E650A4" w:rsidRDefault="006531B4" w:rsidP="00431412">
      <w:pPr>
        <w:widowControl w:val="0"/>
        <w:numPr>
          <w:ilvl w:val="0"/>
          <w:numId w:val="32"/>
        </w:numPr>
        <w:overflowPunct w:val="0"/>
        <w:autoSpaceDE w:val="0"/>
        <w:autoSpaceDN w:val="0"/>
        <w:adjustRightInd w:val="0"/>
        <w:snapToGrid w:val="0"/>
        <w:spacing w:before="120" w:after="120" w:line="240" w:lineRule="atLeast"/>
        <w:ind w:left="0" w:firstLine="0"/>
        <w:jc w:val="left"/>
        <w:textAlignment w:val="baseline"/>
        <w:rPr>
          <w:rFonts w:cs="Times New Roman"/>
          <w:sz w:val="24"/>
        </w:rPr>
      </w:pPr>
      <w:r w:rsidRPr="00E650A4">
        <w:rPr>
          <w:rFonts w:ascii="宋体" w:hAnsi="宋体" w:cs="宋体" w:hint="eastAsia"/>
          <w:sz w:val="24"/>
        </w:rPr>
        <w:t>仍需要为使用</w:t>
      </w:r>
      <w:r>
        <w:rPr>
          <w:rFonts w:ascii="宋体" w:hAnsi="宋体" w:cs="宋体" w:hint="eastAsia"/>
          <w:sz w:val="24"/>
        </w:rPr>
        <w:t>获取和惠益分享</w:t>
      </w:r>
      <w:r w:rsidRPr="00E650A4">
        <w:rPr>
          <w:rFonts w:ascii="宋体" w:hAnsi="宋体" w:cs="宋体" w:hint="eastAsia"/>
          <w:sz w:val="24"/>
        </w:rPr>
        <w:t>信息交换所提供技术支持。实时</w:t>
      </w:r>
      <w:r>
        <w:rPr>
          <w:rFonts w:ascii="宋体" w:hAnsi="宋体" w:cs="宋体" w:hint="eastAsia"/>
          <w:sz w:val="24"/>
        </w:rPr>
        <w:t>对谈</w:t>
      </w:r>
      <w:r w:rsidRPr="00E650A4">
        <w:rPr>
          <w:rFonts w:ascii="宋体" w:hAnsi="宋体" w:cs="宋体" w:hint="eastAsia"/>
          <w:sz w:val="24"/>
        </w:rPr>
        <w:t>是信息交换所用户非常看重的功能。为使用信息交换所进行能力建设与执行《议定书》密切相关。从实时</w:t>
      </w:r>
      <w:r>
        <w:rPr>
          <w:rFonts w:ascii="宋体" w:hAnsi="宋体" w:cs="宋体" w:hint="eastAsia"/>
          <w:sz w:val="24"/>
        </w:rPr>
        <w:t>对谈</w:t>
      </w:r>
      <w:r w:rsidRPr="00E650A4">
        <w:rPr>
          <w:rFonts w:ascii="宋体" w:hAnsi="宋体" w:cs="宋体" w:hint="eastAsia"/>
          <w:sz w:val="24"/>
        </w:rPr>
        <w:t>和信息交换所能力建设活动中收到的许多问题涉及《议定书》的执行而非寻求技术支持。</w:t>
      </w:r>
    </w:p>
    <w:p w:rsidR="006531B4" w:rsidRPr="00E650A4" w:rsidRDefault="006531B4" w:rsidP="00EC092F">
      <w:pPr>
        <w:adjustRightInd w:val="0"/>
        <w:spacing w:before="240" w:after="120" w:line="240" w:lineRule="atLeast"/>
        <w:jc w:val="center"/>
        <w:rPr>
          <w:rFonts w:ascii="KaiTi" w:eastAsia="KaiTi" w:hAnsi="KaiTi" w:cs="Times New Roman"/>
          <w:sz w:val="24"/>
        </w:rPr>
      </w:pPr>
      <w:r w:rsidRPr="00E650A4">
        <w:rPr>
          <w:rFonts w:ascii="KaiTi" w:eastAsia="KaiTi" w:hAnsi="KaiTi" w:cs="Times New Roman" w:hint="eastAsia"/>
          <w:sz w:val="24"/>
        </w:rPr>
        <w:t>附件二</w:t>
      </w:r>
    </w:p>
    <w:p w:rsidR="006531B4" w:rsidRPr="00E650A4" w:rsidRDefault="006531B4" w:rsidP="00EC092F">
      <w:pPr>
        <w:widowControl w:val="0"/>
        <w:overflowPunct w:val="0"/>
        <w:autoSpaceDE w:val="0"/>
        <w:autoSpaceDN w:val="0"/>
        <w:adjustRightInd w:val="0"/>
        <w:spacing w:before="240" w:after="240" w:line="240" w:lineRule="atLeast"/>
        <w:jc w:val="center"/>
        <w:textAlignment w:val="baseline"/>
        <w:rPr>
          <w:rFonts w:cs="Times New Roman"/>
          <w:b/>
          <w:sz w:val="24"/>
        </w:rPr>
      </w:pPr>
      <w:r>
        <w:rPr>
          <w:rFonts w:ascii="宋体" w:hAnsi="宋体" w:cs="宋体" w:hint="eastAsia"/>
          <w:b/>
          <w:sz w:val="24"/>
        </w:rPr>
        <w:t>衡量进展的指标和参考点框架</w:t>
      </w:r>
    </w:p>
    <w:p w:rsidR="006531B4" w:rsidRPr="00E650A4" w:rsidRDefault="006531B4" w:rsidP="00EC092F">
      <w:pPr>
        <w:widowControl w:val="0"/>
        <w:numPr>
          <w:ilvl w:val="0"/>
          <w:numId w:val="33"/>
        </w:numPr>
        <w:overflowPunct w:val="0"/>
        <w:autoSpaceDE w:val="0"/>
        <w:autoSpaceDN w:val="0"/>
        <w:adjustRightInd w:val="0"/>
        <w:spacing w:before="120" w:after="120" w:line="240" w:lineRule="atLeast"/>
        <w:jc w:val="left"/>
        <w:textAlignment w:val="baseline"/>
        <w:rPr>
          <w:rFonts w:cs="Times New Roman"/>
          <w:sz w:val="24"/>
        </w:rPr>
      </w:pPr>
      <w:r w:rsidRPr="00E650A4">
        <w:rPr>
          <w:rFonts w:ascii="宋体" w:hAnsi="宋体" w:cs="宋体" w:hint="eastAsia"/>
          <w:sz w:val="24"/>
        </w:rPr>
        <w:t>下表为第一次评估和审查所涉每个要点提出了指标。提出的指标大都包含参考点。这些参考点确定一个基线，用于将来衡量每个指标的进展。提出的指标主要基于临时国家报告的现有问题。但在有些情况下</w:t>
      </w:r>
      <w:r>
        <w:rPr>
          <w:rFonts w:ascii="宋体" w:hAnsi="宋体" w:cs="宋体" w:hint="eastAsia"/>
          <w:sz w:val="24"/>
        </w:rPr>
        <w:t>，</w:t>
      </w:r>
      <w:r w:rsidRPr="00E650A4">
        <w:rPr>
          <w:rFonts w:ascii="宋体" w:hAnsi="宋体" w:cs="宋体" w:hint="eastAsia"/>
          <w:sz w:val="24"/>
        </w:rPr>
        <w:t>无法从临时国家报告的答复中得出确凿信息，因此为这些指标拟定了新案文。表中的新指标和订正的指标均有标识。</w:t>
      </w:r>
    </w:p>
    <w:p w:rsidR="006531B4" w:rsidRPr="00E650A4" w:rsidRDefault="006531B4" w:rsidP="00EC092F">
      <w:pPr>
        <w:widowControl w:val="0"/>
        <w:numPr>
          <w:ilvl w:val="0"/>
          <w:numId w:val="33"/>
        </w:numPr>
        <w:overflowPunct w:val="0"/>
        <w:autoSpaceDE w:val="0"/>
        <w:autoSpaceDN w:val="0"/>
        <w:adjustRightInd w:val="0"/>
        <w:spacing w:before="120" w:after="120" w:line="240" w:lineRule="atLeast"/>
        <w:jc w:val="left"/>
        <w:textAlignment w:val="baseline"/>
        <w:rPr>
          <w:rFonts w:cs="Times New Roman"/>
          <w:sz w:val="24"/>
        </w:rPr>
      </w:pPr>
      <w:r w:rsidRPr="00E650A4">
        <w:rPr>
          <w:rFonts w:ascii="宋体" w:hAnsi="宋体" w:cs="宋体" w:hint="eastAsia"/>
          <w:sz w:val="24"/>
        </w:rPr>
        <w:t>下表还列出用来建立参考点的信息来源。为便于参考，使用了临时国家报告格式的结构和顺序，并列出了指标所属的要点。</w:t>
      </w:r>
    </w:p>
    <w:p w:rsidR="006531B4" w:rsidRPr="00E650A4" w:rsidRDefault="006531B4" w:rsidP="00EC092F">
      <w:pPr>
        <w:widowControl w:val="0"/>
        <w:numPr>
          <w:ilvl w:val="0"/>
          <w:numId w:val="33"/>
        </w:numPr>
        <w:overflowPunct w:val="0"/>
        <w:autoSpaceDE w:val="0"/>
        <w:autoSpaceDN w:val="0"/>
        <w:adjustRightInd w:val="0"/>
        <w:spacing w:before="120" w:after="120" w:line="240" w:lineRule="atLeast"/>
        <w:jc w:val="left"/>
        <w:textAlignment w:val="baseline"/>
        <w:rPr>
          <w:rFonts w:cs="Times New Roman"/>
        </w:rPr>
      </w:pPr>
      <w:r w:rsidRPr="00E650A4">
        <w:rPr>
          <w:rFonts w:ascii="宋体" w:hAnsi="宋体" w:cs="宋体" w:hint="eastAsia"/>
          <w:sz w:val="24"/>
        </w:rPr>
        <w:t>本框架是一个灵活的工具，可随着执行的进一步发展而进行调整。</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49"/>
        <w:gridCol w:w="1104"/>
        <w:gridCol w:w="1384"/>
        <w:gridCol w:w="1443"/>
      </w:tblGrid>
      <w:tr w:rsidR="006531B4" w:rsidRPr="00E650A4" w:rsidTr="00DB68D5">
        <w:trPr>
          <w:trHeight w:val="440"/>
          <w:tblHeader/>
          <w:jc w:val="center"/>
        </w:trPr>
        <w:tc>
          <w:tcPr>
            <w:tcW w:w="5549" w:type="dxa"/>
            <w:shd w:val="pct5" w:color="auto" w:fill="auto"/>
            <w:vAlign w:val="center"/>
          </w:tcPr>
          <w:p w:rsidR="006531B4" w:rsidRPr="00E650A4" w:rsidRDefault="006531B4" w:rsidP="006D56E9">
            <w:pPr>
              <w:spacing w:before="120" w:after="120"/>
              <w:jc w:val="center"/>
              <w:rPr>
                <w:rFonts w:cs="Times New Roman"/>
                <w:b/>
                <w:snapToGrid w:val="0"/>
                <w:kern w:val="22"/>
              </w:rPr>
            </w:pPr>
            <w:r w:rsidRPr="00E650A4">
              <w:rPr>
                <w:rFonts w:ascii="宋体" w:hAnsi="宋体" w:cs="宋体" w:hint="eastAsia"/>
                <w:b/>
                <w:snapToGrid w:val="0"/>
                <w:kern w:val="22"/>
                <w:szCs w:val="22"/>
              </w:rPr>
              <w:t>指标框架</w:t>
            </w:r>
          </w:p>
        </w:tc>
        <w:tc>
          <w:tcPr>
            <w:tcW w:w="1104" w:type="dxa"/>
            <w:shd w:val="pct5" w:color="auto" w:fill="auto"/>
            <w:vAlign w:val="center"/>
          </w:tcPr>
          <w:p w:rsidR="006531B4" w:rsidRPr="00E650A4" w:rsidRDefault="006531B4" w:rsidP="00B6332A">
            <w:pPr>
              <w:spacing w:line="276" w:lineRule="auto"/>
              <w:jc w:val="center"/>
              <w:rPr>
                <w:rFonts w:cs="Times New Roman"/>
                <w:b/>
                <w:snapToGrid w:val="0"/>
                <w:kern w:val="22"/>
              </w:rPr>
            </w:pPr>
            <w:r w:rsidRPr="00E650A4">
              <w:rPr>
                <w:rFonts w:ascii="宋体" w:hAnsi="宋体" w:cs="宋体" w:hint="eastAsia"/>
                <w:b/>
                <w:snapToGrid w:val="0"/>
                <w:kern w:val="22"/>
                <w:szCs w:val="22"/>
              </w:rPr>
              <w:t>要点</w:t>
            </w:r>
          </w:p>
        </w:tc>
        <w:tc>
          <w:tcPr>
            <w:tcW w:w="1384" w:type="dxa"/>
            <w:shd w:val="pct5" w:color="auto" w:fill="auto"/>
            <w:vAlign w:val="center"/>
          </w:tcPr>
          <w:p w:rsidR="006531B4" w:rsidRPr="00E650A4" w:rsidRDefault="006531B4" w:rsidP="00B6332A">
            <w:pPr>
              <w:spacing w:line="276" w:lineRule="auto"/>
              <w:jc w:val="center"/>
              <w:rPr>
                <w:rFonts w:cs="Times New Roman"/>
                <w:b/>
                <w:snapToGrid w:val="0"/>
                <w:kern w:val="22"/>
              </w:rPr>
            </w:pPr>
            <w:r w:rsidRPr="00E650A4">
              <w:rPr>
                <w:rFonts w:ascii="宋体" w:hAnsi="宋体" w:cs="宋体" w:hint="eastAsia"/>
                <w:b/>
                <w:snapToGrid w:val="0"/>
                <w:kern w:val="22"/>
                <w:szCs w:val="22"/>
              </w:rPr>
              <w:t>参考点</w:t>
            </w:r>
            <w:r w:rsidRPr="00E650A4">
              <w:rPr>
                <w:rFonts w:cs="Times New Roman"/>
                <w:b/>
                <w:snapToGrid w:val="0"/>
                <w:kern w:val="22"/>
                <w:szCs w:val="22"/>
              </w:rPr>
              <w:t>(</w:t>
            </w:r>
            <w:r w:rsidRPr="00E650A4">
              <w:rPr>
                <w:rFonts w:ascii="宋体" w:hAnsi="宋体" w:cs="宋体" w:hint="eastAsia"/>
                <w:b/>
                <w:snapToGrid w:val="0"/>
                <w:kern w:val="22"/>
                <w:szCs w:val="22"/>
              </w:rPr>
              <w:t>截至</w:t>
            </w:r>
            <w:smartTag w:uri="urn:schemas-microsoft-com:office:smarttags" w:element="chsdate">
              <w:smartTagPr>
                <w:attr w:name="IsROCDate" w:val="False"/>
                <w:attr w:name="IsLunarDate" w:val="False"/>
                <w:attr w:name="Day" w:val="22"/>
                <w:attr w:name="Month" w:val="3"/>
                <w:attr w:name="Year" w:val="2018"/>
              </w:smartTagPr>
              <w:r w:rsidRPr="00E650A4">
                <w:rPr>
                  <w:rFonts w:cs="Times New Roman"/>
                  <w:b/>
                  <w:snapToGrid w:val="0"/>
                  <w:kern w:val="22"/>
                  <w:szCs w:val="22"/>
                </w:rPr>
                <w:t>2018</w:t>
              </w:r>
              <w:r w:rsidRPr="00E650A4">
                <w:rPr>
                  <w:rFonts w:ascii="宋体" w:hAnsi="宋体" w:cs="宋体" w:hint="eastAsia"/>
                  <w:b/>
                  <w:snapToGrid w:val="0"/>
                  <w:kern w:val="22"/>
                  <w:szCs w:val="22"/>
                </w:rPr>
                <w:t>年</w:t>
              </w:r>
              <w:r w:rsidRPr="00E650A4">
                <w:rPr>
                  <w:rFonts w:cs="Times New Roman"/>
                  <w:b/>
                  <w:snapToGrid w:val="0"/>
                  <w:kern w:val="22"/>
                  <w:szCs w:val="22"/>
                </w:rPr>
                <w:t>2</w:t>
              </w:r>
              <w:r w:rsidRPr="00E650A4">
                <w:rPr>
                  <w:rFonts w:ascii="宋体" w:hAnsi="宋体" w:cs="宋体" w:hint="eastAsia"/>
                  <w:b/>
                  <w:snapToGrid w:val="0"/>
                  <w:kern w:val="22"/>
                  <w:szCs w:val="22"/>
                </w:rPr>
                <w:t>月</w:t>
              </w:r>
              <w:r w:rsidRPr="00E650A4">
                <w:rPr>
                  <w:rFonts w:cs="Times New Roman"/>
                  <w:b/>
                  <w:snapToGrid w:val="0"/>
                  <w:kern w:val="22"/>
                  <w:szCs w:val="22"/>
                </w:rPr>
                <w:t>22</w:t>
              </w:r>
              <w:r w:rsidRPr="00E650A4">
                <w:rPr>
                  <w:rFonts w:ascii="宋体" w:hAnsi="宋体" w:cs="宋体" w:hint="eastAsia"/>
                  <w:b/>
                  <w:snapToGrid w:val="0"/>
                  <w:kern w:val="22"/>
                  <w:szCs w:val="22"/>
                </w:rPr>
                <w:t>日</w:t>
              </w:r>
            </w:smartTag>
            <w:r w:rsidRPr="00E650A4">
              <w:rPr>
                <w:rFonts w:cs="Times New Roman"/>
                <w:b/>
                <w:snapToGrid w:val="0"/>
                <w:kern w:val="22"/>
                <w:szCs w:val="22"/>
              </w:rPr>
              <w:t>)</w:t>
            </w:r>
          </w:p>
        </w:tc>
        <w:tc>
          <w:tcPr>
            <w:tcW w:w="1443" w:type="dxa"/>
            <w:shd w:val="pct5" w:color="auto" w:fill="auto"/>
            <w:vAlign w:val="center"/>
          </w:tcPr>
          <w:p w:rsidR="006531B4" w:rsidRPr="00E650A4" w:rsidRDefault="006531B4" w:rsidP="00B6332A">
            <w:pPr>
              <w:spacing w:before="120" w:after="120"/>
              <w:jc w:val="center"/>
              <w:rPr>
                <w:rFonts w:cs="Times New Roman"/>
                <w:b/>
                <w:snapToGrid w:val="0"/>
                <w:kern w:val="22"/>
              </w:rPr>
            </w:pPr>
            <w:r w:rsidRPr="00E650A4">
              <w:rPr>
                <w:rFonts w:ascii="宋体" w:hAnsi="宋体" w:cs="宋体" w:hint="eastAsia"/>
                <w:b/>
                <w:snapToGrid w:val="0"/>
                <w:kern w:val="22"/>
                <w:szCs w:val="22"/>
              </w:rPr>
              <w:t>来源</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szCs w:val="22"/>
              </w:rPr>
              <w:t>已批准《名古屋议定书》的生物多样性公约缔约方数目</w:t>
            </w:r>
          </w:p>
        </w:tc>
        <w:tc>
          <w:tcPr>
            <w:tcW w:w="1104" w:type="dxa"/>
            <w:vAlign w:val="center"/>
          </w:tcPr>
          <w:p w:rsidR="006531B4" w:rsidRPr="00E650A4" w:rsidRDefault="006531B4" w:rsidP="00B6332A">
            <w:pPr>
              <w:spacing w:line="276" w:lineRule="auto"/>
              <w:jc w:val="center"/>
              <w:rPr>
                <w:rFonts w:cs="Times New Roman"/>
                <w:snapToGrid w:val="0"/>
                <w:kern w:val="22"/>
              </w:rPr>
            </w:pPr>
          </w:p>
        </w:tc>
        <w:tc>
          <w:tcPr>
            <w:tcW w:w="138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105 (54%)</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联合国条约集</w:t>
            </w:r>
          </w:p>
        </w:tc>
      </w:tr>
      <w:tr w:rsidR="006531B4" w:rsidRPr="00E650A4" w:rsidTr="00DB68D5">
        <w:trPr>
          <w:trHeight w:val="350"/>
          <w:jc w:val="center"/>
        </w:trPr>
        <w:tc>
          <w:tcPr>
            <w:tcW w:w="9480" w:type="dxa"/>
            <w:gridSpan w:val="4"/>
            <w:shd w:val="pct5" w:color="auto" w:fill="auto"/>
            <w:vAlign w:val="center"/>
          </w:tcPr>
          <w:p w:rsidR="006531B4" w:rsidRPr="00E650A4" w:rsidRDefault="006531B4" w:rsidP="00B6332A">
            <w:pPr>
              <w:ind w:left="314"/>
              <w:contextualSpacing/>
              <w:rPr>
                <w:rFonts w:cs="Times New Roman"/>
                <w:b/>
                <w:snapToGrid w:val="0"/>
                <w:kern w:val="22"/>
              </w:rPr>
            </w:pPr>
            <w:r w:rsidRPr="00E650A4">
              <w:rPr>
                <w:rFonts w:ascii="宋体" w:hAnsi="宋体" w:cs="宋体" w:hint="eastAsia"/>
                <w:b/>
                <w:snapToGrid w:val="0"/>
                <w:kern w:val="22"/>
                <w:szCs w:val="22"/>
              </w:rPr>
              <w:t>执行《议定书》的体制结构</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szCs w:val="22"/>
                <w:lang w:val="en-US"/>
              </w:rPr>
              <w:t>已制定获取和惠益分享</w:t>
            </w:r>
            <w:r w:rsidRPr="00E650A4">
              <w:rPr>
                <w:rFonts w:ascii="宋体" w:hAnsi="宋体" w:cs="宋体" w:hint="eastAsia"/>
                <w:snapToGrid w:val="0"/>
                <w:kern w:val="22"/>
                <w:szCs w:val="22"/>
              </w:rPr>
              <w:t>立法、行政和政策措施的缔约方数目和百分比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(a)</w:t>
            </w:r>
          </w:p>
        </w:tc>
        <w:tc>
          <w:tcPr>
            <w:tcW w:w="138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 xml:space="preserve">75 (71%) </w:t>
            </w:r>
          </w:p>
        </w:tc>
        <w:tc>
          <w:tcPr>
            <w:tcW w:w="1443" w:type="dxa"/>
            <w:vAlign w:val="center"/>
          </w:tcPr>
          <w:p w:rsidR="006531B4" w:rsidRPr="00E650A4" w:rsidRDefault="006531B4" w:rsidP="00B6332A">
            <w:pPr>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 xml:space="preserve">4 </w:t>
            </w:r>
          </w:p>
          <w:p w:rsidR="006531B4" w:rsidRDefault="006531B4" w:rsidP="00B6332A">
            <w:pPr>
              <w:rPr>
                <w:rFonts w:ascii="宋体" w:cs="宋体"/>
                <w:snapToGrid w:val="0"/>
                <w:kern w:val="22"/>
              </w:rPr>
            </w:pPr>
            <w:r w:rsidRPr="00E650A4">
              <w:rPr>
                <w:rFonts w:ascii="宋体" w:hAnsi="宋体" w:cs="宋体" w:hint="eastAsia"/>
                <w:snapToGrid w:val="0"/>
                <w:kern w:val="22"/>
                <w:szCs w:val="22"/>
              </w:rPr>
              <w:t>信息交换所</w:t>
            </w:r>
          </w:p>
          <w:p w:rsidR="006531B4" w:rsidRPr="00E650A4" w:rsidRDefault="006531B4" w:rsidP="00B6332A">
            <w:pPr>
              <w:rPr>
                <w:rFonts w:cs="Times New Roman"/>
                <w:snapToGrid w:val="0"/>
                <w:kern w:val="22"/>
              </w:rPr>
            </w:pPr>
            <w:r w:rsidRPr="00E650A4">
              <w:rPr>
                <w:rFonts w:ascii="宋体" w:hAnsi="宋体" w:cs="宋体" w:hint="eastAsia"/>
                <w:snapToGrid w:val="0"/>
                <w:kern w:val="22"/>
                <w:szCs w:val="22"/>
              </w:rPr>
              <w:t>公约报告</w:t>
            </w:r>
          </w:p>
          <w:p w:rsidR="006531B4" w:rsidRPr="00E650A4" w:rsidRDefault="006531B4" w:rsidP="00B6332A">
            <w:pPr>
              <w:rPr>
                <w:rFonts w:cs="Times New Roman"/>
                <w:snapToGrid w:val="0"/>
                <w:kern w:val="22"/>
              </w:rPr>
            </w:pPr>
            <w:r w:rsidRPr="00E650A4">
              <w:rPr>
                <w:rFonts w:ascii="宋体" w:hAnsi="宋体" w:cs="宋体" w:hint="eastAsia"/>
                <w:snapToGrid w:val="0"/>
                <w:kern w:val="22"/>
                <w:szCs w:val="22"/>
              </w:rPr>
              <w:t>国家战略和行动计划</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szCs w:val="22"/>
              </w:rPr>
              <w:t>已在</w:t>
            </w:r>
            <w:r>
              <w:rPr>
                <w:rFonts w:ascii="宋体" w:hAnsi="宋体" w:cs="宋体" w:hint="eastAsia"/>
                <w:snapToGrid w:val="0"/>
                <w:kern w:val="22"/>
                <w:szCs w:val="22"/>
              </w:rPr>
              <w:t>获取和惠益分享</w:t>
            </w:r>
            <w:r w:rsidRPr="00E650A4">
              <w:rPr>
                <w:rFonts w:ascii="宋体" w:hAnsi="宋体" w:cs="宋体" w:hint="eastAsia"/>
                <w:snapToGrid w:val="0"/>
                <w:kern w:val="22"/>
                <w:szCs w:val="22"/>
              </w:rPr>
              <w:t>信息交换所发布获取和惠益分享立法、行政或政策措施信息的缔约方数目</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(g)</w:t>
            </w:r>
          </w:p>
        </w:tc>
        <w:tc>
          <w:tcPr>
            <w:tcW w:w="138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45 (43%)</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信息交换所</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szCs w:val="22"/>
              </w:rPr>
              <w:t>已指定获取和惠益分享国家联络点的缔约方数目</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(a)</w:t>
            </w:r>
          </w:p>
        </w:tc>
        <w:tc>
          <w:tcPr>
            <w:tcW w:w="138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103 (98%)</w:t>
            </w:r>
          </w:p>
        </w:tc>
        <w:tc>
          <w:tcPr>
            <w:tcW w:w="1443" w:type="dxa"/>
            <w:vAlign w:val="center"/>
          </w:tcPr>
          <w:p w:rsidR="006531B4" w:rsidRPr="00E650A4" w:rsidRDefault="006531B4" w:rsidP="00B6332A">
            <w:pPr>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 xml:space="preserve">5 </w:t>
            </w:r>
          </w:p>
          <w:p w:rsidR="006531B4" w:rsidRPr="00E650A4" w:rsidRDefault="006531B4" w:rsidP="00B6332A">
            <w:pPr>
              <w:rPr>
                <w:rFonts w:cs="Times New Roman"/>
                <w:snapToGrid w:val="0"/>
                <w:kern w:val="22"/>
              </w:rPr>
            </w:pPr>
            <w:r w:rsidRPr="00E650A4">
              <w:rPr>
                <w:rFonts w:ascii="宋体" w:hAnsi="宋体" w:cs="宋体" w:hint="eastAsia"/>
                <w:snapToGrid w:val="0"/>
                <w:kern w:val="22"/>
                <w:szCs w:val="22"/>
              </w:rPr>
              <w:t>信息交换所</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szCs w:val="22"/>
              </w:rPr>
              <w:t>已指定一个或多个国家主管部门的缔约方数目和百分比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(a)</w:t>
            </w:r>
          </w:p>
        </w:tc>
        <w:tc>
          <w:tcPr>
            <w:tcW w:w="138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57 (54%)</w:t>
            </w:r>
          </w:p>
        </w:tc>
        <w:tc>
          <w:tcPr>
            <w:tcW w:w="1443" w:type="dxa"/>
            <w:vAlign w:val="center"/>
          </w:tcPr>
          <w:p w:rsidR="006531B4" w:rsidRPr="00E650A4" w:rsidRDefault="006531B4" w:rsidP="00B6332A">
            <w:pPr>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 xml:space="preserve">6 </w:t>
            </w:r>
          </w:p>
          <w:p w:rsidR="006531B4" w:rsidRDefault="006531B4" w:rsidP="00B6332A">
            <w:pPr>
              <w:rPr>
                <w:rFonts w:ascii="宋体" w:cs="宋体"/>
                <w:snapToGrid w:val="0"/>
                <w:kern w:val="22"/>
              </w:rPr>
            </w:pPr>
            <w:r w:rsidRPr="00E650A4">
              <w:rPr>
                <w:rFonts w:ascii="宋体" w:hAnsi="宋体" w:cs="宋体" w:hint="eastAsia"/>
                <w:snapToGrid w:val="0"/>
                <w:kern w:val="22"/>
                <w:szCs w:val="22"/>
              </w:rPr>
              <w:t>信息交换所</w:t>
            </w:r>
          </w:p>
          <w:p w:rsidR="006531B4" w:rsidRPr="00E650A4" w:rsidRDefault="006531B4" w:rsidP="00B6332A">
            <w:pPr>
              <w:rPr>
                <w:rFonts w:cs="Times New Roman"/>
                <w:snapToGrid w:val="0"/>
                <w:kern w:val="22"/>
              </w:rPr>
            </w:pPr>
            <w:r w:rsidRPr="00E650A4">
              <w:rPr>
                <w:rFonts w:ascii="宋体" w:hAnsi="宋体" w:cs="宋体" w:hint="eastAsia"/>
                <w:snapToGrid w:val="0"/>
                <w:kern w:val="22"/>
                <w:szCs w:val="22"/>
              </w:rPr>
              <w:t>公约报告</w:t>
            </w:r>
          </w:p>
          <w:p w:rsidR="006531B4" w:rsidRPr="00E650A4" w:rsidRDefault="006531B4" w:rsidP="00B6332A">
            <w:pPr>
              <w:rPr>
                <w:rFonts w:cs="Times New Roman"/>
                <w:snapToGrid w:val="0"/>
                <w:kern w:val="22"/>
              </w:rPr>
            </w:pPr>
            <w:r w:rsidRPr="00E650A4">
              <w:rPr>
                <w:rFonts w:ascii="宋体" w:hAnsi="宋体" w:cs="宋体" w:hint="eastAsia"/>
                <w:snapToGrid w:val="0"/>
                <w:kern w:val="22"/>
                <w:szCs w:val="22"/>
              </w:rPr>
              <w:t>国家战略和行动计划</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szCs w:val="22"/>
              </w:rPr>
              <w:t>已在</w:t>
            </w:r>
            <w:r>
              <w:rPr>
                <w:rFonts w:ascii="宋体" w:hAnsi="宋体" w:cs="宋体" w:hint="eastAsia"/>
                <w:snapToGrid w:val="0"/>
                <w:kern w:val="22"/>
                <w:szCs w:val="22"/>
              </w:rPr>
              <w:t>获取和惠益分享</w:t>
            </w:r>
            <w:r w:rsidRPr="00E650A4">
              <w:rPr>
                <w:rFonts w:ascii="宋体" w:hAnsi="宋体" w:cs="宋体" w:hint="eastAsia"/>
                <w:snapToGrid w:val="0"/>
                <w:kern w:val="22"/>
                <w:szCs w:val="22"/>
              </w:rPr>
              <w:t>信息交换所发布国家主管部门信息的缔约方数目和百分比</w:t>
            </w:r>
            <w:r w:rsidRPr="00E650A4">
              <w:rPr>
                <w:rFonts w:cs="Times New Roman"/>
                <w:snapToGrid w:val="0"/>
                <w:kern w:val="22"/>
                <w:szCs w:val="22"/>
              </w:rPr>
              <w:tab/>
            </w:r>
            <w:r w:rsidRPr="00E650A4">
              <w:rPr>
                <w:rFonts w:cs="Times New Roman"/>
                <w:snapToGrid w:val="0"/>
                <w:kern w:val="22"/>
                <w:szCs w:val="22"/>
              </w:rPr>
              <w:tab/>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(g)</w:t>
            </w:r>
          </w:p>
        </w:tc>
        <w:tc>
          <w:tcPr>
            <w:tcW w:w="138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45 (43%)</w:t>
            </w:r>
          </w:p>
        </w:tc>
        <w:tc>
          <w:tcPr>
            <w:tcW w:w="1443" w:type="dxa"/>
            <w:vAlign w:val="center"/>
          </w:tcPr>
          <w:p w:rsidR="006531B4" w:rsidRPr="00E650A4" w:rsidRDefault="006531B4" w:rsidP="00B6332A">
            <w:pPr>
              <w:rPr>
                <w:rFonts w:cs="Times New Roman"/>
                <w:snapToGrid w:val="0"/>
                <w:kern w:val="22"/>
              </w:rPr>
            </w:pPr>
            <w:r w:rsidRPr="00E650A4">
              <w:rPr>
                <w:rFonts w:ascii="宋体" w:hAnsi="宋体" w:cs="宋体" w:hint="eastAsia"/>
                <w:snapToGrid w:val="0"/>
                <w:kern w:val="22"/>
                <w:szCs w:val="22"/>
              </w:rPr>
              <w:t>信息交换所</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color w:val="000000"/>
                <w:kern w:val="22"/>
              </w:rPr>
            </w:pPr>
            <w:r w:rsidRPr="00431412">
              <w:rPr>
                <w:rFonts w:eastAsia="KaiTi" w:cs="Times New Roman" w:hint="eastAsia"/>
                <w:snapToGrid w:val="0"/>
                <w:kern w:val="22"/>
                <w:szCs w:val="22"/>
              </w:rPr>
              <w:t>新</w:t>
            </w:r>
            <w:r w:rsidRPr="00E650A4">
              <w:rPr>
                <w:rFonts w:ascii="宋体" w:hAnsi="宋体" w:cs="宋体" w:hint="eastAsia"/>
                <w:snapToGrid w:val="0"/>
                <w:kern w:val="22"/>
                <w:szCs w:val="22"/>
              </w:rPr>
              <w:t>：已签发许可证或等同文件的缔约方数目和百分比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(a)</w:t>
            </w:r>
          </w:p>
        </w:tc>
        <w:tc>
          <w:tcPr>
            <w:tcW w:w="138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19(18%)</w:t>
            </w:r>
          </w:p>
        </w:tc>
        <w:tc>
          <w:tcPr>
            <w:tcW w:w="1443" w:type="dxa"/>
            <w:vAlign w:val="center"/>
          </w:tcPr>
          <w:p w:rsidR="006531B4" w:rsidRPr="00E650A4" w:rsidRDefault="006531B4" w:rsidP="00B6332A">
            <w:pPr>
              <w:spacing w:before="120" w:after="120"/>
              <w:rPr>
                <w:rFonts w:cs="Times New Roman"/>
                <w:snapToGrid w:val="0"/>
                <w:color w:val="000000"/>
                <w:kern w:val="22"/>
              </w:rPr>
            </w:pPr>
            <w:r w:rsidRPr="00E650A4">
              <w:rPr>
                <w:rFonts w:ascii="宋体" w:hAnsi="宋体" w:cs="宋体" w:hint="eastAsia"/>
                <w:snapToGrid w:val="0"/>
                <w:color w:val="000000"/>
                <w:kern w:val="22"/>
                <w:szCs w:val="22"/>
              </w:rPr>
              <w:t>国家报告格式需订正</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color w:val="000000"/>
                <w:kern w:val="22"/>
              </w:rPr>
            </w:pPr>
            <w:r w:rsidRPr="00E650A4">
              <w:rPr>
                <w:rFonts w:ascii="宋体" w:hAnsi="宋体" w:cs="宋体" w:hint="eastAsia"/>
                <w:snapToGrid w:val="0"/>
                <w:kern w:val="22"/>
              </w:rPr>
              <w:t>已在</w:t>
            </w:r>
            <w:r>
              <w:rPr>
                <w:rFonts w:ascii="宋体" w:hAnsi="宋体" w:cs="宋体" w:hint="eastAsia"/>
                <w:snapToGrid w:val="0"/>
                <w:kern w:val="22"/>
              </w:rPr>
              <w:t>获取和惠益分享</w:t>
            </w:r>
            <w:r w:rsidRPr="00E650A4">
              <w:rPr>
                <w:rFonts w:ascii="宋体" w:hAnsi="宋体" w:cs="宋体" w:hint="eastAsia"/>
                <w:snapToGrid w:val="0"/>
                <w:kern w:val="22"/>
              </w:rPr>
              <w:t>信息交换所发布国际公认遵守证书的缔约方数目和百分比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(b) (g)</w:t>
            </w:r>
          </w:p>
        </w:tc>
        <w:tc>
          <w:tcPr>
            <w:tcW w:w="138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12 (11%)</w:t>
            </w:r>
          </w:p>
        </w:tc>
        <w:tc>
          <w:tcPr>
            <w:tcW w:w="1443" w:type="dxa"/>
            <w:vAlign w:val="center"/>
          </w:tcPr>
          <w:p w:rsidR="006531B4" w:rsidRPr="00E650A4" w:rsidRDefault="006531B4" w:rsidP="00B6332A">
            <w:pPr>
              <w:jc w:val="left"/>
              <w:rPr>
                <w:rFonts w:cs="Times New Roman"/>
                <w:snapToGrid w:val="0"/>
                <w:color w:val="000000"/>
                <w:kern w:val="22"/>
              </w:rPr>
            </w:pPr>
            <w:r w:rsidRPr="00E650A4">
              <w:rPr>
                <w:rFonts w:ascii="宋体" w:hAnsi="宋体" w:cs="宋体" w:hint="eastAsia"/>
                <w:snapToGrid w:val="0"/>
                <w:color w:val="000000"/>
                <w:kern w:val="22"/>
                <w:szCs w:val="22"/>
              </w:rPr>
              <w:t>问题</w:t>
            </w:r>
            <w:r w:rsidRPr="00E650A4">
              <w:rPr>
                <w:rFonts w:cs="Times New Roman"/>
                <w:snapToGrid w:val="0"/>
                <w:color w:val="000000"/>
                <w:kern w:val="22"/>
                <w:szCs w:val="22"/>
              </w:rPr>
              <w:t>7</w:t>
            </w:r>
            <w:r w:rsidRPr="00E650A4">
              <w:rPr>
                <w:rFonts w:ascii="宋体" w:hAnsi="宋体" w:cs="宋体" w:hint="eastAsia"/>
                <w:snapToGrid w:val="0"/>
                <w:color w:val="000000"/>
                <w:kern w:val="22"/>
                <w:szCs w:val="22"/>
              </w:rPr>
              <w:t>、</w:t>
            </w:r>
            <w:r w:rsidRPr="00E650A4">
              <w:rPr>
                <w:rFonts w:cs="Times New Roman"/>
                <w:snapToGrid w:val="0"/>
                <w:color w:val="000000"/>
                <w:kern w:val="22"/>
                <w:szCs w:val="22"/>
              </w:rPr>
              <w:t>8</w:t>
            </w:r>
            <w:r w:rsidRPr="00E650A4">
              <w:rPr>
                <w:rFonts w:ascii="宋体" w:hAnsi="宋体" w:cs="宋体" w:hint="eastAsia"/>
                <w:snapToGrid w:val="0"/>
                <w:color w:val="000000"/>
                <w:kern w:val="22"/>
                <w:szCs w:val="22"/>
              </w:rPr>
              <w:t>、</w:t>
            </w:r>
            <w:r w:rsidRPr="00E650A4">
              <w:rPr>
                <w:rFonts w:cs="Times New Roman"/>
                <w:snapToGrid w:val="0"/>
                <w:color w:val="000000"/>
                <w:kern w:val="22"/>
                <w:szCs w:val="22"/>
              </w:rPr>
              <w:t xml:space="preserve">16 </w:t>
            </w:r>
          </w:p>
          <w:p w:rsidR="006531B4" w:rsidRPr="00E650A4" w:rsidRDefault="006531B4" w:rsidP="00B6332A">
            <w:pPr>
              <w:rPr>
                <w:rFonts w:cs="Times New Roman"/>
                <w:snapToGrid w:val="0"/>
                <w:color w:val="000000"/>
                <w:kern w:val="22"/>
              </w:rPr>
            </w:pPr>
            <w:r w:rsidRPr="00E650A4">
              <w:rPr>
                <w:rFonts w:ascii="宋体" w:hAnsi="宋体" w:cs="宋体" w:hint="eastAsia"/>
                <w:snapToGrid w:val="0"/>
                <w:color w:val="000000"/>
                <w:kern w:val="22"/>
                <w:szCs w:val="22"/>
              </w:rPr>
              <w:t>信息交换所</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rPr>
              <w:t>在</w:t>
            </w:r>
            <w:r>
              <w:rPr>
                <w:rFonts w:ascii="宋体" w:hAnsi="宋体" w:cs="宋体" w:hint="eastAsia"/>
                <w:snapToGrid w:val="0"/>
                <w:kern w:val="22"/>
              </w:rPr>
              <w:t>获取和惠益分享</w:t>
            </w:r>
            <w:r w:rsidRPr="00E650A4">
              <w:rPr>
                <w:rFonts w:ascii="宋体" w:hAnsi="宋体" w:cs="宋体" w:hint="eastAsia"/>
                <w:snapToGrid w:val="0"/>
                <w:kern w:val="22"/>
              </w:rPr>
              <w:t>信息交换所发布的国际公认遵守证书数目</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(g)</w:t>
            </w:r>
          </w:p>
        </w:tc>
        <w:tc>
          <w:tcPr>
            <w:tcW w:w="138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146</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信息交换所</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rPr>
              <w:t>已指定一个或多个检查点的缔约方数目和百分比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(a)</w:t>
            </w:r>
          </w:p>
        </w:tc>
        <w:tc>
          <w:tcPr>
            <w:tcW w:w="138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29 (27%)</w:t>
            </w:r>
          </w:p>
        </w:tc>
        <w:tc>
          <w:tcPr>
            <w:tcW w:w="1443" w:type="dxa"/>
            <w:vAlign w:val="center"/>
          </w:tcPr>
          <w:p w:rsidR="006531B4" w:rsidRPr="00E650A4" w:rsidRDefault="006531B4" w:rsidP="00B6332A">
            <w:pPr>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 xml:space="preserve">9 </w:t>
            </w:r>
          </w:p>
          <w:p w:rsidR="006531B4" w:rsidRDefault="006531B4" w:rsidP="00B6332A">
            <w:pPr>
              <w:rPr>
                <w:rFonts w:ascii="宋体" w:cs="宋体"/>
                <w:snapToGrid w:val="0"/>
                <w:kern w:val="22"/>
              </w:rPr>
            </w:pPr>
            <w:r w:rsidRPr="00E650A4">
              <w:rPr>
                <w:rFonts w:ascii="宋体" w:hAnsi="宋体" w:cs="宋体" w:hint="eastAsia"/>
                <w:snapToGrid w:val="0"/>
                <w:kern w:val="22"/>
                <w:szCs w:val="22"/>
              </w:rPr>
              <w:t>信息交换所</w:t>
            </w:r>
          </w:p>
          <w:p w:rsidR="006531B4" w:rsidRPr="00E650A4" w:rsidRDefault="006531B4" w:rsidP="00B6332A">
            <w:pPr>
              <w:rPr>
                <w:rFonts w:cs="Times New Roman"/>
                <w:snapToGrid w:val="0"/>
                <w:kern w:val="22"/>
              </w:rPr>
            </w:pPr>
            <w:r w:rsidRPr="00E650A4">
              <w:rPr>
                <w:rFonts w:ascii="宋体" w:hAnsi="宋体" w:cs="宋体" w:hint="eastAsia"/>
                <w:snapToGrid w:val="0"/>
                <w:kern w:val="22"/>
                <w:szCs w:val="22"/>
              </w:rPr>
              <w:t>公约报告</w:t>
            </w:r>
          </w:p>
          <w:p w:rsidR="006531B4" w:rsidRPr="00E650A4" w:rsidRDefault="006531B4" w:rsidP="00B6332A">
            <w:pPr>
              <w:rPr>
                <w:rFonts w:cs="Times New Roman"/>
                <w:snapToGrid w:val="0"/>
                <w:kern w:val="22"/>
              </w:rPr>
            </w:pPr>
            <w:r w:rsidRPr="00E650A4">
              <w:rPr>
                <w:rFonts w:ascii="宋体" w:hAnsi="宋体" w:cs="宋体" w:hint="eastAsia"/>
                <w:snapToGrid w:val="0"/>
                <w:kern w:val="22"/>
                <w:szCs w:val="22"/>
              </w:rPr>
              <w:t>国家战略和行动计划</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rPr>
              <w:t>已发布检查点信息的缔约方数目和百分比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(g)</w:t>
            </w:r>
          </w:p>
        </w:tc>
        <w:tc>
          <w:tcPr>
            <w:tcW w:w="138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20 (19%)</w:t>
            </w:r>
          </w:p>
        </w:tc>
        <w:tc>
          <w:tcPr>
            <w:tcW w:w="1443" w:type="dxa"/>
            <w:vAlign w:val="center"/>
          </w:tcPr>
          <w:p w:rsidR="006531B4" w:rsidRPr="00E650A4" w:rsidRDefault="006531B4" w:rsidP="00B6332A">
            <w:pPr>
              <w:rPr>
                <w:rFonts w:cs="Times New Roman"/>
                <w:snapToGrid w:val="0"/>
                <w:kern w:val="22"/>
              </w:rPr>
            </w:pPr>
            <w:r w:rsidRPr="00E650A4">
              <w:rPr>
                <w:rFonts w:ascii="宋体" w:hAnsi="宋体" w:cs="宋体" w:hint="eastAsia"/>
                <w:snapToGrid w:val="0"/>
                <w:kern w:val="22"/>
                <w:szCs w:val="22"/>
              </w:rPr>
              <w:t>信息交换所</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rPr>
              <w:t>已向</w:t>
            </w:r>
            <w:r>
              <w:rPr>
                <w:rFonts w:ascii="宋体" w:hAnsi="宋体" w:cs="宋体" w:hint="eastAsia"/>
                <w:snapToGrid w:val="0"/>
                <w:kern w:val="22"/>
              </w:rPr>
              <w:t>获取和惠益分享</w:t>
            </w:r>
            <w:r w:rsidRPr="00E650A4">
              <w:rPr>
                <w:rFonts w:ascii="宋体" w:hAnsi="宋体" w:cs="宋体" w:hint="eastAsia"/>
                <w:snapToGrid w:val="0"/>
                <w:kern w:val="22"/>
              </w:rPr>
              <w:t>信息交换所提供信息（国家主管部门、检查点、获取和惠益分享措施、国际公认遵守证书）的缔约方数目和百分比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(a)(g)</w:t>
            </w:r>
          </w:p>
        </w:tc>
        <w:tc>
          <w:tcPr>
            <w:tcW w:w="138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54 (51%)</w:t>
            </w:r>
          </w:p>
        </w:tc>
        <w:tc>
          <w:tcPr>
            <w:tcW w:w="1443" w:type="dxa"/>
            <w:vAlign w:val="center"/>
          </w:tcPr>
          <w:p w:rsidR="006531B4" w:rsidRPr="00E650A4" w:rsidRDefault="006531B4" w:rsidP="00B6332A">
            <w:pPr>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 xml:space="preserve">3 </w:t>
            </w:r>
          </w:p>
          <w:p w:rsidR="006531B4" w:rsidRPr="00E650A4" w:rsidRDefault="006531B4" w:rsidP="00B6332A">
            <w:pPr>
              <w:rPr>
                <w:rFonts w:cs="Times New Roman"/>
                <w:snapToGrid w:val="0"/>
                <w:kern w:val="22"/>
              </w:rPr>
            </w:pPr>
            <w:r w:rsidRPr="00E650A4">
              <w:rPr>
                <w:rFonts w:ascii="宋体" w:hAnsi="宋体" w:cs="宋体" w:hint="eastAsia"/>
                <w:snapToGrid w:val="0"/>
                <w:kern w:val="22"/>
                <w:szCs w:val="22"/>
              </w:rPr>
              <w:t>信息交换所</w:t>
            </w:r>
            <w:r w:rsidRPr="00E650A4">
              <w:rPr>
                <w:rFonts w:cs="Times New Roman"/>
                <w:snapToGrid w:val="0"/>
                <w:kern w:val="22"/>
                <w:szCs w:val="22"/>
              </w:rPr>
              <w:t xml:space="preserve"> </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rPr>
              <w:t>有信息（国家主管部门、检查点、获取和惠益分享措施、许可证）但尚未提交</w:t>
            </w:r>
            <w:r>
              <w:rPr>
                <w:rFonts w:ascii="宋体" w:hAnsi="宋体" w:cs="宋体" w:hint="eastAsia"/>
                <w:snapToGrid w:val="0"/>
                <w:kern w:val="22"/>
              </w:rPr>
              <w:t>获取和惠益分享</w:t>
            </w:r>
            <w:r w:rsidRPr="00E650A4">
              <w:rPr>
                <w:rFonts w:ascii="宋体" w:hAnsi="宋体" w:cs="宋体" w:hint="eastAsia"/>
                <w:snapToGrid w:val="0"/>
                <w:kern w:val="22"/>
              </w:rPr>
              <w:t>信息交换所的缔约方数目和百分比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(a)(g)</w:t>
            </w:r>
          </w:p>
        </w:tc>
        <w:tc>
          <w:tcPr>
            <w:tcW w:w="138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46 (44%)</w:t>
            </w:r>
          </w:p>
        </w:tc>
        <w:tc>
          <w:tcPr>
            <w:tcW w:w="1443" w:type="dxa"/>
            <w:vAlign w:val="center"/>
          </w:tcPr>
          <w:p w:rsidR="006531B4" w:rsidRPr="00E650A4" w:rsidRDefault="006531B4" w:rsidP="00B6332A">
            <w:pPr>
              <w:jc w:val="left"/>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4</w:t>
            </w:r>
            <w:r w:rsidRPr="00E650A4">
              <w:rPr>
                <w:rFonts w:ascii="宋体" w:hAnsi="宋体" w:cs="宋体" w:hint="eastAsia"/>
                <w:snapToGrid w:val="0"/>
                <w:kern w:val="22"/>
                <w:szCs w:val="22"/>
              </w:rPr>
              <w:t>、</w:t>
            </w:r>
            <w:r w:rsidRPr="00E650A4">
              <w:rPr>
                <w:rFonts w:cs="Times New Roman"/>
                <w:snapToGrid w:val="0"/>
                <w:kern w:val="22"/>
                <w:szCs w:val="22"/>
              </w:rPr>
              <w:t>6</w:t>
            </w:r>
            <w:r w:rsidRPr="00E650A4">
              <w:rPr>
                <w:rFonts w:ascii="宋体" w:hAnsi="宋体" w:cs="宋体" w:hint="eastAsia"/>
                <w:snapToGrid w:val="0"/>
                <w:kern w:val="22"/>
                <w:szCs w:val="22"/>
              </w:rPr>
              <w:t>、</w:t>
            </w:r>
            <w:r w:rsidRPr="00E650A4">
              <w:rPr>
                <w:rFonts w:cs="Times New Roman"/>
                <w:snapToGrid w:val="0"/>
                <w:kern w:val="22"/>
                <w:szCs w:val="22"/>
              </w:rPr>
              <w:t>9</w:t>
            </w:r>
          </w:p>
          <w:p w:rsidR="006531B4" w:rsidRDefault="006531B4" w:rsidP="00B6332A">
            <w:pPr>
              <w:rPr>
                <w:rFonts w:ascii="宋体" w:cs="宋体"/>
                <w:snapToGrid w:val="0"/>
                <w:kern w:val="22"/>
              </w:rPr>
            </w:pPr>
            <w:r w:rsidRPr="00E650A4">
              <w:rPr>
                <w:rFonts w:ascii="宋体" w:hAnsi="宋体" w:cs="宋体" w:hint="eastAsia"/>
                <w:snapToGrid w:val="0"/>
                <w:kern w:val="22"/>
                <w:szCs w:val="22"/>
              </w:rPr>
              <w:t>信息交换所</w:t>
            </w:r>
          </w:p>
          <w:p w:rsidR="006531B4" w:rsidRPr="00E650A4" w:rsidRDefault="006531B4" w:rsidP="00B6332A">
            <w:pPr>
              <w:rPr>
                <w:rFonts w:cs="Times New Roman"/>
                <w:snapToGrid w:val="0"/>
                <w:kern w:val="22"/>
              </w:rPr>
            </w:pPr>
            <w:r w:rsidRPr="00E650A4">
              <w:rPr>
                <w:rFonts w:ascii="宋体" w:hAnsi="宋体" w:cs="宋体" w:hint="eastAsia"/>
                <w:snapToGrid w:val="0"/>
                <w:kern w:val="22"/>
                <w:szCs w:val="22"/>
              </w:rPr>
              <w:t>公约报告</w:t>
            </w:r>
          </w:p>
          <w:p w:rsidR="006531B4" w:rsidRPr="00E650A4" w:rsidRDefault="006531B4" w:rsidP="00B6332A">
            <w:pPr>
              <w:rPr>
                <w:rFonts w:cs="Times New Roman"/>
                <w:snapToGrid w:val="0"/>
                <w:kern w:val="22"/>
              </w:rPr>
            </w:pPr>
            <w:r w:rsidRPr="00E650A4">
              <w:rPr>
                <w:rFonts w:ascii="宋体" w:hAnsi="宋体" w:cs="宋体" w:hint="eastAsia"/>
                <w:snapToGrid w:val="0"/>
                <w:kern w:val="22"/>
                <w:szCs w:val="22"/>
              </w:rPr>
              <w:t>国家战略和行动计划</w:t>
            </w:r>
          </w:p>
        </w:tc>
      </w:tr>
      <w:tr w:rsidR="006531B4" w:rsidRPr="00E650A4" w:rsidTr="00DB68D5">
        <w:trPr>
          <w:jc w:val="center"/>
        </w:trPr>
        <w:tc>
          <w:tcPr>
            <w:tcW w:w="9480" w:type="dxa"/>
            <w:gridSpan w:val="4"/>
            <w:shd w:val="pct5" w:color="auto" w:fill="auto"/>
            <w:vAlign w:val="center"/>
          </w:tcPr>
          <w:p w:rsidR="006531B4" w:rsidRPr="00E650A4" w:rsidRDefault="006531B4" w:rsidP="00B6332A">
            <w:pPr>
              <w:spacing w:before="120" w:after="120"/>
              <w:ind w:left="314"/>
              <w:contextualSpacing/>
              <w:rPr>
                <w:rFonts w:cs="Times New Roman"/>
                <w:b/>
                <w:snapToGrid w:val="0"/>
                <w:kern w:val="22"/>
              </w:rPr>
            </w:pPr>
            <w:r w:rsidRPr="00E650A4">
              <w:rPr>
                <w:rFonts w:ascii="宋体" w:hAnsi="宋体" w:cs="宋体" w:hint="eastAsia"/>
                <w:b/>
                <w:snapToGrid w:val="0"/>
                <w:kern w:val="22"/>
                <w:szCs w:val="22"/>
              </w:rPr>
              <w:t>关于获取和惠益分享的立法、行政或政策措施：获取遗传资源（第</w:t>
            </w:r>
            <w:r w:rsidRPr="00E650A4">
              <w:rPr>
                <w:rFonts w:cs="Times New Roman"/>
                <w:b/>
                <w:snapToGrid w:val="0"/>
                <w:kern w:val="22"/>
                <w:szCs w:val="22"/>
              </w:rPr>
              <w:t>6</w:t>
            </w:r>
            <w:r w:rsidRPr="00E650A4">
              <w:rPr>
                <w:rFonts w:ascii="宋体" w:hAnsi="宋体" w:cs="宋体" w:hint="eastAsia"/>
                <w:b/>
                <w:snapToGrid w:val="0"/>
                <w:kern w:val="22"/>
                <w:szCs w:val="22"/>
              </w:rPr>
              <w:t>条）</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rPr>
              <w:t>要求获取遗传资源需得到事先知情同意并根据第</w:t>
            </w:r>
            <w:r w:rsidRPr="00E650A4">
              <w:rPr>
                <w:rFonts w:cs="Times New Roman"/>
                <w:snapToGrid w:val="0"/>
                <w:kern w:val="22"/>
              </w:rPr>
              <w:t>6.3</w:t>
            </w:r>
            <w:r w:rsidRPr="00E650A4">
              <w:rPr>
                <w:rFonts w:ascii="宋体" w:hAnsi="宋体" w:cs="宋体" w:hint="eastAsia"/>
                <w:snapToGrid w:val="0"/>
                <w:kern w:val="22"/>
              </w:rPr>
              <w:t>（</w:t>
            </w:r>
            <w:r w:rsidRPr="00E650A4">
              <w:rPr>
                <w:rFonts w:cs="Times New Roman"/>
                <w:snapToGrid w:val="0"/>
                <w:kern w:val="22"/>
              </w:rPr>
              <w:t>c</w:t>
            </w:r>
            <w:r w:rsidRPr="00E650A4">
              <w:rPr>
                <w:rFonts w:ascii="宋体" w:hAnsi="宋体" w:cs="宋体" w:hint="eastAsia"/>
                <w:snapToGrid w:val="0"/>
                <w:kern w:val="22"/>
              </w:rPr>
              <w:t>）条规定提供如何申请事先知情同意的信息的缔约方数目和百分比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(a) (b)</w:t>
            </w:r>
          </w:p>
        </w:tc>
        <w:tc>
          <w:tcPr>
            <w:tcW w:w="138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27 (73%)</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 xml:space="preserve">13 </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rPr>
              <w:t>要求事先知情同意并根据第</w:t>
            </w:r>
            <w:r w:rsidRPr="00E650A4">
              <w:rPr>
                <w:rFonts w:cs="Times New Roman"/>
                <w:snapToGrid w:val="0"/>
                <w:kern w:val="22"/>
              </w:rPr>
              <w:t>6.3</w:t>
            </w:r>
            <w:r w:rsidRPr="00E650A4">
              <w:rPr>
                <w:rFonts w:ascii="宋体" w:hAnsi="宋体" w:cs="宋体" w:hint="eastAsia"/>
                <w:snapToGrid w:val="0"/>
                <w:kern w:val="22"/>
              </w:rPr>
              <w:t>（</w:t>
            </w:r>
            <w:r w:rsidRPr="00E650A4">
              <w:rPr>
                <w:rFonts w:cs="Times New Roman"/>
                <w:snapToGrid w:val="0"/>
                <w:kern w:val="22"/>
              </w:rPr>
              <w:t>e</w:t>
            </w:r>
            <w:r w:rsidRPr="00E650A4">
              <w:rPr>
                <w:rFonts w:ascii="宋体" w:hAnsi="宋体" w:cs="宋体" w:hint="eastAsia"/>
                <w:snapToGrid w:val="0"/>
                <w:kern w:val="22"/>
              </w:rPr>
              <w:t>）条规定在获取时签发许可证或等同文件的缔约方数目和百分比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(a) (b)</w:t>
            </w:r>
          </w:p>
        </w:tc>
        <w:tc>
          <w:tcPr>
            <w:tcW w:w="138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32 (86%)</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15</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rPr>
              <w:t>要求获取遗传资源需得到事先知情同意并根据第</w:t>
            </w:r>
            <w:r w:rsidRPr="00E650A4">
              <w:rPr>
                <w:rFonts w:cs="Times New Roman"/>
                <w:snapToGrid w:val="0"/>
                <w:kern w:val="22"/>
              </w:rPr>
              <w:t>6.3</w:t>
            </w:r>
            <w:r w:rsidRPr="00E650A4">
              <w:rPr>
                <w:rFonts w:ascii="宋体" w:hAnsi="宋体" w:cs="宋体" w:hint="eastAsia"/>
                <w:snapToGrid w:val="0"/>
                <w:kern w:val="22"/>
              </w:rPr>
              <w:t>（</w:t>
            </w:r>
            <w:r w:rsidRPr="00E650A4">
              <w:rPr>
                <w:rFonts w:cs="Times New Roman"/>
                <w:snapToGrid w:val="0"/>
                <w:kern w:val="22"/>
              </w:rPr>
              <w:t>g</w:t>
            </w:r>
            <w:r w:rsidRPr="00E650A4">
              <w:rPr>
                <w:rFonts w:ascii="宋体" w:hAnsi="宋体" w:cs="宋体" w:hint="eastAsia"/>
                <w:snapToGrid w:val="0"/>
                <w:kern w:val="22"/>
              </w:rPr>
              <w:t>）条规定就要求和订立共同商定条件制定了规则和程序的缔约方数目和百分比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(a)</w:t>
            </w:r>
          </w:p>
        </w:tc>
        <w:tc>
          <w:tcPr>
            <w:tcW w:w="138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28 (76%)</w:t>
            </w:r>
          </w:p>
        </w:tc>
        <w:tc>
          <w:tcPr>
            <w:tcW w:w="1443" w:type="dxa"/>
            <w:vAlign w:val="center"/>
          </w:tcPr>
          <w:p w:rsidR="006531B4" w:rsidRPr="00E650A4" w:rsidRDefault="006531B4" w:rsidP="00B6332A">
            <w:pPr>
              <w:spacing w:before="120" w:after="120"/>
              <w:rPr>
                <w:rFonts w:cs="Times New Roman"/>
                <w:snapToGrid w:val="0"/>
                <w:color w:val="000000"/>
                <w:kern w:val="22"/>
              </w:rPr>
            </w:pPr>
            <w:r w:rsidRPr="00E650A4">
              <w:rPr>
                <w:rFonts w:ascii="宋体" w:hAnsi="宋体" w:cs="宋体" w:hint="eastAsia"/>
                <w:snapToGrid w:val="0"/>
                <w:color w:val="000000"/>
                <w:kern w:val="22"/>
                <w:szCs w:val="22"/>
              </w:rPr>
              <w:t>问题</w:t>
            </w:r>
            <w:r w:rsidRPr="00E650A4">
              <w:rPr>
                <w:rFonts w:cs="Times New Roman"/>
                <w:snapToGrid w:val="0"/>
                <w:color w:val="000000"/>
                <w:kern w:val="22"/>
                <w:szCs w:val="22"/>
              </w:rPr>
              <w:t xml:space="preserve">17 </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431412">
              <w:rPr>
                <w:rFonts w:eastAsia="KaiTi" w:cs="Times New Roman" w:hint="eastAsia"/>
                <w:snapToGrid w:val="0"/>
                <w:kern w:val="22"/>
                <w:lang w:val="en-US"/>
              </w:rPr>
              <w:t>订正</w:t>
            </w:r>
            <w:r w:rsidRPr="00E650A4">
              <w:rPr>
                <w:rFonts w:ascii="宋体" w:hAnsi="宋体" w:cs="宋体" w:hint="eastAsia"/>
                <w:snapToGrid w:val="0"/>
                <w:kern w:val="22"/>
              </w:rPr>
              <w:t>：</w:t>
            </w:r>
            <w:r>
              <w:rPr>
                <w:rFonts w:ascii="宋体" w:hAnsi="宋体" w:cs="宋体" w:hint="eastAsia"/>
                <w:snapToGrid w:val="0"/>
                <w:kern w:val="22"/>
              </w:rPr>
              <w:t>《议定书》</w:t>
            </w:r>
            <w:r w:rsidRPr="00E650A4">
              <w:rPr>
                <w:rFonts w:ascii="宋体" w:hAnsi="宋体" w:cs="宋体" w:hint="eastAsia"/>
                <w:snapToGrid w:val="0"/>
                <w:kern w:val="22"/>
              </w:rPr>
              <w:t>生效以来要求获取可被利用遗传资源需得事先知情同意并从准予获取遗传资源收到货币惠益的缔约方数目和百分比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(b)</w:t>
            </w:r>
          </w:p>
        </w:tc>
        <w:tc>
          <w:tcPr>
            <w:tcW w:w="1384" w:type="dxa"/>
            <w:vAlign w:val="center"/>
          </w:tcPr>
          <w:p w:rsidR="006531B4" w:rsidRPr="00E650A4" w:rsidRDefault="006531B4" w:rsidP="00B6332A">
            <w:pPr>
              <w:spacing w:before="120" w:after="120"/>
              <w:jc w:val="center"/>
              <w:rPr>
                <w:rFonts w:cs="Times New Roman"/>
                <w:snapToGrid w:val="0"/>
                <w:kern w:val="22"/>
              </w:rPr>
            </w:pPr>
            <w:r w:rsidRPr="00E650A4">
              <w:rPr>
                <w:rFonts w:ascii="宋体" w:hAnsi="宋体" w:cs="宋体" w:hint="eastAsia"/>
                <w:snapToGrid w:val="0"/>
                <w:kern w:val="22"/>
                <w:szCs w:val="22"/>
              </w:rPr>
              <w:t>无确凿数据</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 xml:space="preserve">18 </w:t>
            </w:r>
          </w:p>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需订正</w:t>
            </w:r>
          </w:p>
        </w:tc>
      </w:tr>
      <w:tr w:rsidR="006531B4" w:rsidRPr="00E650A4" w:rsidTr="00DB68D5">
        <w:trPr>
          <w:trHeight w:val="805"/>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431412">
              <w:rPr>
                <w:rFonts w:eastAsia="KaiTi" w:cs="Times New Roman" w:hint="eastAsia"/>
                <w:snapToGrid w:val="0"/>
                <w:kern w:val="22"/>
              </w:rPr>
              <w:t>新</w:t>
            </w:r>
            <w:r w:rsidRPr="00E650A4">
              <w:rPr>
                <w:rFonts w:ascii="宋体" w:hAnsi="宋体" w:cs="宋体" w:hint="eastAsia"/>
                <w:snapToGrid w:val="0"/>
                <w:kern w:val="22"/>
              </w:rPr>
              <w:t>：《议定书》生效以来从准予获取可被利用遗传资源收到的货币惠益数额（以美元计）</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(b)</w:t>
            </w:r>
          </w:p>
        </w:tc>
        <w:tc>
          <w:tcPr>
            <w:tcW w:w="1384" w:type="dxa"/>
            <w:vAlign w:val="center"/>
          </w:tcPr>
          <w:p w:rsidR="006531B4" w:rsidRPr="00E650A4" w:rsidRDefault="006531B4" w:rsidP="00B6332A">
            <w:pPr>
              <w:spacing w:before="120" w:after="120"/>
              <w:jc w:val="center"/>
              <w:rPr>
                <w:rFonts w:cs="Times New Roman"/>
                <w:snapToGrid w:val="0"/>
                <w:kern w:val="22"/>
              </w:rPr>
            </w:pPr>
            <w:r w:rsidRPr="00E650A4">
              <w:rPr>
                <w:rFonts w:ascii="宋体" w:hAnsi="宋体" w:cs="宋体" w:hint="eastAsia"/>
                <w:snapToGrid w:val="0"/>
                <w:kern w:val="22"/>
                <w:szCs w:val="22"/>
              </w:rPr>
              <w:t>无确凿数据</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 xml:space="preserve">18 </w:t>
            </w:r>
          </w:p>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需订正</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431412">
              <w:rPr>
                <w:rFonts w:eastAsia="KaiTi" w:cs="Times New Roman" w:hint="eastAsia"/>
                <w:snapToGrid w:val="0"/>
                <w:kern w:val="22"/>
              </w:rPr>
              <w:t>订正</w:t>
            </w:r>
            <w:r w:rsidRPr="00E650A4">
              <w:rPr>
                <w:rFonts w:ascii="宋体" w:hAnsi="宋体" w:cs="宋体" w:hint="eastAsia"/>
                <w:snapToGrid w:val="0"/>
                <w:kern w:val="22"/>
              </w:rPr>
              <w:t>：《</w:t>
            </w:r>
            <w:r>
              <w:rPr>
                <w:rFonts w:ascii="宋体" w:hAnsi="宋体" w:cs="宋体" w:hint="eastAsia"/>
                <w:snapToGrid w:val="0"/>
                <w:kern w:val="22"/>
              </w:rPr>
              <w:t>议定书</w:t>
            </w:r>
            <w:r w:rsidRPr="00E650A4">
              <w:rPr>
                <w:rFonts w:ascii="宋体" w:hAnsi="宋体" w:cs="宋体" w:hint="eastAsia"/>
                <w:snapToGrid w:val="0"/>
                <w:kern w:val="22"/>
              </w:rPr>
              <w:t>》生效以来要求获取遗传资源需得事先知情同意并从准予获取遗传资源收到非货币惠益的缔约方数目和百分比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(b)</w:t>
            </w:r>
          </w:p>
        </w:tc>
        <w:tc>
          <w:tcPr>
            <w:tcW w:w="1384" w:type="dxa"/>
            <w:vAlign w:val="center"/>
          </w:tcPr>
          <w:p w:rsidR="006531B4" w:rsidRPr="00E650A4" w:rsidRDefault="006531B4" w:rsidP="00B6332A">
            <w:pPr>
              <w:spacing w:before="120" w:after="120"/>
              <w:jc w:val="center"/>
              <w:rPr>
                <w:rFonts w:cs="Times New Roman"/>
                <w:snapToGrid w:val="0"/>
                <w:kern w:val="22"/>
              </w:rPr>
            </w:pPr>
            <w:r w:rsidRPr="00E650A4">
              <w:rPr>
                <w:rFonts w:ascii="宋体" w:hAnsi="宋体" w:cs="宋体" w:hint="eastAsia"/>
                <w:snapToGrid w:val="0"/>
                <w:kern w:val="22"/>
                <w:szCs w:val="22"/>
              </w:rPr>
              <w:t>无确凿数据</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 xml:space="preserve">18 </w:t>
            </w:r>
          </w:p>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需订正</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431412">
              <w:rPr>
                <w:rFonts w:eastAsia="KaiTi" w:cs="Times New Roman" w:hint="eastAsia"/>
                <w:snapToGrid w:val="0"/>
                <w:kern w:val="22"/>
              </w:rPr>
              <w:t>订正</w:t>
            </w:r>
            <w:r w:rsidRPr="00E650A4">
              <w:rPr>
                <w:rFonts w:ascii="宋体" w:hAnsi="宋体" w:cs="宋体" w:hint="eastAsia"/>
                <w:snapToGrid w:val="0"/>
                <w:kern w:val="22"/>
              </w:rPr>
              <w:t>：《议定书》生效以来国内有土著人民和地方社区并从准予获取与遗传资源相关的传统知识收到货币惠益的缔约方数目和百分比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(b)</w:t>
            </w:r>
          </w:p>
        </w:tc>
        <w:tc>
          <w:tcPr>
            <w:tcW w:w="1384" w:type="dxa"/>
            <w:vAlign w:val="center"/>
          </w:tcPr>
          <w:p w:rsidR="006531B4" w:rsidRPr="00E650A4" w:rsidRDefault="006531B4" w:rsidP="00B6332A">
            <w:pPr>
              <w:spacing w:before="120" w:after="120"/>
              <w:jc w:val="center"/>
              <w:rPr>
                <w:rFonts w:cs="Times New Roman"/>
                <w:snapToGrid w:val="0"/>
                <w:kern w:val="22"/>
              </w:rPr>
            </w:pPr>
            <w:r w:rsidRPr="00E650A4">
              <w:rPr>
                <w:rFonts w:ascii="宋体" w:hAnsi="宋体" w:cs="宋体" w:hint="eastAsia"/>
                <w:snapToGrid w:val="0"/>
                <w:kern w:val="22"/>
                <w:szCs w:val="22"/>
              </w:rPr>
              <w:t>无确凿数据</w:t>
            </w:r>
          </w:p>
        </w:tc>
        <w:tc>
          <w:tcPr>
            <w:tcW w:w="1443" w:type="dxa"/>
            <w:vAlign w:val="center"/>
          </w:tcPr>
          <w:p w:rsidR="006531B4" w:rsidRPr="00E650A4" w:rsidRDefault="006531B4" w:rsidP="00B6332A">
            <w:pPr>
              <w:spacing w:before="120" w:after="120"/>
              <w:jc w:val="left"/>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 xml:space="preserve">18 </w:t>
            </w:r>
          </w:p>
          <w:p w:rsidR="006531B4" w:rsidRPr="00E650A4" w:rsidRDefault="006531B4" w:rsidP="00B6332A">
            <w:pPr>
              <w:spacing w:before="120" w:after="120"/>
              <w:jc w:val="left"/>
              <w:rPr>
                <w:rFonts w:cs="Times New Roman"/>
                <w:snapToGrid w:val="0"/>
                <w:kern w:val="22"/>
              </w:rPr>
            </w:pPr>
            <w:r w:rsidRPr="00E650A4">
              <w:rPr>
                <w:rFonts w:ascii="宋体" w:hAnsi="宋体" w:cs="宋体" w:hint="eastAsia"/>
                <w:snapToGrid w:val="0"/>
                <w:kern w:val="22"/>
                <w:szCs w:val="22"/>
              </w:rPr>
              <w:t>需订正</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431412">
              <w:rPr>
                <w:rFonts w:eastAsia="KaiTi" w:cs="Times New Roman" w:hint="eastAsia"/>
                <w:snapToGrid w:val="0"/>
                <w:kern w:val="22"/>
              </w:rPr>
              <w:t>新</w:t>
            </w:r>
            <w:r w:rsidRPr="00E650A4">
              <w:rPr>
                <w:rFonts w:ascii="宋体" w:hAnsi="宋体" w:cs="宋体" w:hint="eastAsia"/>
                <w:snapToGrid w:val="0"/>
                <w:kern w:val="22"/>
              </w:rPr>
              <w:t>：《议定书》生效以来从准予与遗传资源相关的可被利用传统知识收到的货币惠益数额（以美元计）</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(b)</w:t>
            </w:r>
          </w:p>
        </w:tc>
        <w:tc>
          <w:tcPr>
            <w:tcW w:w="1384" w:type="dxa"/>
            <w:vAlign w:val="center"/>
          </w:tcPr>
          <w:p w:rsidR="006531B4" w:rsidRPr="00E650A4" w:rsidRDefault="006531B4" w:rsidP="00B6332A">
            <w:pPr>
              <w:spacing w:before="120" w:after="120"/>
              <w:jc w:val="center"/>
              <w:rPr>
                <w:rFonts w:cs="Times New Roman"/>
                <w:snapToGrid w:val="0"/>
                <w:kern w:val="22"/>
              </w:rPr>
            </w:pPr>
            <w:r w:rsidRPr="00E650A4">
              <w:rPr>
                <w:rFonts w:ascii="宋体" w:hAnsi="宋体" w:cs="宋体" w:hint="eastAsia"/>
                <w:snapToGrid w:val="0"/>
                <w:kern w:val="22"/>
                <w:szCs w:val="22"/>
              </w:rPr>
              <w:t>无确凿数据</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 xml:space="preserve">18 </w:t>
            </w:r>
          </w:p>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需订正</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431412">
              <w:rPr>
                <w:rFonts w:eastAsia="KaiTi" w:cs="Times New Roman" w:hint="eastAsia"/>
                <w:snapToGrid w:val="0"/>
                <w:kern w:val="22"/>
              </w:rPr>
              <w:t>订正</w:t>
            </w:r>
            <w:r w:rsidRPr="00E650A4">
              <w:rPr>
                <w:rFonts w:ascii="宋体" w:hAnsi="宋体" w:cs="宋体" w:hint="eastAsia"/>
                <w:snapToGrid w:val="0"/>
                <w:kern w:val="22"/>
              </w:rPr>
              <w:t>：国内有土著人民和地方社区并从准予获取与遗传资源相关的传统知识收到非货币惠益的缔约方数目和百分比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(b)</w:t>
            </w:r>
          </w:p>
        </w:tc>
        <w:tc>
          <w:tcPr>
            <w:tcW w:w="1384" w:type="dxa"/>
            <w:vAlign w:val="center"/>
          </w:tcPr>
          <w:p w:rsidR="006531B4" w:rsidRPr="00E650A4" w:rsidRDefault="006531B4" w:rsidP="00B6332A">
            <w:pPr>
              <w:spacing w:before="120" w:after="120"/>
              <w:jc w:val="center"/>
              <w:rPr>
                <w:rFonts w:cs="Times New Roman"/>
                <w:snapToGrid w:val="0"/>
                <w:kern w:val="22"/>
              </w:rPr>
            </w:pPr>
            <w:r w:rsidRPr="00E650A4">
              <w:rPr>
                <w:rFonts w:ascii="宋体" w:hAnsi="宋体" w:cs="宋体" w:hint="eastAsia"/>
                <w:snapToGrid w:val="0"/>
                <w:kern w:val="22"/>
                <w:szCs w:val="22"/>
              </w:rPr>
              <w:t>无确凿数据</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 xml:space="preserve">18 </w:t>
            </w:r>
          </w:p>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需订正</w:t>
            </w:r>
          </w:p>
        </w:tc>
      </w:tr>
      <w:tr w:rsidR="006531B4" w:rsidRPr="00E650A4" w:rsidTr="00DB68D5">
        <w:trPr>
          <w:jc w:val="center"/>
        </w:trPr>
        <w:tc>
          <w:tcPr>
            <w:tcW w:w="9480" w:type="dxa"/>
            <w:gridSpan w:val="4"/>
            <w:shd w:val="pct5" w:color="auto" w:fill="auto"/>
            <w:vAlign w:val="center"/>
          </w:tcPr>
          <w:p w:rsidR="006531B4" w:rsidRPr="00E650A4" w:rsidRDefault="006531B4" w:rsidP="00B6332A">
            <w:pPr>
              <w:spacing w:before="120" w:after="120"/>
              <w:ind w:left="314"/>
              <w:contextualSpacing/>
              <w:rPr>
                <w:rFonts w:cs="Times New Roman"/>
                <w:b/>
                <w:snapToGrid w:val="0"/>
                <w:kern w:val="22"/>
              </w:rPr>
            </w:pPr>
            <w:r w:rsidRPr="00E650A4">
              <w:rPr>
                <w:rFonts w:ascii="宋体" w:hAnsi="宋体" w:cs="宋体" w:hint="eastAsia"/>
                <w:b/>
                <w:snapToGrid w:val="0"/>
                <w:kern w:val="22"/>
                <w:szCs w:val="22"/>
              </w:rPr>
              <w:t>关于获取和惠益分享的立法、行政或政策措施：公正和公平分享（第</w:t>
            </w:r>
            <w:r w:rsidRPr="00E650A4">
              <w:rPr>
                <w:rFonts w:cs="Times New Roman"/>
                <w:b/>
                <w:snapToGrid w:val="0"/>
                <w:kern w:val="22"/>
                <w:szCs w:val="22"/>
              </w:rPr>
              <w:t>5</w:t>
            </w:r>
            <w:r w:rsidRPr="00E650A4">
              <w:rPr>
                <w:rFonts w:ascii="宋体" w:hAnsi="宋体" w:cs="宋体" w:hint="eastAsia"/>
                <w:b/>
                <w:snapToGrid w:val="0"/>
                <w:kern w:val="22"/>
                <w:szCs w:val="22"/>
              </w:rPr>
              <w:t>条）</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rPr>
              <w:t>为执行第</w:t>
            </w:r>
            <w:r w:rsidRPr="00E650A4">
              <w:rPr>
                <w:rFonts w:cs="Times New Roman"/>
                <w:snapToGrid w:val="0"/>
                <w:kern w:val="22"/>
              </w:rPr>
              <w:t>5.1</w:t>
            </w:r>
            <w:r w:rsidRPr="00E650A4">
              <w:rPr>
                <w:rFonts w:ascii="宋体" w:hAnsi="宋体" w:cs="宋体" w:hint="eastAsia"/>
                <w:snapToGrid w:val="0"/>
                <w:kern w:val="22"/>
              </w:rPr>
              <w:t>条（遗传资源）制定了立法、行政或政策措施的缔约方数目和百分比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(a)</w:t>
            </w:r>
          </w:p>
        </w:tc>
        <w:tc>
          <w:tcPr>
            <w:tcW w:w="1384" w:type="dxa"/>
            <w:vAlign w:val="center"/>
          </w:tcPr>
          <w:p w:rsidR="006531B4" w:rsidRPr="00E650A4" w:rsidRDefault="006531B4" w:rsidP="00B6332A">
            <w:pPr>
              <w:spacing w:before="120" w:after="120"/>
              <w:jc w:val="center"/>
              <w:rPr>
                <w:rFonts w:cs="Times New Roman"/>
                <w:snapToGrid w:val="0"/>
                <w:kern w:val="22"/>
              </w:rPr>
            </w:pPr>
            <w:r w:rsidRPr="00E650A4">
              <w:rPr>
                <w:rFonts w:cs="Times New Roman"/>
                <w:snapToGrid w:val="0"/>
                <w:kern w:val="22"/>
                <w:szCs w:val="22"/>
              </w:rPr>
              <w:t>46 (44%)</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20</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rPr>
              <w:t>为执行第</w:t>
            </w:r>
            <w:r w:rsidRPr="00E650A4">
              <w:rPr>
                <w:rFonts w:cs="Times New Roman"/>
                <w:snapToGrid w:val="0"/>
                <w:kern w:val="22"/>
              </w:rPr>
              <w:t>5.2</w:t>
            </w:r>
            <w:r w:rsidRPr="00E650A4">
              <w:rPr>
                <w:rFonts w:ascii="宋体" w:hAnsi="宋体" w:cs="宋体" w:hint="eastAsia"/>
                <w:snapToGrid w:val="0"/>
                <w:kern w:val="22"/>
              </w:rPr>
              <w:t>条（土著人民和地方社区持有的遗传资源）制定了立法、行政或政策措施的缔约方数目和百分比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(a)</w:t>
            </w:r>
          </w:p>
        </w:tc>
        <w:tc>
          <w:tcPr>
            <w:tcW w:w="1384" w:type="dxa"/>
            <w:vAlign w:val="center"/>
          </w:tcPr>
          <w:p w:rsidR="006531B4" w:rsidRPr="00E650A4" w:rsidRDefault="006531B4" w:rsidP="00B6332A">
            <w:pPr>
              <w:spacing w:before="120" w:after="120"/>
              <w:jc w:val="center"/>
              <w:rPr>
                <w:rFonts w:cs="Times New Roman"/>
                <w:snapToGrid w:val="0"/>
                <w:kern w:val="22"/>
              </w:rPr>
            </w:pPr>
            <w:r w:rsidRPr="00E650A4">
              <w:rPr>
                <w:rFonts w:cs="Times New Roman"/>
                <w:snapToGrid w:val="0"/>
                <w:kern w:val="22"/>
                <w:szCs w:val="22"/>
              </w:rPr>
              <w:t>42 (40%)</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21</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rPr>
              <w:t>为执行第</w:t>
            </w:r>
            <w:r w:rsidRPr="00E650A4">
              <w:rPr>
                <w:rFonts w:cs="Times New Roman"/>
                <w:snapToGrid w:val="0"/>
                <w:kern w:val="22"/>
              </w:rPr>
              <w:t>5.5</w:t>
            </w:r>
            <w:r w:rsidRPr="00E650A4">
              <w:rPr>
                <w:rFonts w:ascii="宋体" w:hAnsi="宋体" w:cs="宋体" w:hint="eastAsia"/>
                <w:snapToGrid w:val="0"/>
                <w:kern w:val="22"/>
              </w:rPr>
              <w:t>条（与遗传资源相关的传统知识）制定了立法、行政或政策措施的缔约方数目和百分比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(a)</w:t>
            </w:r>
          </w:p>
        </w:tc>
        <w:tc>
          <w:tcPr>
            <w:tcW w:w="1384" w:type="dxa"/>
            <w:vAlign w:val="center"/>
          </w:tcPr>
          <w:p w:rsidR="006531B4" w:rsidRPr="00E650A4" w:rsidRDefault="006531B4" w:rsidP="00B6332A">
            <w:pPr>
              <w:spacing w:before="120" w:after="120"/>
              <w:jc w:val="center"/>
              <w:rPr>
                <w:rFonts w:cs="Times New Roman"/>
                <w:snapToGrid w:val="0"/>
                <w:kern w:val="22"/>
              </w:rPr>
            </w:pPr>
            <w:r w:rsidRPr="00E650A4">
              <w:rPr>
                <w:rFonts w:cs="Times New Roman"/>
                <w:snapToGrid w:val="0"/>
                <w:kern w:val="22"/>
                <w:szCs w:val="22"/>
              </w:rPr>
              <w:t>41(39%)</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22</w:t>
            </w:r>
          </w:p>
        </w:tc>
      </w:tr>
      <w:tr w:rsidR="006531B4" w:rsidRPr="00E650A4" w:rsidTr="00DB68D5">
        <w:trPr>
          <w:trHeight w:val="440"/>
          <w:jc w:val="center"/>
        </w:trPr>
        <w:tc>
          <w:tcPr>
            <w:tcW w:w="9480" w:type="dxa"/>
            <w:gridSpan w:val="4"/>
            <w:shd w:val="pct5" w:color="auto" w:fill="auto"/>
            <w:vAlign w:val="center"/>
          </w:tcPr>
          <w:p w:rsidR="006531B4" w:rsidRPr="00E650A4" w:rsidRDefault="006531B4" w:rsidP="00B6332A">
            <w:pPr>
              <w:spacing w:before="120" w:after="120"/>
              <w:ind w:left="314"/>
              <w:contextualSpacing/>
              <w:rPr>
                <w:rFonts w:cs="Times New Roman"/>
                <w:b/>
                <w:snapToGrid w:val="0"/>
                <w:kern w:val="22"/>
              </w:rPr>
            </w:pPr>
            <w:r w:rsidRPr="00E650A4">
              <w:rPr>
                <w:rFonts w:ascii="宋体" w:hAnsi="宋体" w:cs="宋体" w:hint="eastAsia"/>
                <w:b/>
                <w:snapToGrid w:val="0"/>
                <w:kern w:val="22"/>
                <w:szCs w:val="22"/>
              </w:rPr>
              <w:t>关于获取和惠益分享的立法、行政或政策措施：遵守获取和惠益分享的国家立法或监管要求（第</w:t>
            </w:r>
            <w:r w:rsidRPr="00E650A4">
              <w:rPr>
                <w:rFonts w:cs="Times New Roman"/>
                <w:b/>
                <w:snapToGrid w:val="0"/>
                <w:kern w:val="22"/>
                <w:szCs w:val="22"/>
              </w:rPr>
              <w:t>15</w:t>
            </w:r>
            <w:r w:rsidRPr="00E650A4">
              <w:rPr>
                <w:rFonts w:ascii="宋体" w:hAnsi="宋体" w:cs="宋体" w:hint="eastAsia"/>
                <w:b/>
                <w:snapToGrid w:val="0"/>
                <w:kern w:val="22"/>
                <w:szCs w:val="22"/>
              </w:rPr>
              <w:t>条和第</w:t>
            </w:r>
            <w:r w:rsidRPr="00E650A4">
              <w:rPr>
                <w:rFonts w:cs="Times New Roman"/>
                <w:b/>
                <w:snapToGrid w:val="0"/>
                <w:kern w:val="22"/>
                <w:szCs w:val="22"/>
              </w:rPr>
              <w:t>16</w:t>
            </w:r>
            <w:r w:rsidRPr="00E650A4">
              <w:rPr>
                <w:rFonts w:ascii="宋体" w:hAnsi="宋体" w:cs="宋体" w:hint="eastAsia"/>
                <w:b/>
                <w:snapToGrid w:val="0"/>
                <w:kern w:val="22"/>
                <w:szCs w:val="22"/>
              </w:rPr>
              <w:t>条）和监测遗传资源的利用（第</w:t>
            </w:r>
            <w:r w:rsidRPr="00E650A4">
              <w:rPr>
                <w:rFonts w:cs="Times New Roman"/>
                <w:b/>
                <w:snapToGrid w:val="0"/>
                <w:kern w:val="22"/>
                <w:szCs w:val="22"/>
              </w:rPr>
              <w:t>17</w:t>
            </w:r>
            <w:r w:rsidRPr="00E650A4">
              <w:rPr>
                <w:rFonts w:ascii="宋体" w:hAnsi="宋体" w:cs="宋体" w:hint="eastAsia"/>
                <w:b/>
                <w:snapToGrid w:val="0"/>
                <w:kern w:val="22"/>
                <w:szCs w:val="22"/>
              </w:rPr>
              <w:t>条）</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rPr>
              <w:t>为执行第</w:t>
            </w:r>
            <w:r w:rsidRPr="00E650A4">
              <w:rPr>
                <w:rFonts w:cs="Times New Roman"/>
                <w:snapToGrid w:val="0"/>
                <w:kern w:val="22"/>
              </w:rPr>
              <w:t>15.1</w:t>
            </w:r>
            <w:r w:rsidRPr="00E650A4">
              <w:rPr>
                <w:rFonts w:ascii="宋体" w:hAnsi="宋体" w:cs="宋体" w:hint="eastAsia"/>
                <w:snapToGrid w:val="0"/>
                <w:kern w:val="22"/>
              </w:rPr>
              <w:t>条（遗传资源）采取了适当、有效和相称的立法、行政或政策措施的缔约方数目和百分比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(b)</w:t>
            </w:r>
          </w:p>
        </w:tc>
        <w:tc>
          <w:tcPr>
            <w:tcW w:w="1384" w:type="dxa"/>
            <w:vAlign w:val="center"/>
          </w:tcPr>
          <w:p w:rsidR="006531B4" w:rsidRPr="00E650A4" w:rsidRDefault="006531B4" w:rsidP="00B6332A">
            <w:pPr>
              <w:spacing w:before="120" w:after="120"/>
              <w:jc w:val="center"/>
              <w:rPr>
                <w:rFonts w:cs="Times New Roman"/>
                <w:snapToGrid w:val="0"/>
                <w:kern w:val="22"/>
              </w:rPr>
            </w:pPr>
            <w:r w:rsidRPr="00E650A4">
              <w:rPr>
                <w:rFonts w:cs="Times New Roman"/>
                <w:snapToGrid w:val="0"/>
                <w:kern w:val="22"/>
                <w:szCs w:val="22"/>
              </w:rPr>
              <w:t>36 (34%)</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24</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rPr>
              <w:t>为执行第</w:t>
            </w:r>
            <w:r w:rsidRPr="00E650A4">
              <w:rPr>
                <w:rFonts w:cs="Times New Roman"/>
                <w:snapToGrid w:val="0"/>
                <w:kern w:val="22"/>
              </w:rPr>
              <w:t>16.1</w:t>
            </w:r>
            <w:r w:rsidRPr="00E650A4">
              <w:rPr>
                <w:rFonts w:ascii="宋体" w:hAnsi="宋体" w:cs="宋体" w:hint="eastAsia"/>
                <w:snapToGrid w:val="0"/>
                <w:kern w:val="22"/>
              </w:rPr>
              <w:t>条（与遗传资源相关的传统知识）采取了适当、有效和相称的立法、行政或政策措施的缔约方数目和百分比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(e)</w:t>
            </w:r>
          </w:p>
        </w:tc>
        <w:tc>
          <w:tcPr>
            <w:tcW w:w="1384" w:type="dxa"/>
            <w:vAlign w:val="center"/>
          </w:tcPr>
          <w:p w:rsidR="006531B4" w:rsidRPr="00E650A4" w:rsidRDefault="006531B4" w:rsidP="00B6332A">
            <w:pPr>
              <w:spacing w:before="120" w:after="120"/>
              <w:jc w:val="center"/>
              <w:rPr>
                <w:rFonts w:cs="Times New Roman"/>
                <w:snapToGrid w:val="0"/>
                <w:kern w:val="22"/>
              </w:rPr>
            </w:pPr>
            <w:r w:rsidRPr="00E650A4">
              <w:rPr>
                <w:rFonts w:cs="Times New Roman"/>
                <w:snapToGrid w:val="0"/>
                <w:kern w:val="22"/>
                <w:szCs w:val="22"/>
              </w:rPr>
              <w:t>33 (31%)</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25</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rPr>
              <w:t>要求遗传资源使用者酌情在指定检查点提供第</w:t>
            </w:r>
            <w:r w:rsidRPr="00E650A4">
              <w:rPr>
                <w:rFonts w:cs="Times New Roman"/>
                <w:snapToGrid w:val="0"/>
                <w:kern w:val="22"/>
              </w:rPr>
              <w:t>17.1</w:t>
            </w:r>
            <w:r w:rsidRPr="00E650A4">
              <w:rPr>
                <w:rFonts w:ascii="宋体" w:hAnsi="宋体" w:cs="宋体" w:hint="eastAsia"/>
                <w:snapToGrid w:val="0"/>
                <w:kern w:val="22"/>
              </w:rPr>
              <w:t>（</w:t>
            </w:r>
            <w:r w:rsidRPr="00E650A4">
              <w:rPr>
                <w:rFonts w:cs="Times New Roman"/>
                <w:snapToGrid w:val="0"/>
                <w:kern w:val="22"/>
              </w:rPr>
              <w:t>a</w:t>
            </w:r>
            <w:r w:rsidRPr="00E650A4">
              <w:rPr>
                <w:rFonts w:ascii="宋体" w:hAnsi="宋体" w:cs="宋体" w:hint="eastAsia"/>
                <w:snapToGrid w:val="0"/>
                <w:kern w:val="22"/>
              </w:rPr>
              <w:t>）（</w:t>
            </w:r>
            <w:r w:rsidRPr="00E650A4">
              <w:rPr>
                <w:rFonts w:cs="Times New Roman"/>
                <w:snapToGrid w:val="0"/>
                <w:kern w:val="22"/>
              </w:rPr>
              <w:t>i</w:t>
            </w:r>
            <w:r w:rsidRPr="00E650A4">
              <w:rPr>
                <w:rFonts w:ascii="宋体" w:hAnsi="宋体" w:cs="宋体" w:hint="eastAsia"/>
                <w:snapToGrid w:val="0"/>
                <w:kern w:val="22"/>
              </w:rPr>
              <w:t>）条所列信息的缔约方数目和百分比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(a)</w:t>
            </w:r>
          </w:p>
        </w:tc>
        <w:tc>
          <w:tcPr>
            <w:tcW w:w="1384" w:type="dxa"/>
            <w:vAlign w:val="center"/>
          </w:tcPr>
          <w:p w:rsidR="006531B4" w:rsidRPr="00E650A4" w:rsidRDefault="006531B4" w:rsidP="00B6332A">
            <w:pPr>
              <w:spacing w:before="120" w:after="120"/>
              <w:jc w:val="center"/>
              <w:rPr>
                <w:rFonts w:cs="Times New Roman"/>
                <w:snapToGrid w:val="0"/>
                <w:kern w:val="22"/>
              </w:rPr>
            </w:pPr>
            <w:r w:rsidRPr="00E650A4">
              <w:rPr>
                <w:rFonts w:cs="Times New Roman"/>
                <w:snapToGrid w:val="0"/>
                <w:kern w:val="22"/>
                <w:szCs w:val="22"/>
              </w:rPr>
              <w:t>41 (39%)</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26</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rPr>
              <w:t>将在指定检查点收集或收到的信息提交有关国家主管部门、提供事先知情同意的缔约方和</w:t>
            </w:r>
            <w:r>
              <w:rPr>
                <w:rFonts w:ascii="宋体" w:hAnsi="宋体" w:cs="宋体" w:hint="eastAsia"/>
                <w:snapToGrid w:val="0"/>
                <w:kern w:val="22"/>
              </w:rPr>
              <w:t>获取和惠益分享</w:t>
            </w:r>
            <w:r w:rsidRPr="00E650A4">
              <w:rPr>
                <w:rFonts w:ascii="宋体" w:hAnsi="宋体" w:cs="宋体" w:hint="eastAsia"/>
                <w:snapToGrid w:val="0"/>
                <w:kern w:val="22"/>
              </w:rPr>
              <w:t>信息交换所的缔约方数目和百分比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(a)</w:t>
            </w:r>
          </w:p>
        </w:tc>
        <w:tc>
          <w:tcPr>
            <w:tcW w:w="1384" w:type="dxa"/>
            <w:vAlign w:val="center"/>
          </w:tcPr>
          <w:p w:rsidR="006531B4" w:rsidRPr="00E650A4" w:rsidRDefault="006531B4" w:rsidP="00B6332A">
            <w:pPr>
              <w:spacing w:before="120" w:after="120"/>
              <w:jc w:val="center"/>
              <w:rPr>
                <w:rFonts w:cs="Times New Roman"/>
                <w:snapToGrid w:val="0"/>
                <w:kern w:val="22"/>
              </w:rPr>
            </w:pPr>
            <w:r w:rsidRPr="00E650A4">
              <w:rPr>
                <w:rFonts w:cs="Times New Roman"/>
                <w:snapToGrid w:val="0"/>
                <w:kern w:val="22"/>
                <w:szCs w:val="22"/>
              </w:rPr>
              <w:t>9 (9%)</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27</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szCs w:val="22"/>
              </w:rPr>
              <w:t>在</w:t>
            </w:r>
            <w:r>
              <w:rPr>
                <w:rFonts w:ascii="宋体" w:hAnsi="宋体" w:cs="宋体" w:hint="eastAsia"/>
                <w:snapToGrid w:val="0"/>
                <w:kern w:val="22"/>
                <w:szCs w:val="22"/>
              </w:rPr>
              <w:t>获取和惠益分享</w:t>
            </w:r>
            <w:r w:rsidRPr="00E650A4">
              <w:rPr>
                <w:rFonts w:ascii="宋体" w:hAnsi="宋体" w:cs="宋体" w:hint="eastAsia"/>
                <w:snapToGrid w:val="0"/>
                <w:kern w:val="22"/>
                <w:szCs w:val="22"/>
              </w:rPr>
              <w:t>信息交换所发布的检查点公报数目</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(g)</w:t>
            </w:r>
          </w:p>
        </w:tc>
        <w:tc>
          <w:tcPr>
            <w:tcW w:w="1384" w:type="dxa"/>
            <w:vAlign w:val="center"/>
          </w:tcPr>
          <w:p w:rsidR="006531B4" w:rsidRPr="00E650A4" w:rsidRDefault="006531B4" w:rsidP="00B6332A">
            <w:pPr>
              <w:spacing w:before="120" w:after="120"/>
              <w:jc w:val="center"/>
              <w:rPr>
                <w:rFonts w:cs="Times New Roman"/>
                <w:snapToGrid w:val="0"/>
                <w:kern w:val="22"/>
              </w:rPr>
            </w:pPr>
            <w:r w:rsidRPr="00E650A4">
              <w:rPr>
                <w:rFonts w:cs="Times New Roman"/>
                <w:snapToGrid w:val="0"/>
                <w:kern w:val="22"/>
                <w:szCs w:val="22"/>
              </w:rPr>
              <w:t>0</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信息交换所</w:t>
            </w:r>
          </w:p>
        </w:tc>
      </w:tr>
      <w:tr w:rsidR="006531B4" w:rsidRPr="00E650A4" w:rsidTr="00DB68D5">
        <w:trPr>
          <w:jc w:val="center"/>
        </w:trPr>
        <w:tc>
          <w:tcPr>
            <w:tcW w:w="9480" w:type="dxa"/>
            <w:gridSpan w:val="4"/>
            <w:shd w:val="pct5" w:color="auto" w:fill="auto"/>
            <w:vAlign w:val="center"/>
          </w:tcPr>
          <w:p w:rsidR="006531B4" w:rsidRPr="00E650A4" w:rsidRDefault="006531B4" w:rsidP="00B6332A">
            <w:pPr>
              <w:spacing w:before="120" w:after="120"/>
              <w:ind w:left="314"/>
              <w:contextualSpacing/>
              <w:rPr>
                <w:rFonts w:cs="Times New Roman"/>
                <w:b/>
                <w:snapToGrid w:val="0"/>
                <w:kern w:val="22"/>
              </w:rPr>
            </w:pPr>
            <w:r w:rsidRPr="00E650A4">
              <w:rPr>
                <w:rFonts w:ascii="宋体" w:hAnsi="宋体" w:cs="宋体" w:hint="eastAsia"/>
                <w:b/>
                <w:snapToGrid w:val="0"/>
                <w:kern w:val="22"/>
                <w:szCs w:val="22"/>
              </w:rPr>
              <w:t>关于获取和惠益分享的立法、行政或政策措施：遵守共同商定条件（第</w:t>
            </w:r>
            <w:r w:rsidRPr="00E650A4">
              <w:rPr>
                <w:rFonts w:cs="Times New Roman"/>
                <w:b/>
                <w:snapToGrid w:val="0"/>
                <w:kern w:val="22"/>
                <w:szCs w:val="22"/>
              </w:rPr>
              <w:t>18</w:t>
            </w:r>
            <w:r w:rsidRPr="00E650A4">
              <w:rPr>
                <w:rFonts w:ascii="宋体" w:hAnsi="宋体" w:cs="宋体" w:hint="eastAsia"/>
                <w:b/>
                <w:snapToGrid w:val="0"/>
                <w:kern w:val="22"/>
                <w:szCs w:val="22"/>
              </w:rPr>
              <w:t>条）</w:t>
            </w:r>
            <w:r w:rsidRPr="00E650A4">
              <w:rPr>
                <w:rFonts w:cs="Times New Roman"/>
                <w:b/>
                <w:snapToGrid w:val="0"/>
                <w:kern w:val="22"/>
                <w:szCs w:val="22"/>
              </w:rPr>
              <w:t xml:space="preserve"> </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rPr>
              <w:t>鼓励根据第</w:t>
            </w:r>
            <w:r w:rsidRPr="00E650A4">
              <w:rPr>
                <w:rFonts w:cs="Times New Roman"/>
                <w:snapToGrid w:val="0"/>
                <w:kern w:val="22"/>
              </w:rPr>
              <w:t>18.1</w:t>
            </w:r>
            <w:r w:rsidRPr="00E650A4">
              <w:rPr>
                <w:rFonts w:ascii="宋体" w:hAnsi="宋体" w:cs="宋体" w:hint="eastAsia"/>
                <w:snapToGrid w:val="0"/>
                <w:kern w:val="22"/>
              </w:rPr>
              <w:t>条规定将争端解决条款写入共同商定条件的缔约方数目和百分比。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(d)</w:t>
            </w:r>
          </w:p>
        </w:tc>
        <w:tc>
          <w:tcPr>
            <w:tcW w:w="138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36 (34%)</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31</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rPr>
              <w:t>按照第</w:t>
            </w:r>
            <w:r w:rsidRPr="00E650A4">
              <w:rPr>
                <w:rFonts w:cs="Times New Roman"/>
                <w:snapToGrid w:val="0"/>
                <w:kern w:val="22"/>
              </w:rPr>
              <w:t>18.2</w:t>
            </w:r>
            <w:r w:rsidRPr="00E650A4">
              <w:rPr>
                <w:rFonts w:ascii="宋体" w:hAnsi="宋体" w:cs="宋体" w:hint="eastAsia"/>
                <w:snapToGrid w:val="0"/>
                <w:kern w:val="22"/>
              </w:rPr>
              <w:t>条规定共同商定条件出现争端时有机会在其法律制度下求索的缔约方数目和百分比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(d)</w:t>
            </w:r>
          </w:p>
        </w:tc>
        <w:tc>
          <w:tcPr>
            <w:tcW w:w="138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51 (49%)</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32</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rPr>
              <w:t>采取诉诸司法措施的缔约方数目和百分比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(d)</w:t>
            </w:r>
          </w:p>
        </w:tc>
        <w:tc>
          <w:tcPr>
            <w:tcW w:w="138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47 (45%)</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33</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rPr>
              <w:t>采取措施利用相互承认和执行外国判决和仲裁裁决机制的缔约方数目和百分比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(d)</w:t>
            </w:r>
          </w:p>
        </w:tc>
        <w:tc>
          <w:tcPr>
            <w:tcW w:w="138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38 (36%)</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33</w:t>
            </w:r>
          </w:p>
        </w:tc>
      </w:tr>
      <w:tr w:rsidR="006531B4" w:rsidRPr="00E650A4" w:rsidTr="00DB68D5">
        <w:trPr>
          <w:jc w:val="center"/>
        </w:trPr>
        <w:tc>
          <w:tcPr>
            <w:tcW w:w="9480" w:type="dxa"/>
            <w:gridSpan w:val="4"/>
            <w:shd w:val="pct5" w:color="auto" w:fill="auto"/>
            <w:vAlign w:val="center"/>
          </w:tcPr>
          <w:p w:rsidR="006531B4" w:rsidRPr="00E650A4" w:rsidRDefault="006531B4" w:rsidP="00B6332A">
            <w:pPr>
              <w:spacing w:before="120" w:after="120"/>
              <w:ind w:left="314"/>
              <w:contextualSpacing/>
              <w:rPr>
                <w:rFonts w:cs="Times New Roman"/>
                <w:b/>
                <w:snapToGrid w:val="0"/>
                <w:kern w:val="22"/>
              </w:rPr>
            </w:pPr>
            <w:r w:rsidRPr="00E650A4">
              <w:rPr>
                <w:rFonts w:ascii="宋体" w:hAnsi="宋体" w:cs="宋体" w:hint="eastAsia"/>
                <w:b/>
                <w:snapToGrid w:val="0"/>
                <w:kern w:val="22"/>
                <w:szCs w:val="22"/>
              </w:rPr>
              <w:t>特殊考虑（第</w:t>
            </w:r>
            <w:r w:rsidRPr="00E650A4">
              <w:rPr>
                <w:rFonts w:cs="Times New Roman"/>
                <w:b/>
                <w:snapToGrid w:val="0"/>
                <w:kern w:val="22"/>
                <w:szCs w:val="22"/>
              </w:rPr>
              <w:t>8</w:t>
            </w:r>
            <w:r w:rsidRPr="00E650A4">
              <w:rPr>
                <w:rFonts w:ascii="宋体" w:hAnsi="宋体" w:cs="宋体" w:hint="eastAsia"/>
                <w:b/>
                <w:snapToGrid w:val="0"/>
                <w:kern w:val="22"/>
                <w:szCs w:val="22"/>
              </w:rPr>
              <w:t>条）</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rPr>
              <w:t>按照第</w:t>
            </w:r>
            <w:r w:rsidRPr="00E650A4">
              <w:rPr>
                <w:rFonts w:cs="Times New Roman"/>
                <w:snapToGrid w:val="0"/>
                <w:kern w:val="22"/>
              </w:rPr>
              <w:t>8</w:t>
            </w:r>
            <w:r w:rsidRPr="00E650A4">
              <w:rPr>
                <w:rFonts w:ascii="宋体" w:hAnsi="宋体" w:cs="宋体" w:hint="eastAsia"/>
                <w:snapToGrid w:val="0"/>
                <w:kern w:val="22"/>
              </w:rPr>
              <w:t>（</w:t>
            </w:r>
            <w:r w:rsidRPr="00E650A4">
              <w:rPr>
                <w:rFonts w:cs="Times New Roman"/>
                <w:snapToGrid w:val="0"/>
                <w:kern w:val="22"/>
              </w:rPr>
              <w:t>a</w:t>
            </w:r>
            <w:r w:rsidRPr="00E650A4">
              <w:rPr>
                <w:rFonts w:ascii="宋体" w:hAnsi="宋体" w:cs="宋体" w:hint="eastAsia"/>
                <w:snapToGrid w:val="0"/>
                <w:kern w:val="22"/>
              </w:rPr>
              <w:t>）条规定创造条件促进和鼓励有助于生物多样性保护和可持续利用的研究的缔约方数目和百分比。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(b)</w:t>
            </w:r>
          </w:p>
        </w:tc>
        <w:tc>
          <w:tcPr>
            <w:tcW w:w="138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48 (46%)</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35</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rPr>
              <w:t>按照第</w:t>
            </w:r>
            <w:r w:rsidRPr="00E650A4">
              <w:rPr>
                <w:rFonts w:cs="Times New Roman"/>
                <w:snapToGrid w:val="0"/>
                <w:kern w:val="22"/>
              </w:rPr>
              <w:t>8</w:t>
            </w:r>
            <w:r w:rsidRPr="00E650A4">
              <w:rPr>
                <w:rFonts w:ascii="宋体" w:hAnsi="宋体" w:cs="宋体" w:hint="eastAsia"/>
                <w:snapToGrid w:val="0"/>
                <w:kern w:val="22"/>
              </w:rPr>
              <w:t>（</w:t>
            </w:r>
            <w:r w:rsidRPr="00E650A4">
              <w:rPr>
                <w:rFonts w:cs="Times New Roman"/>
                <w:snapToGrid w:val="0"/>
                <w:kern w:val="22"/>
              </w:rPr>
              <w:t>b</w:t>
            </w:r>
            <w:r w:rsidRPr="00E650A4">
              <w:rPr>
                <w:rFonts w:ascii="宋体" w:hAnsi="宋体" w:cs="宋体" w:hint="eastAsia"/>
                <w:snapToGrid w:val="0"/>
                <w:kern w:val="22"/>
              </w:rPr>
              <w:t>）条规定适当注意威胁或损害人类、动物或植物健康的当前或迫在眉睫的紧急情况的缔约方数目和百分比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(b)</w:t>
            </w:r>
          </w:p>
        </w:tc>
        <w:tc>
          <w:tcPr>
            <w:tcW w:w="1384" w:type="dxa"/>
            <w:vAlign w:val="center"/>
          </w:tcPr>
          <w:p w:rsidR="006531B4" w:rsidRPr="00E650A4" w:rsidRDefault="006531B4" w:rsidP="00B6332A">
            <w:pPr>
              <w:spacing w:before="120" w:after="120"/>
              <w:jc w:val="center"/>
              <w:rPr>
                <w:rFonts w:cs="Times New Roman"/>
                <w:snapToGrid w:val="0"/>
                <w:kern w:val="22"/>
              </w:rPr>
            </w:pPr>
            <w:r w:rsidRPr="00E650A4">
              <w:rPr>
                <w:rFonts w:cs="Times New Roman"/>
                <w:snapToGrid w:val="0"/>
                <w:kern w:val="22"/>
                <w:szCs w:val="22"/>
              </w:rPr>
              <w:t>39 (37%)</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35</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rPr>
              <w:t>按照第</w:t>
            </w:r>
            <w:r w:rsidRPr="00E650A4">
              <w:rPr>
                <w:rFonts w:cs="Times New Roman"/>
                <w:snapToGrid w:val="0"/>
                <w:kern w:val="22"/>
              </w:rPr>
              <w:t>8</w:t>
            </w:r>
            <w:r w:rsidRPr="00E650A4">
              <w:rPr>
                <w:rFonts w:ascii="宋体" w:hAnsi="宋体" w:cs="宋体" w:hint="eastAsia"/>
                <w:snapToGrid w:val="0"/>
                <w:kern w:val="22"/>
              </w:rPr>
              <w:t>（</w:t>
            </w:r>
            <w:r w:rsidRPr="00E650A4">
              <w:rPr>
                <w:rFonts w:cs="Times New Roman"/>
                <w:snapToGrid w:val="0"/>
                <w:kern w:val="22"/>
              </w:rPr>
              <w:t>b</w:t>
            </w:r>
            <w:r w:rsidRPr="00E650A4">
              <w:rPr>
                <w:rFonts w:ascii="宋体" w:hAnsi="宋体" w:cs="宋体" w:hint="eastAsia"/>
                <w:snapToGrid w:val="0"/>
                <w:kern w:val="22"/>
              </w:rPr>
              <w:t>）条规定考虑需要迅速获取遗传资源并迅速公正和公平分享利用此种遗传资源所产生的惠益的缔约方数目和百分比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(b)</w:t>
            </w:r>
          </w:p>
        </w:tc>
        <w:tc>
          <w:tcPr>
            <w:tcW w:w="1384" w:type="dxa"/>
            <w:vAlign w:val="center"/>
          </w:tcPr>
          <w:p w:rsidR="006531B4" w:rsidRPr="00E650A4" w:rsidRDefault="006531B4" w:rsidP="00B6332A">
            <w:pPr>
              <w:spacing w:before="120" w:after="120"/>
              <w:jc w:val="center"/>
              <w:rPr>
                <w:rFonts w:cs="Times New Roman"/>
                <w:snapToGrid w:val="0"/>
                <w:kern w:val="22"/>
              </w:rPr>
            </w:pPr>
            <w:r w:rsidRPr="00E650A4">
              <w:rPr>
                <w:rFonts w:cs="Times New Roman"/>
                <w:snapToGrid w:val="0"/>
                <w:kern w:val="22"/>
                <w:szCs w:val="22"/>
              </w:rPr>
              <w:t>26 (25%)</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35</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rPr>
              <w:t>按照第</w:t>
            </w:r>
            <w:r w:rsidRPr="00E650A4">
              <w:rPr>
                <w:rFonts w:cs="Times New Roman"/>
                <w:snapToGrid w:val="0"/>
                <w:kern w:val="22"/>
              </w:rPr>
              <w:t>8</w:t>
            </w:r>
            <w:r w:rsidRPr="00E650A4">
              <w:rPr>
                <w:rFonts w:ascii="宋体" w:hAnsi="宋体" w:cs="宋体" w:hint="eastAsia"/>
                <w:snapToGrid w:val="0"/>
                <w:kern w:val="22"/>
              </w:rPr>
              <w:t>（</w:t>
            </w:r>
            <w:r w:rsidRPr="00E650A4">
              <w:rPr>
                <w:rFonts w:cs="Times New Roman"/>
                <w:snapToGrid w:val="0"/>
                <w:kern w:val="22"/>
              </w:rPr>
              <w:t>c</w:t>
            </w:r>
            <w:r w:rsidRPr="00E650A4">
              <w:rPr>
                <w:rFonts w:ascii="宋体" w:hAnsi="宋体" w:cs="宋体" w:hint="eastAsia"/>
                <w:snapToGrid w:val="0"/>
                <w:kern w:val="22"/>
              </w:rPr>
              <w:t>）条规定考虑遗传资源对粮食和农业的重要性及其对粮食安全的特殊作用的缔约方数目和百分比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(b)</w:t>
            </w:r>
          </w:p>
        </w:tc>
        <w:tc>
          <w:tcPr>
            <w:tcW w:w="1384" w:type="dxa"/>
            <w:vAlign w:val="center"/>
          </w:tcPr>
          <w:p w:rsidR="006531B4" w:rsidRPr="00E650A4" w:rsidRDefault="006531B4" w:rsidP="00B6332A">
            <w:pPr>
              <w:spacing w:before="120" w:after="120"/>
              <w:jc w:val="center"/>
              <w:rPr>
                <w:rFonts w:cs="Times New Roman"/>
                <w:snapToGrid w:val="0"/>
                <w:kern w:val="22"/>
              </w:rPr>
            </w:pPr>
            <w:r w:rsidRPr="00E650A4">
              <w:rPr>
                <w:rFonts w:cs="Times New Roman"/>
                <w:snapToGrid w:val="0"/>
                <w:kern w:val="22"/>
                <w:szCs w:val="22"/>
              </w:rPr>
              <w:t>48 (46%)</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35</w:t>
            </w:r>
          </w:p>
        </w:tc>
      </w:tr>
      <w:tr w:rsidR="006531B4" w:rsidRPr="00E650A4" w:rsidTr="00DB68D5">
        <w:trPr>
          <w:jc w:val="center"/>
        </w:trPr>
        <w:tc>
          <w:tcPr>
            <w:tcW w:w="9480" w:type="dxa"/>
            <w:gridSpan w:val="4"/>
            <w:shd w:val="pct5" w:color="auto" w:fill="auto"/>
            <w:vAlign w:val="center"/>
          </w:tcPr>
          <w:p w:rsidR="006531B4" w:rsidRPr="00E650A4" w:rsidRDefault="006531B4" w:rsidP="00B6332A">
            <w:pPr>
              <w:spacing w:before="120" w:after="120"/>
              <w:ind w:left="314"/>
              <w:contextualSpacing/>
              <w:rPr>
                <w:rFonts w:cs="Times New Roman"/>
                <w:b/>
                <w:snapToGrid w:val="0"/>
                <w:kern w:val="22"/>
              </w:rPr>
            </w:pPr>
            <w:r w:rsidRPr="00E650A4">
              <w:rPr>
                <w:rFonts w:ascii="宋体" w:hAnsi="宋体" w:cs="宋体" w:hint="eastAsia"/>
                <w:b/>
                <w:snapToGrid w:val="0"/>
                <w:kern w:val="22"/>
                <w:szCs w:val="22"/>
              </w:rPr>
              <w:t>关于土著人民和地方社区的条款（第</w:t>
            </w:r>
            <w:r w:rsidRPr="00E650A4">
              <w:rPr>
                <w:rFonts w:cs="Times New Roman"/>
                <w:b/>
                <w:snapToGrid w:val="0"/>
                <w:kern w:val="22"/>
                <w:szCs w:val="22"/>
              </w:rPr>
              <w:t>6</w:t>
            </w:r>
            <w:r w:rsidRPr="00E650A4">
              <w:rPr>
                <w:rFonts w:ascii="宋体" w:hAnsi="宋体" w:cs="宋体" w:hint="eastAsia"/>
                <w:b/>
                <w:snapToGrid w:val="0"/>
                <w:kern w:val="22"/>
                <w:szCs w:val="22"/>
              </w:rPr>
              <w:t>、第</w:t>
            </w:r>
            <w:r w:rsidRPr="00E650A4">
              <w:rPr>
                <w:rFonts w:cs="Times New Roman"/>
                <w:b/>
                <w:snapToGrid w:val="0"/>
                <w:kern w:val="22"/>
                <w:szCs w:val="22"/>
              </w:rPr>
              <w:t>7</w:t>
            </w:r>
            <w:r w:rsidRPr="00E650A4">
              <w:rPr>
                <w:rFonts w:ascii="宋体" w:hAnsi="宋体" w:cs="宋体" w:hint="eastAsia"/>
                <w:b/>
                <w:snapToGrid w:val="0"/>
                <w:kern w:val="22"/>
                <w:szCs w:val="22"/>
              </w:rPr>
              <w:t>和第</w:t>
            </w:r>
            <w:r w:rsidRPr="00E650A4">
              <w:rPr>
                <w:rFonts w:cs="Times New Roman"/>
                <w:b/>
                <w:snapToGrid w:val="0"/>
                <w:kern w:val="22"/>
                <w:szCs w:val="22"/>
              </w:rPr>
              <w:t>12</w:t>
            </w:r>
            <w:r w:rsidRPr="00E650A4">
              <w:rPr>
                <w:rFonts w:ascii="宋体" w:hAnsi="宋体" w:cs="宋体" w:hint="eastAsia"/>
                <w:b/>
                <w:snapToGrid w:val="0"/>
                <w:kern w:val="22"/>
                <w:szCs w:val="22"/>
              </w:rPr>
              <w:t>条）</w:t>
            </w:r>
            <w:r w:rsidRPr="00E650A4">
              <w:rPr>
                <w:rFonts w:cs="Times New Roman"/>
                <w:b/>
                <w:snapToGrid w:val="0"/>
                <w:kern w:val="22"/>
                <w:szCs w:val="22"/>
              </w:rPr>
              <w:t xml:space="preserve"> </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rPr>
              <w:t>按照第</w:t>
            </w:r>
            <w:r w:rsidRPr="00E650A4">
              <w:rPr>
                <w:rFonts w:cs="Times New Roman"/>
                <w:snapToGrid w:val="0"/>
                <w:kern w:val="22"/>
              </w:rPr>
              <w:t>6.2</w:t>
            </w:r>
            <w:r w:rsidRPr="00E650A4">
              <w:rPr>
                <w:rFonts w:ascii="宋体" w:hAnsi="宋体" w:cs="宋体" w:hint="eastAsia"/>
                <w:snapToGrid w:val="0"/>
                <w:kern w:val="22"/>
              </w:rPr>
              <w:t>条规定在土著人民和地方社区对遗传资源拥有准予获取的既定权利的情况下采取措施确保土著人民和地方社区的事先知情同意或核准和参与的缔约方数目和百分比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(a)</w:t>
            </w:r>
          </w:p>
        </w:tc>
        <w:tc>
          <w:tcPr>
            <w:tcW w:w="1384" w:type="dxa"/>
            <w:vAlign w:val="center"/>
          </w:tcPr>
          <w:p w:rsidR="006531B4" w:rsidRPr="00E650A4" w:rsidRDefault="006531B4" w:rsidP="00B6332A">
            <w:pPr>
              <w:spacing w:before="120" w:after="120"/>
              <w:jc w:val="center"/>
              <w:rPr>
                <w:rFonts w:cs="Times New Roman"/>
                <w:snapToGrid w:val="0"/>
                <w:kern w:val="22"/>
              </w:rPr>
            </w:pPr>
            <w:r w:rsidRPr="00E650A4">
              <w:rPr>
                <w:rFonts w:cs="Times New Roman"/>
                <w:snapToGrid w:val="0"/>
                <w:kern w:val="22"/>
                <w:szCs w:val="22"/>
              </w:rPr>
              <w:t>23 (47%)</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38</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rPr>
              <w:t>国内有土著人民和地方社区并按照第</w:t>
            </w:r>
            <w:r w:rsidRPr="00E650A4">
              <w:rPr>
                <w:rFonts w:cs="Times New Roman"/>
                <w:snapToGrid w:val="0"/>
                <w:kern w:val="22"/>
              </w:rPr>
              <w:t>7</w:t>
            </w:r>
            <w:r w:rsidRPr="00E650A4">
              <w:rPr>
                <w:rFonts w:ascii="宋体" w:hAnsi="宋体" w:cs="宋体" w:hint="eastAsia"/>
                <w:snapToGrid w:val="0"/>
                <w:kern w:val="22"/>
              </w:rPr>
              <w:t>条规定采取措施确保获取由土著人民和地方社区持有的与遗传资源相关的传统知识得到了土著人民和地方社区的事先知情同意或核准和参与并订立了共同商定条件的缔约方数目和百分比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(a)</w:t>
            </w:r>
          </w:p>
        </w:tc>
        <w:tc>
          <w:tcPr>
            <w:tcW w:w="1384" w:type="dxa"/>
            <w:vAlign w:val="center"/>
          </w:tcPr>
          <w:p w:rsidR="006531B4" w:rsidRPr="00E650A4" w:rsidRDefault="006531B4" w:rsidP="00B6332A">
            <w:pPr>
              <w:spacing w:before="120" w:after="120"/>
              <w:jc w:val="center"/>
              <w:rPr>
                <w:rFonts w:cs="Times New Roman"/>
                <w:snapToGrid w:val="0"/>
                <w:kern w:val="22"/>
              </w:rPr>
            </w:pPr>
            <w:r w:rsidRPr="00E650A4">
              <w:rPr>
                <w:rFonts w:cs="Times New Roman"/>
                <w:snapToGrid w:val="0"/>
                <w:kern w:val="22"/>
                <w:szCs w:val="22"/>
              </w:rPr>
              <w:t>21 (43%)</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39</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431412">
              <w:rPr>
                <w:rFonts w:eastAsia="KaiTi" w:cs="Times New Roman" w:hint="eastAsia"/>
                <w:snapToGrid w:val="0"/>
                <w:kern w:val="22"/>
              </w:rPr>
              <w:t>新</w:t>
            </w:r>
            <w:r w:rsidRPr="00E650A4">
              <w:rPr>
                <w:rFonts w:ascii="宋体" w:hAnsi="宋体" w:cs="宋体" w:hint="eastAsia"/>
                <w:snapToGrid w:val="0"/>
                <w:kern w:val="22"/>
              </w:rPr>
              <w:t>：制定土著人民和地方社区社区规约和程序数目</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(f)</w:t>
            </w:r>
          </w:p>
        </w:tc>
        <w:tc>
          <w:tcPr>
            <w:tcW w:w="1384" w:type="dxa"/>
            <w:vAlign w:val="center"/>
          </w:tcPr>
          <w:p w:rsidR="006531B4" w:rsidRPr="00E650A4" w:rsidRDefault="006531B4" w:rsidP="00B6332A">
            <w:pPr>
              <w:spacing w:before="120" w:after="120"/>
              <w:jc w:val="center"/>
              <w:rPr>
                <w:rFonts w:cs="Times New Roman"/>
                <w:snapToGrid w:val="0"/>
                <w:kern w:val="22"/>
              </w:rPr>
            </w:pPr>
            <w:r w:rsidRPr="00E650A4">
              <w:rPr>
                <w:rFonts w:ascii="宋体" w:hAnsi="宋体" w:cs="宋体" w:hint="eastAsia"/>
                <w:snapToGrid w:val="0"/>
                <w:kern w:val="22"/>
                <w:szCs w:val="22"/>
              </w:rPr>
              <w:t>无确凿数据</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 xml:space="preserve">42 </w:t>
            </w:r>
          </w:p>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需订正</w:t>
            </w:r>
          </w:p>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针对性调查</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rPr>
              <w:t>在</w:t>
            </w:r>
            <w:r>
              <w:rPr>
                <w:rFonts w:ascii="宋体" w:hAnsi="宋体" w:cs="宋体" w:hint="eastAsia"/>
                <w:snapToGrid w:val="0"/>
                <w:kern w:val="22"/>
              </w:rPr>
              <w:t>获取和惠益分享</w:t>
            </w:r>
            <w:r w:rsidRPr="00E650A4">
              <w:rPr>
                <w:rFonts w:ascii="宋体" w:hAnsi="宋体" w:cs="宋体" w:hint="eastAsia"/>
                <w:snapToGrid w:val="0"/>
                <w:kern w:val="22"/>
              </w:rPr>
              <w:t>信息交换所发布的土著人民和地方社区习惯法、社区规约和程序数目</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(f)(g)</w:t>
            </w:r>
          </w:p>
        </w:tc>
        <w:tc>
          <w:tcPr>
            <w:tcW w:w="1384" w:type="dxa"/>
            <w:vAlign w:val="center"/>
          </w:tcPr>
          <w:p w:rsidR="006531B4" w:rsidRPr="00E650A4" w:rsidRDefault="006531B4" w:rsidP="00B6332A">
            <w:pPr>
              <w:spacing w:before="120" w:after="120"/>
              <w:jc w:val="center"/>
              <w:rPr>
                <w:rFonts w:cs="Times New Roman"/>
                <w:snapToGrid w:val="0"/>
                <w:kern w:val="22"/>
              </w:rPr>
            </w:pPr>
            <w:r w:rsidRPr="00E650A4">
              <w:rPr>
                <w:rFonts w:cs="Times New Roman"/>
                <w:snapToGrid w:val="0"/>
                <w:kern w:val="22"/>
                <w:szCs w:val="22"/>
              </w:rPr>
              <w:t>3</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信息交换所</w:t>
            </w:r>
          </w:p>
        </w:tc>
      </w:tr>
      <w:tr w:rsidR="006531B4" w:rsidRPr="00E650A4" w:rsidTr="00DB68D5">
        <w:trPr>
          <w:jc w:val="center"/>
        </w:trPr>
        <w:tc>
          <w:tcPr>
            <w:tcW w:w="9480" w:type="dxa"/>
            <w:gridSpan w:val="4"/>
            <w:shd w:val="pct5" w:color="auto" w:fill="auto"/>
            <w:vAlign w:val="center"/>
          </w:tcPr>
          <w:p w:rsidR="006531B4" w:rsidRPr="00E650A4" w:rsidRDefault="006531B4" w:rsidP="00B6332A">
            <w:pPr>
              <w:spacing w:before="120" w:after="120"/>
              <w:ind w:left="314"/>
              <w:contextualSpacing/>
              <w:rPr>
                <w:rFonts w:cs="Times New Roman"/>
                <w:b/>
                <w:snapToGrid w:val="0"/>
                <w:kern w:val="22"/>
              </w:rPr>
            </w:pPr>
            <w:r w:rsidRPr="00E650A4">
              <w:rPr>
                <w:rFonts w:ascii="宋体" w:hAnsi="宋体" w:cs="宋体" w:hint="eastAsia"/>
                <w:b/>
                <w:snapToGrid w:val="0"/>
                <w:kern w:val="22"/>
                <w:szCs w:val="22"/>
              </w:rPr>
              <w:t>为保护和可持续利用做出贡献（第</w:t>
            </w:r>
            <w:r w:rsidRPr="00E650A4">
              <w:rPr>
                <w:rFonts w:cs="Times New Roman"/>
                <w:b/>
                <w:snapToGrid w:val="0"/>
                <w:kern w:val="22"/>
                <w:szCs w:val="22"/>
              </w:rPr>
              <w:t>9</w:t>
            </w:r>
            <w:r w:rsidRPr="00E650A4">
              <w:rPr>
                <w:rFonts w:ascii="宋体" w:hAnsi="宋体" w:cs="宋体" w:hint="eastAsia"/>
                <w:b/>
                <w:snapToGrid w:val="0"/>
                <w:kern w:val="22"/>
                <w:szCs w:val="22"/>
              </w:rPr>
              <w:t>条）</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431412">
              <w:rPr>
                <w:rFonts w:eastAsia="KaiTi" w:cs="Times New Roman" w:hint="eastAsia"/>
                <w:snapToGrid w:val="0"/>
                <w:kern w:val="22"/>
              </w:rPr>
              <w:t>订正</w:t>
            </w:r>
            <w:r w:rsidRPr="00E650A4">
              <w:rPr>
                <w:rFonts w:ascii="宋体" w:hAnsi="宋体" w:cs="宋体" w:hint="eastAsia"/>
                <w:snapToGrid w:val="0"/>
                <w:kern w:val="22"/>
              </w:rPr>
              <w:t>：报告称执行《名古屋议定书》促进了本国保护和可持续利用生物多样性的缔约方数目和百分比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(b)</w:t>
            </w:r>
          </w:p>
        </w:tc>
        <w:tc>
          <w:tcPr>
            <w:tcW w:w="1384" w:type="dxa"/>
            <w:vAlign w:val="center"/>
          </w:tcPr>
          <w:p w:rsidR="006531B4" w:rsidRPr="00E650A4" w:rsidRDefault="006531B4" w:rsidP="00B6332A">
            <w:pPr>
              <w:spacing w:before="120" w:after="120"/>
              <w:jc w:val="center"/>
              <w:rPr>
                <w:rFonts w:cs="Times New Roman"/>
                <w:snapToGrid w:val="0"/>
                <w:kern w:val="22"/>
              </w:rPr>
            </w:pPr>
            <w:r w:rsidRPr="00E650A4">
              <w:rPr>
                <w:rFonts w:ascii="宋体" w:hAnsi="宋体" w:cs="宋体" w:hint="eastAsia"/>
                <w:snapToGrid w:val="0"/>
                <w:kern w:val="22"/>
                <w:szCs w:val="22"/>
              </w:rPr>
              <w:t>无确凿数据</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 xml:space="preserve">46 </w:t>
            </w:r>
          </w:p>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需订正</w:t>
            </w:r>
            <w:r w:rsidRPr="00E650A4">
              <w:rPr>
                <w:rFonts w:cs="Times New Roman"/>
                <w:snapToGrid w:val="0"/>
                <w:kern w:val="22"/>
                <w:szCs w:val="22"/>
              </w:rPr>
              <w:t xml:space="preserve"> </w:t>
            </w:r>
          </w:p>
        </w:tc>
      </w:tr>
      <w:tr w:rsidR="006531B4" w:rsidRPr="00E650A4" w:rsidTr="00DB68D5">
        <w:trPr>
          <w:jc w:val="center"/>
        </w:trPr>
        <w:tc>
          <w:tcPr>
            <w:tcW w:w="9480" w:type="dxa"/>
            <w:gridSpan w:val="4"/>
            <w:shd w:val="pct5" w:color="auto" w:fill="auto"/>
            <w:vAlign w:val="center"/>
          </w:tcPr>
          <w:p w:rsidR="006531B4" w:rsidRPr="00E650A4" w:rsidRDefault="006531B4" w:rsidP="00B6332A">
            <w:pPr>
              <w:spacing w:before="120" w:after="120"/>
              <w:ind w:left="314"/>
              <w:contextualSpacing/>
              <w:rPr>
                <w:rFonts w:cs="Times New Roman"/>
                <w:b/>
                <w:snapToGrid w:val="0"/>
                <w:kern w:val="22"/>
              </w:rPr>
            </w:pPr>
            <w:r w:rsidRPr="00E650A4">
              <w:rPr>
                <w:rFonts w:ascii="宋体" w:hAnsi="宋体" w:cs="宋体" w:hint="eastAsia"/>
                <w:snapToGrid w:val="0"/>
                <w:kern w:val="22"/>
              </w:rPr>
              <w:t>示范合同条款、行为守则、准则、最佳做法和标准（第</w:t>
            </w:r>
            <w:r w:rsidRPr="00E650A4">
              <w:rPr>
                <w:rFonts w:cs="Times New Roman"/>
                <w:snapToGrid w:val="0"/>
                <w:kern w:val="22"/>
              </w:rPr>
              <w:t>19</w:t>
            </w:r>
            <w:r w:rsidRPr="00E650A4">
              <w:rPr>
                <w:rFonts w:ascii="宋体" w:hAnsi="宋体" w:cs="宋体" w:hint="eastAsia"/>
                <w:snapToGrid w:val="0"/>
                <w:kern w:val="22"/>
              </w:rPr>
              <w:t>和第</w:t>
            </w:r>
            <w:r w:rsidRPr="00E650A4">
              <w:rPr>
                <w:rFonts w:cs="Times New Roman"/>
                <w:snapToGrid w:val="0"/>
                <w:kern w:val="22"/>
              </w:rPr>
              <w:t>20</w:t>
            </w:r>
            <w:r w:rsidRPr="00E650A4">
              <w:rPr>
                <w:rFonts w:ascii="宋体" w:hAnsi="宋体" w:cs="宋体" w:hint="eastAsia"/>
                <w:snapToGrid w:val="0"/>
                <w:kern w:val="22"/>
              </w:rPr>
              <w:t>条）</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rPr>
              <w:t>制定的示范合同条款数目</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(f)</w:t>
            </w:r>
          </w:p>
        </w:tc>
        <w:tc>
          <w:tcPr>
            <w:tcW w:w="1384" w:type="dxa"/>
            <w:vAlign w:val="center"/>
          </w:tcPr>
          <w:p w:rsidR="006531B4" w:rsidRPr="00E650A4" w:rsidRDefault="006531B4" w:rsidP="00B6332A">
            <w:pPr>
              <w:spacing w:before="120" w:after="120"/>
              <w:jc w:val="center"/>
              <w:rPr>
                <w:rFonts w:cs="Times New Roman"/>
                <w:snapToGrid w:val="0"/>
                <w:kern w:val="22"/>
              </w:rPr>
            </w:pPr>
            <w:r w:rsidRPr="00E650A4">
              <w:rPr>
                <w:rFonts w:cs="Times New Roman"/>
                <w:snapToGrid w:val="0"/>
                <w:kern w:val="22"/>
                <w:szCs w:val="22"/>
              </w:rPr>
              <w:t>29</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51</w:t>
            </w:r>
          </w:p>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针对性调查</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rPr>
              <w:t>制定的行为守则、准则、最佳做法和标准数目</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(f)</w:t>
            </w:r>
          </w:p>
        </w:tc>
        <w:tc>
          <w:tcPr>
            <w:tcW w:w="1384" w:type="dxa"/>
            <w:vAlign w:val="center"/>
          </w:tcPr>
          <w:p w:rsidR="006531B4" w:rsidRPr="00E650A4" w:rsidRDefault="006531B4" w:rsidP="00B6332A">
            <w:pPr>
              <w:spacing w:before="120" w:after="120"/>
              <w:jc w:val="center"/>
              <w:rPr>
                <w:rFonts w:cs="Times New Roman"/>
                <w:snapToGrid w:val="0"/>
                <w:kern w:val="22"/>
              </w:rPr>
            </w:pPr>
            <w:r w:rsidRPr="00E650A4">
              <w:rPr>
                <w:rFonts w:cs="Times New Roman"/>
                <w:snapToGrid w:val="0"/>
                <w:kern w:val="22"/>
                <w:szCs w:val="22"/>
              </w:rPr>
              <w:t>33</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 xml:space="preserve">52 </w:t>
            </w:r>
          </w:p>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针对性调查</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rPr>
              <w:t>在</w:t>
            </w:r>
            <w:r>
              <w:rPr>
                <w:rFonts w:ascii="宋体" w:hAnsi="宋体" w:cs="宋体" w:hint="eastAsia"/>
                <w:snapToGrid w:val="0"/>
                <w:kern w:val="22"/>
              </w:rPr>
              <w:t>获取和惠益分享</w:t>
            </w:r>
            <w:r w:rsidRPr="00E650A4">
              <w:rPr>
                <w:rFonts w:ascii="宋体" w:hAnsi="宋体" w:cs="宋体" w:hint="eastAsia"/>
                <w:snapToGrid w:val="0"/>
                <w:kern w:val="22"/>
              </w:rPr>
              <w:t>信息交换所发布的示范合同条款数目和百分比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(f) (g)</w:t>
            </w:r>
          </w:p>
        </w:tc>
        <w:tc>
          <w:tcPr>
            <w:tcW w:w="1384" w:type="dxa"/>
            <w:vAlign w:val="center"/>
          </w:tcPr>
          <w:p w:rsidR="006531B4" w:rsidRPr="00E650A4" w:rsidRDefault="006531B4" w:rsidP="00B6332A">
            <w:pPr>
              <w:spacing w:before="120" w:after="120"/>
              <w:jc w:val="center"/>
              <w:rPr>
                <w:rFonts w:cs="Times New Roman"/>
                <w:snapToGrid w:val="0"/>
                <w:kern w:val="22"/>
              </w:rPr>
            </w:pPr>
            <w:r w:rsidRPr="00E650A4">
              <w:rPr>
                <w:rFonts w:cs="Times New Roman"/>
                <w:snapToGrid w:val="0"/>
                <w:kern w:val="22"/>
                <w:szCs w:val="22"/>
              </w:rPr>
              <w:t>17 (59%)</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信息交换所</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rPr>
              <w:t>在</w:t>
            </w:r>
            <w:r>
              <w:rPr>
                <w:rFonts w:ascii="宋体" w:hAnsi="宋体" w:cs="宋体" w:hint="eastAsia"/>
                <w:snapToGrid w:val="0"/>
                <w:kern w:val="22"/>
              </w:rPr>
              <w:t>获取和惠益分享</w:t>
            </w:r>
            <w:r w:rsidRPr="00E650A4">
              <w:rPr>
                <w:rFonts w:ascii="宋体" w:hAnsi="宋体" w:cs="宋体" w:hint="eastAsia"/>
                <w:snapToGrid w:val="0"/>
                <w:kern w:val="22"/>
              </w:rPr>
              <w:t>信息交换所发布的行为守则、准则、最佳做法和标准数目和百分比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(f) (g)</w:t>
            </w:r>
          </w:p>
        </w:tc>
        <w:tc>
          <w:tcPr>
            <w:tcW w:w="1384" w:type="dxa"/>
            <w:vAlign w:val="center"/>
          </w:tcPr>
          <w:p w:rsidR="006531B4" w:rsidRPr="00E650A4" w:rsidRDefault="006531B4" w:rsidP="00B6332A">
            <w:pPr>
              <w:spacing w:before="120" w:after="120"/>
              <w:jc w:val="center"/>
              <w:rPr>
                <w:rFonts w:cs="Times New Roman"/>
                <w:snapToGrid w:val="0"/>
                <w:kern w:val="22"/>
              </w:rPr>
            </w:pPr>
            <w:r w:rsidRPr="00E650A4">
              <w:rPr>
                <w:rFonts w:cs="Times New Roman"/>
                <w:snapToGrid w:val="0"/>
                <w:kern w:val="22"/>
                <w:szCs w:val="22"/>
              </w:rPr>
              <w:t>25 (75%)</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信息交换所</w:t>
            </w:r>
          </w:p>
        </w:tc>
      </w:tr>
      <w:tr w:rsidR="006531B4" w:rsidRPr="00E650A4" w:rsidTr="00DB68D5">
        <w:trPr>
          <w:jc w:val="center"/>
        </w:trPr>
        <w:tc>
          <w:tcPr>
            <w:tcW w:w="9480" w:type="dxa"/>
            <w:gridSpan w:val="4"/>
            <w:shd w:val="pct5" w:color="auto" w:fill="auto"/>
            <w:vAlign w:val="center"/>
          </w:tcPr>
          <w:p w:rsidR="006531B4" w:rsidRPr="00E650A4" w:rsidRDefault="006531B4" w:rsidP="00B6332A">
            <w:pPr>
              <w:spacing w:before="120" w:after="120"/>
              <w:ind w:left="314"/>
              <w:contextualSpacing/>
              <w:rPr>
                <w:rFonts w:cs="Times New Roman"/>
                <w:b/>
                <w:snapToGrid w:val="0"/>
                <w:kern w:val="22"/>
              </w:rPr>
            </w:pPr>
            <w:r w:rsidRPr="00E650A4">
              <w:rPr>
                <w:rFonts w:ascii="宋体" w:hAnsi="宋体" w:cs="宋体" w:hint="eastAsia"/>
                <w:b/>
                <w:snapToGrid w:val="0"/>
                <w:kern w:val="22"/>
                <w:szCs w:val="22"/>
              </w:rPr>
              <w:t>提高认识和能力（第</w:t>
            </w:r>
            <w:r w:rsidRPr="00E650A4">
              <w:rPr>
                <w:rFonts w:cs="Times New Roman"/>
                <w:b/>
                <w:snapToGrid w:val="0"/>
                <w:kern w:val="22"/>
                <w:szCs w:val="22"/>
              </w:rPr>
              <w:t>21</w:t>
            </w:r>
            <w:r w:rsidRPr="00E650A4">
              <w:rPr>
                <w:rFonts w:ascii="宋体" w:hAnsi="宋体" w:cs="宋体" w:hint="eastAsia"/>
                <w:b/>
                <w:snapToGrid w:val="0"/>
                <w:kern w:val="22"/>
                <w:szCs w:val="22"/>
              </w:rPr>
              <w:t>和第</w:t>
            </w:r>
            <w:r w:rsidRPr="00E650A4">
              <w:rPr>
                <w:rFonts w:cs="Times New Roman"/>
                <w:b/>
                <w:snapToGrid w:val="0"/>
                <w:kern w:val="22"/>
                <w:szCs w:val="22"/>
              </w:rPr>
              <w:t>22</w:t>
            </w:r>
            <w:r w:rsidRPr="00E650A4">
              <w:rPr>
                <w:rFonts w:ascii="宋体" w:hAnsi="宋体" w:cs="宋体" w:hint="eastAsia"/>
                <w:b/>
                <w:snapToGrid w:val="0"/>
                <w:kern w:val="22"/>
                <w:szCs w:val="22"/>
              </w:rPr>
              <w:t>条）</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rPr>
              <w:t>《名古屋议定书》生效以来获得外援以建设和发展执行《议定书》能力的缔约方数目和百分比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(c)</w:t>
            </w:r>
          </w:p>
        </w:tc>
        <w:tc>
          <w:tcPr>
            <w:tcW w:w="1384" w:type="dxa"/>
            <w:vAlign w:val="center"/>
          </w:tcPr>
          <w:p w:rsidR="006531B4" w:rsidRPr="00E650A4" w:rsidRDefault="006531B4" w:rsidP="00B6332A">
            <w:pPr>
              <w:spacing w:before="120" w:after="120"/>
              <w:jc w:val="center"/>
              <w:rPr>
                <w:rFonts w:cs="Times New Roman"/>
                <w:snapToGrid w:val="0"/>
                <w:kern w:val="22"/>
              </w:rPr>
            </w:pPr>
            <w:r w:rsidRPr="00E650A4">
              <w:rPr>
                <w:rFonts w:cs="Times New Roman"/>
                <w:snapToGrid w:val="0"/>
                <w:kern w:val="22"/>
                <w:szCs w:val="22"/>
              </w:rPr>
              <w:t>45 (43%)</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56</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rPr>
              <w:t>《名古屋议定书》生效以来提供外援以建立和发展执行《议定书》能力的缔约方数目和百分比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(c)</w:t>
            </w:r>
          </w:p>
        </w:tc>
        <w:tc>
          <w:tcPr>
            <w:tcW w:w="1384" w:type="dxa"/>
            <w:vAlign w:val="center"/>
          </w:tcPr>
          <w:p w:rsidR="006531B4" w:rsidRPr="00E650A4" w:rsidRDefault="006531B4" w:rsidP="00B6332A">
            <w:pPr>
              <w:spacing w:before="120" w:after="120"/>
              <w:jc w:val="center"/>
              <w:rPr>
                <w:rFonts w:cs="Times New Roman"/>
                <w:snapToGrid w:val="0"/>
                <w:kern w:val="22"/>
              </w:rPr>
            </w:pPr>
            <w:r w:rsidRPr="00E650A4">
              <w:rPr>
                <w:rFonts w:cs="Times New Roman"/>
                <w:snapToGrid w:val="0"/>
                <w:kern w:val="22"/>
                <w:szCs w:val="22"/>
              </w:rPr>
              <w:t>27 (26%)</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57</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cs="Times New Roman"/>
                <w:snapToGrid w:val="0"/>
                <w:kern w:val="22"/>
              </w:rPr>
              <w:t>2010</w:t>
            </w:r>
            <w:r w:rsidRPr="00E650A4">
              <w:rPr>
                <w:rFonts w:ascii="宋体" w:hAnsi="宋体" w:cs="宋体" w:hint="eastAsia"/>
                <w:snapToGrid w:val="0"/>
                <w:kern w:val="22"/>
              </w:rPr>
              <w:t>年《名古屋议定书》通过后完成或启动的、对有助于批准和执行《名古屋议定书》的国家层面活动正在和已经提供直接支持的能力建设和能力发展举措数目</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(c)</w:t>
            </w:r>
          </w:p>
        </w:tc>
        <w:tc>
          <w:tcPr>
            <w:tcW w:w="1384" w:type="dxa"/>
            <w:vAlign w:val="center"/>
          </w:tcPr>
          <w:p w:rsidR="006531B4" w:rsidRPr="00E650A4" w:rsidRDefault="006531B4" w:rsidP="00B6332A">
            <w:pPr>
              <w:spacing w:before="120" w:after="120"/>
              <w:jc w:val="center"/>
              <w:rPr>
                <w:rFonts w:cs="Times New Roman"/>
                <w:snapToGrid w:val="0"/>
                <w:kern w:val="22"/>
              </w:rPr>
            </w:pPr>
            <w:r w:rsidRPr="00E650A4">
              <w:rPr>
                <w:rFonts w:cs="Times New Roman"/>
                <w:snapToGrid w:val="0"/>
                <w:kern w:val="22"/>
                <w:szCs w:val="22"/>
              </w:rPr>
              <w:t>90</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公约秘书处能力建设文件</w:t>
            </w:r>
            <w:r w:rsidRPr="00E650A4">
              <w:rPr>
                <w:rFonts w:cs="Times New Roman"/>
                <w:snapToGrid w:val="0"/>
                <w:kern w:val="22"/>
                <w:szCs w:val="22"/>
              </w:rPr>
              <w:t xml:space="preserve"> </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rPr>
              <w:t>在</w:t>
            </w:r>
            <w:r>
              <w:rPr>
                <w:rFonts w:ascii="宋体" w:hAnsi="宋体" w:cs="宋体" w:hint="eastAsia"/>
                <w:snapToGrid w:val="0"/>
                <w:kern w:val="22"/>
              </w:rPr>
              <w:t>获取和惠益分享</w:t>
            </w:r>
            <w:r w:rsidRPr="00E650A4">
              <w:rPr>
                <w:rFonts w:ascii="宋体" w:hAnsi="宋体" w:cs="宋体" w:hint="eastAsia"/>
                <w:snapToGrid w:val="0"/>
                <w:kern w:val="22"/>
              </w:rPr>
              <w:t>信息交换所发布的能力建设和能力发展举措数目</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(c)(g)</w:t>
            </w:r>
          </w:p>
        </w:tc>
        <w:tc>
          <w:tcPr>
            <w:tcW w:w="138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57</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信息交换所</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rPr>
              <w:t>获取和惠益分享能力建设和提高认识工具和</w:t>
            </w:r>
            <w:r>
              <w:rPr>
                <w:rFonts w:ascii="宋体" w:hAnsi="宋体" w:cs="宋体" w:hint="eastAsia"/>
                <w:snapToGrid w:val="0"/>
                <w:kern w:val="22"/>
              </w:rPr>
              <w:t>资源</w:t>
            </w:r>
            <w:r w:rsidRPr="00E650A4">
              <w:rPr>
                <w:rFonts w:ascii="宋体" w:hAnsi="宋体" w:cs="宋体" w:hint="eastAsia"/>
                <w:snapToGrid w:val="0"/>
                <w:kern w:val="22"/>
              </w:rPr>
              <w:t>数目</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(c)</w:t>
            </w:r>
          </w:p>
        </w:tc>
        <w:tc>
          <w:tcPr>
            <w:tcW w:w="138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84</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公约秘书处能力建设文件</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szCs w:val="22"/>
              </w:rPr>
              <w:t>在</w:t>
            </w:r>
            <w:r>
              <w:rPr>
                <w:rFonts w:ascii="宋体" w:hAnsi="宋体" w:cs="宋体" w:hint="eastAsia"/>
                <w:snapToGrid w:val="0"/>
                <w:kern w:val="22"/>
                <w:szCs w:val="22"/>
              </w:rPr>
              <w:t>获取和惠益分享</w:t>
            </w:r>
            <w:r w:rsidRPr="00E650A4">
              <w:rPr>
                <w:rFonts w:ascii="宋体" w:hAnsi="宋体" w:cs="宋体" w:hint="eastAsia"/>
                <w:snapToGrid w:val="0"/>
                <w:kern w:val="22"/>
                <w:szCs w:val="22"/>
              </w:rPr>
              <w:t>信息交换所发布的能力建设和提高认识工具和</w:t>
            </w:r>
            <w:r>
              <w:rPr>
                <w:rFonts w:ascii="宋体" w:hAnsi="宋体" w:cs="宋体" w:hint="eastAsia"/>
                <w:snapToGrid w:val="0"/>
                <w:kern w:val="22"/>
                <w:szCs w:val="22"/>
              </w:rPr>
              <w:t>资源</w:t>
            </w:r>
            <w:r w:rsidRPr="00E650A4">
              <w:rPr>
                <w:rFonts w:ascii="宋体" w:hAnsi="宋体" w:cs="宋体" w:hint="eastAsia"/>
                <w:snapToGrid w:val="0"/>
                <w:kern w:val="22"/>
                <w:szCs w:val="22"/>
              </w:rPr>
              <w:t>数目</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(c)(g)</w:t>
            </w:r>
          </w:p>
        </w:tc>
        <w:tc>
          <w:tcPr>
            <w:tcW w:w="138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34</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信息交换所</w:t>
            </w:r>
          </w:p>
        </w:tc>
      </w:tr>
      <w:tr w:rsidR="006531B4" w:rsidRPr="00E650A4" w:rsidTr="00DB68D5">
        <w:trPr>
          <w:jc w:val="center"/>
        </w:trPr>
        <w:tc>
          <w:tcPr>
            <w:tcW w:w="9480" w:type="dxa"/>
            <w:gridSpan w:val="4"/>
            <w:shd w:val="pct5" w:color="auto" w:fill="auto"/>
            <w:vAlign w:val="center"/>
          </w:tcPr>
          <w:p w:rsidR="006531B4" w:rsidRPr="00E650A4" w:rsidRDefault="006531B4" w:rsidP="00DB68D5">
            <w:pPr>
              <w:spacing w:before="120" w:after="120"/>
              <w:ind w:left="314"/>
              <w:contextualSpacing/>
              <w:rPr>
                <w:rFonts w:cs="Times New Roman"/>
                <w:b/>
                <w:snapToGrid w:val="0"/>
                <w:kern w:val="22"/>
              </w:rPr>
            </w:pPr>
            <w:r w:rsidRPr="00E650A4">
              <w:rPr>
                <w:rFonts w:ascii="宋体" w:hAnsi="宋体" w:cs="宋体" w:hint="eastAsia"/>
                <w:b/>
                <w:snapToGrid w:val="0"/>
                <w:kern w:val="22"/>
                <w:szCs w:val="22"/>
              </w:rPr>
              <w:t>技术转让、合作与配合</w:t>
            </w:r>
          </w:p>
        </w:tc>
      </w:tr>
      <w:tr w:rsidR="006531B4" w:rsidRPr="00E650A4" w:rsidTr="00DB68D5">
        <w:trPr>
          <w:jc w:val="center"/>
        </w:trPr>
        <w:tc>
          <w:tcPr>
            <w:tcW w:w="5549" w:type="dxa"/>
          </w:tcPr>
          <w:p w:rsidR="006531B4" w:rsidRPr="00E650A4" w:rsidRDefault="006531B4" w:rsidP="00B6332A">
            <w:pPr>
              <w:numPr>
                <w:ilvl w:val="0"/>
                <w:numId w:val="34"/>
              </w:numPr>
              <w:spacing w:before="120" w:after="120"/>
              <w:ind w:left="314"/>
              <w:contextualSpacing/>
              <w:rPr>
                <w:rFonts w:cs="Times New Roman"/>
                <w:snapToGrid w:val="0"/>
                <w:kern w:val="22"/>
              </w:rPr>
            </w:pPr>
            <w:r w:rsidRPr="00E650A4">
              <w:rPr>
                <w:rFonts w:ascii="宋体" w:hAnsi="宋体" w:cs="宋体" w:hint="eastAsia"/>
                <w:snapToGrid w:val="0"/>
                <w:kern w:val="22"/>
                <w:szCs w:val="22"/>
              </w:rPr>
              <w:t>在技术和科学研究与发展方案中相互合作与配合，作为实现第</w:t>
            </w:r>
            <w:r w:rsidRPr="00E650A4">
              <w:rPr>
                <w:rFonts w:cs="Times New Roman"/>
                <w:snapToGrid w:val="0"/>
                <w:kern w:val="22"/>
                <w:szCs w:val="22"/>
              </w:rPr>
              <w:t>23</w:t>
            </w:r>
            <w:r w:rsidRPr="00E650A4">
              <w:rPr>
                <w:rFonts w:ascii="宋体" w:hAnsi="宋体" w:cs="宋体" w:hint="eastAsia"/>
                <w:snapToGrid w:val="0"/>
                <w:kern w:val="22"/>
                <w:szCs w:val="22"/>
              </w:rPr>
              <w:t>条规定的《议定书》目标的手段的缔约方数目和百分比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(a)</w:t>
            </w:r>
          </w:p>
        </w:tc>
        <w:tc>
          <w:tcPr>
            <w:tcW w:w="138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46</w:t>
            </w:r>
            <w:r w:rsidRPr="00E650A4">
              <w:rPr>
                <w:rFonts w:ascii="宋体" w:hAnsi="宋体" w:cs="宋体" w:hint="eastAsia"/>
                <w:snapToGrid w:val="0"/>
                <w:kern w:val="22"/>
                <w:szCs w:val="22"/>
              </w:rPr>
              <w:t>（</w:t>
            </w:r>
            <w:r w:rsidRPr="00E650A4">
              <w:rPr>
                <w:rFonts w:cs="Times New Roman"/>
                <w:snapToGrid w:val="0"/>
                <w:kern w:val="22"/>
                <w:szCs w:val="22"/>
              </w:rPr>
              <w:t>44%</w:t>
            </w:r>
            <w:r w:rsidRPr="00E650A4">
              <w:rPr>
                <w:rFonts w:ascii="宋体" w:hAnsi="宋体" w:cs="宋体" w:hint="eastAsia"/>
                <w:snapToGrid w:val="0"/>
                <w:kern w:val="22"/>
                <w:szCs w:val="22"/>
              </w:rPr>
              <w:t>）</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59</w:t>
            </w:r>
          </w:p>
        </w:tc>
      </w:tr>
      <w:tr w:rsidR="006531B4" w:rsidRPr="00E650A4" w:rsidTr="00DB68D5">
        <w:trPr>
          <w:jc w:val="center"/>
        </w:trPr>
        <w:tc>
          <w:tcPr>
            <w:tcW w:w="9480" w:type="dxa"/>
            <w:gridSpan w:val="4"/>
            <w:shd w:val="pct5" w:color="auto" w:fill="auto"/>
            <w:vAlign w:val="center"/>
          </w:tcPr>
          <w:p w:rsidR="006531B4" w:rsidRPr="00E650A4" w:rsidRDefault="006531B4" w:rsidP="00DB68D5">
            <w:pPr>
              <w:spacing w:before="120" w:after="120"/>
              <w:ind w:left="314"/>
              <w:contextualSpacing/>
              <w:rPr>
                <w:rFonts w:cs="Times New Roman"/>
                <w:b/>
                <w:snapToGrid w:val="0"/>
                <w:kern w:val="22"/>
              </w:rPr>
            </w:pPr>
            <w:r w:rsidRPr="00E650A4">
              <w:rPr>
                <w:rFonts w:ascii="宋体" w:hAnsi="宋体" w:cs="宋体" w:hint="eastAsia"/>
                <w:b/>
                <w:snapToGrid w:val="0"/>
                <w:kern w:val="22"/>
                <w:szCs w:val="22"/>
              </w:rPr>
              <w:t>任择补充信息</w:t>
            </w:r>
          </w:p>
        </w:tc>
      </w:tr>
      <w:tr w:rsidR="006531B4" w:rsidRPr="00E650A4" w:rsidTr="00DB68D5">
        <w:trPr>
          <w:jc w:val="center"/>
        </w:trPr>
        <w:tc>
          <w:tcPr>
            <w:tcW w:w="5549" w:type="dxa"/>
          </w:tcPr>
          <w:p w:rsidR="006531B4" w:rsidRPr="00E650A4" w:rsidRDefault="006531B4" w:rsidP="00B6332A">
            <w:pPr>
              <w:spacing w:before="120" w:after="120"/>
              <w:ind w:left="346" w:hanging="346"/>
              <w:rPr>
                <w:rFonts w:cs="Times New Roman"/>
                <w:snapToGrid w:val="0"/>
                <w:kern w:val="22"/>
              </w:rPr>
            </w:pPr>
            <w:r w:rsidRPr="00E650A4">
              <w:rPr>
                <w:rFonts w:cs="Times New Roman"/>
                <w:snapToGrid w:val="0"/>
                <w:kern w:val="22"/>
                <w:szCs w:val="22"/>
              </w:rPr>
              <w:t xml:space="preserve">55. </w:t>
            </w:r>
            <w:r w:rsidRPr="00E650A4">
              <w:rPr>
                <w:rFonts w:ascii="宋体" w:hAnsi="宋体" w:cs="宋体" w:hint="eastAsia"/>
                <w:snapToGrid w:val="0"/>
                <w:kern w:val="22"/>
                <w:szCs w:val="22"/>
              </w:rPr>
              <w:t>为执行《名古屋议定书》建立预算拨款机制的缔约方数目和百分比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(c)</w:t>
            </w:r>
          </w:p>
        </w:tc>
        <w:tc>
          <w:tcPr>
            <w:tcW w:w="1384" w:type="dxa"/>
            <w:vAlign w:val="center"/>
          </w:tcPr>
          <w:p w:rsidR="006531B4" w:rsidRPr="00E650A4" w:rsidRDefault="006531B4" w:rsidP="00B6332A">
            <w:pPr>
              <w:spacing w:before="120" w:after="120"/>
              <w:jc w:val="center"/>
              <w:rPr>
                <w:rFonts w:cs="Times New Roman"/>
                <w:snapToGrid w:val="0"/>
                <w:kern w:val="22"/>
              </w:rPr>
            </w:pPr>
            <w:r w:rsidRPr="00E650A4">
              <w:rPr>
                <w:rFonts w:cs="Times New Roman"/>
                <w:snapToGrid w:val="0"/>
                <w:kern w:val="22"/>
                <w:szCs w:val="22"/>
              </w:rPr>
              <w:t>24 (23%)</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61</w:t>
            </w:r>
          </w:p>
        </w:tc>
      </w:tr>
      <w:tr w:rsidR="006531B4" w:rsidRPr="00E650A4" w:rsidTr="00DB68D5">
        <w:trPr>
          <w:jc w:val="center"/>
        </w:trPr>
        <w:tc>
          <w:tcPr>
            <w:tcW w:w="5549" w:type="dxa"/>
          </w:tcPr>
          <w:p w:rsidR="006531B4" w:rsidRPr="00E650A4" w:rsidRDefault="006531B4" w:rsidP="00B6332A">
            <w:pPr>
              <w:spacing w:before="120" w:after="120"/>
              <w:rPr>
                <w:rFonts w:cs="Times New Roman"/>
                <w:snapToGrid w:val="0"/>
                <w:kern w:val="22"/>
              </w:rPr>
            </w:pPr>
            <w:r w:rsidRPr="00E650A4">
              <w:rPr>
                <w:rFonts w:cs="Times New Roman"/>
                <w:snapToGrid w:val="0"/>
                <w:kern w:val="22"/>
                <w:szCs w:val="22"/>
              </w:rPr>
              <w:t xml:space="preserve">56. </w:t>
            </w:r>
            <w:r w:rsidRPr="00E650A4">
              <w:rPr>
                <w:rFonts w:ascii="宋体" w:hAnsi="宋体" w:cs="宋体" w:hint="eastAsia"/>
                <w:snapToGrid w:val="0"/>
                <w:kern w:val="22"/>
                <w:szCs w:val="22"/>
              </w:rPr>
              <w:t>向其他缔约方提供资金的缔约方数目和百分比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(c)</w:t>
            </w:r>
          </w:p>
        </w:tc>
        <w:tc>
          <w:tcPr>
            <w:tcW w:w="1384" w:type="dxa"/>
            <w:vAlign w:val="center"/>
          </w:tcPr>
          <w:p w:rsidR="006531B4" w:rsidRPr="00E650A4" w:rsidRDefault="006531B4" w:rsidP="00B6332A">
            <w:pPr>
              <w:spacing w:before="120" w:after="120"/>
              <w:jc w:val="center"/>
              <w:rPr>
                <w:rFonts w:cs="Times New Roman"/>
                <w:snapToGrid w:val="0"/>
                <w:kern w:val="22"/>
              </w:rPr>
            </w:pPr>
            <w:r w:rsidRPr="00E650A4">
              <w:rPr>
                <w:rFonts w:cs="Times New Roman"/>
                <w:snapToGrid w:val="0"/>
                <w:kern w:val="22"/>
                <w:szCs w:val="22"/>
              </w:rPr>
              <w:t>13 (12%)</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62</w:t>
            </w:r>
          </w:p>
        </w:tc>
      </w:tr>
      <w:tr w:rsidR="006531B4" w:rsidRPr="00E650A4" w:rsidTr="00DB68D5">
        <w:trPr>
          <w:jc w:val="center"/>
        </w:trPr>
        <w:tc>
          <w:tcPr>
            <w:tcW w:w="5549" w:type="dxa"/>
          </w:tcPr>
          <w:p w:rsidR="006531B4" w:rsidRPr="00E650A4" w:rsidRDefault="006531B4" w:rsidP="00B6332A">
            <w:pPr>
              <w:spacing w:before="120" w:after="120"/>
              <w:ind w:left="346" w:hanging="346"/>
              <w:rPr>
                <w:rFonts w:cs="Times New Roman"/>
                <w:snapToGrid w:val="0"/>
                <w:kern w:val="22"/>
              </w:rPr>
            </w:pPr>
            <w:r w:rsidRPr="00E650A4">
              <w:rPr>
                <w:rFonts w:cs="Times New Roman"/>
                <w:snapToGrid w:val="0"/>
                <w:kern w:val="22"/>
                <w:szCs w:val="22"/>
              </w:rPr>
              <w:t xml:space="preserve">57. </w:t>
            </w:r>
            <w:r w:rsidRPr="00E650A4">
              <w:rPr>
                <w:rFonts w:ascii="宋体" w:hAnsi="宋体" w:cs="宋体" w:hint="eastAsia"/>
                <w:snapToGrid w:val="0"/>
                <w:kern w:val="22"/>
                <w:szCs w:val="22"/>
              </w:rPr>
              <w:t>按照第</w:t>
            </w:r>
            <w:r w:rsidRPr="00E650A4">
              <w:rPr>
                <w:rFonts w:cs="Times New Roman"/>
                <w:snapToGrid w:val="0"/>
                <w:kern w:val="22"/>
                <w:szCs w:val="22"/>
              </w:rPr>
              <w:t>25</w:t>
            </w:r>
            <w:r w:rsidRPr="00E650A4">
              <w:rPr>
                <w:rFonts w:ascii="宋体" w:hAnsi="宋体" w:cs="宋体" w:hint="eastAsia"/>
                <w:snapToGrid w:val="0"/>
                <w:kern w:val="22"/>
                <w:szCs w:val="22"/>
              </w:rPr>
              <w:t>条规定从其他缔约方或金融机构收到资金以执行《议定书》的缔约方数目和百分比</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(c)</w:t>
            </w:r>
          </w:p>
        </w:tc>
        <w:tc>
          <w:tcPr>
            <w:tcW w:w="1384" w:type="dxa"/>
            <w:vAlign w:val="center"/>
          </w:tcPr>
          <w:p w:rsidR="006531B4" w:rsidRPr="00E650A4" w:rsidRDefault="006531B4" w:rsidP="00B6332A">
            <w:pPr>
              <w:spacing w:before="120" w:after="120"/>
              <w:jc w:val="center"/>
              <w:rPr>
                <w:rFonts w:cs="Times New Roman"/>
                <w:snapToGrid w:val="0"/>
                <w:kern w:val="22"/>
              </w:rPr>
            </w:pPr>
            <w:r w:rsidRPr="00E650A4">
              <w:rPr>
                <w:rFonts w:cs="Times New Roman"/>
                <w:snapToGrid w:val="0"/>
                <w:kern w:val="22"/>
                <w:szCs w:val="22"/>
              </w:rPr>
              <w:t>35 (33%)</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62</w:t>
            </w:r>
          </w:p>
        </w:tc>
      </w:tr>
      <w:tr w:rsidR="006531B4" w:rsidRPr="00E650A4" w:rsidTr="00DB68D5">
        <w:trPr>
          <w:jc w:val="center"/>
        </w:trPr>
        <w:tc>
          <w:tcPr>
            <w:tcW w:w="5549" w:type="dxa"/>
          </w:tcPr>
          <w:p w:rsidR="006531B4" w:rsidRPr="00E650A4" w:rsidRDefault="006531B4" w:rsidP="00B6332A">
            <w:pPr>
              <w:spacing w:before="120" w:after="120"/>
              <w:ind w:left="346" w:hanging="346"/>
              <w:rPr>
                <w:rFonts w:cs="Times New Roman"/>
                <w:snapToGrid w:val="0"/>
                <w:kern w:val="22"/>
              </w:rPr>
            </w:pPr>
            <w:r w:rsidRPr="00E650A4">
              <w:rPr>
                <w:rFonts w:cs="Times New Roman"/>
                <w:snapToGrid w:val="0"/>
                <w:kern w:val="22"/>
                <w:szCs w:val="22"/>
              </w:rPr>
              <w:t xml:space="preserve">58. </w:t>
            </w:r>
            <w:r w:rsidRPr="00E650A4">
              <w:rPr>
                <w:rFonts w:ascii="宋体" w:hAnsi="宋体" w:cs="宋体" w:hint="eastAsia"/>
                <w:snapToGrid w:val="0"/>
                <w:kern w:val="22"/>
                <w:szCs w:val="22"/>
              </w:rPr>
              <w:t>每个缔约方专职管理与执行《名古屋议定书》直接相关的职能的工作人员平均数目。</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(c)</w:t>
            </w:r>
          </w:p>
        </w:tc>
        <w:tc>
          <w:tcPr>
            <w:tcW w:w="1384" w:type="dxa"/>
            <w:vAlign w:val="center"/>
          </w:tcPr>
          <w:p w:rsidR="006531B4" w:rsidRPr="00E650A4" w:rsidRDefault="006531B4" w:rsidP="00B6332A">
            <w:pPr>
              <w:spacing w:before="120" w:after="120"/>
              <w:jc w:val="center"/>
              <w:rPr>
                <w:rFonts w:cs="Times New Roman"/>
                <w:snapToGrid w:val="0"/>
                <w:color w:val="FF0000"/>
                <w:kern w:val="22"/>
              </w:rPr>
            </w:pPr>
            <w:r w:rsidRPr="00E650A4">
              <w:rPr>
                <w:rFonts w:ascii="宋体" w:hAnsi="宋体" w:cs="宋体" w:hint="eastAsia"/>
                <w:snapToGrid w:val="0"/>
                <w:kern w:val="22"/>
                <w:szCs w:val="22"/>
              </w:rPr>
              <w:t>无确凿数据</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问题</w:t>
            </w:r>
            <w:r w:rsidRPr="00E650A4">
              <w:rPr>
                <w:rFonts w:cs="Times New Roman"/>
                <w:snapToGrid w:val="0"/>
                <w:kern w:val="22"/>
                <w:szCs w:val="22"/>
              </w:rPr>
              <w:t>63</w:t>
            </w:r>
          </w:p>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需订正</w:t>
            </w:r>
          </w:p>
        </w:tc>
      </w:tr>
      <w:tr w:rsidR="006531B4" w:rsidRPr="00E650A4" w:rsidTr="00DB68D5">
        <w:trPr>
          <w:jc w:val="center"/>
        </w:trPr>
        <w:tc>
          <w:tcPr>
            <w:tcW w:w="9480" w:type="dxa"/>
            <w:gridSpan w:val="4"/>
            <w:shd w:val="pct5" w:color="auto" w:fill="auto"/>
            <w:vAlign w:val="center"/>
          </w:tcPr>
          <w:p w:rsidR="006531B4" w:rsidRPr="00E650A4" w:rsidRDefault="006531B4" w:rsidP="00B6332A">
            <w:pPr>
              <w:spacing w:before="120" w:after="120"/>
              <w:ind w:left="314"/>
              <w:contextualSpacing/>
              <w:rPr>
                <w:rFonts w:cs="Times New Roman"/>
                <w:b/>
                <w:snapToGrid w:val="0"/>
                <w:kern w:val="22"/>
              </w:rPr>
            </w:pPr>
            <w:r>
              <w:rPr>
                <w:rFonts w:ascii="宋体" w:hAnsi="宋体" w:cs="宋体" w:hint="eastAsia"/>
                <w:b/>
                <w:snapToGrid w:val="0"/>
                <w:kern w:val="22"/>
                <w:szCs w:val="22"/>
              </w:rPr>
              <w:t>获取和惠益分享</w:t>
            </w:r>
            <w:r w:rsidRPr="00E650A4">
              <w:rPr>
                <w:rFonts w:ascii="宋体" w:hAnsi="宋体" w:cs="宋体" w:hint="eastAsia"/>
                <w:b/>
                <w:snapToGrid w:val="0"/>
                <w:kern w:val="22"/>
                <w:szCs w:val="22"/>
              </w:rPr>
              <w:t>信息交换所的实施和运作</w:t>
            </w:r>
          </w:p>
        </w:tc>
      </w:tr>
      <w:tr w:rsidR="006531B4" w:rsidRPr="00E650A4" w:rsidTr="00DB68D5">
        <w:trPr>
          <w:jc w:val="center"/>
        </w:trPr>
        <w:tc>
          <w:tcPr>
            <w:tcW w:w="5549" w:type="dxa"/>
          </w:tcPr>
          <w:p w:rsidR="006531B4" w:rsidRPr="00E650A4" w:rsidRDefault="006531B4" w:rsidP="00B6332A">
            <w:pPr>
              <w:spacing w:before="120" w:after="120"/>
              <w:ind w:left="346" w:hanging="346"/>
              <w:rPr>
                <w:rFonts w:cs="Times New Roman"/>
                <w:snapToGrid w:val="0"/>
                <w:kern w:val="22"/>
              </w:rPr>
            </w:pPr>
            <w:r w:rsidRPr="00E650A4">
              <w:rPr>
                <w:rFonts w:cs="Times New Roman"/>
                <w:snapToGrid w:val="0"/>
                <w:kern w:val="22"/>
                <w:szCs w:val="22"/>
              </w:rPr>
              <w:t xml:space="preserve">59. </w:t>
            </w:r>
            <w:r w:rsidRPr="00E650A4">
              <w:rPr>
                <w:rFonts w:ascii="宋体" w:hAnsi="宋体" w:cs="宋体" w:hint="eastAsia"/>
                <w:snapToGrid w:val="0"/>
                <w:kern w:val="22"/>
                <w:szCs w:val="22"/>
              </w:rPr>
              <w:t>在</w:t>
            </w:r>
            <w:r>
              <w:rPr>
                <w:rFonts w:ascii="宋体" w:hAnsi="宋体" w:cs="宋体" w:hint="eastAsia"/>
                <w:snapToGrid w:val="0"/>
                <w:kern w:val="22"/>
                <w:szCs w:val="22"/>
              </w:rPr>
              <w:t>获取和惠益分享</w:t>
            </w:r>
            <w:r w:rsidRPr="00E650A4">
              <w:rPr>
                <w:rFonts w:ascii="宋体" w:hAnsi="宋体" w:cs="宋体" w:hint="eastAsia"/>
                <w:snapToGrid w:val="0"/>
                <w:kern w:val="22"/>
                <w:szCs w:val="22"/>
              </w:rPr>
              <w:t>信息交换所发布国家信息（获取和惠益分享措施、国家主管部门或检查点）的非缔约方数目</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(g)</w:t>
            </w:r>
          </w:p>
        </w:tc>
        <w:tc>
          <w:tcPr>
            <w:tcW w:w="1384" w:type="dxa"/>
            <w:vAlign w:val="center"/>
          </w:tcPr>
          <w:p w:rsidR="006531B4" w:rsidRPr="00E650A4" w:rsidRDefault="006531B4" w:rsidP="00B6332A">
            <w:pPr>
              <w:jc w:val="center"/>
              <w:rPr>
                <w:rFonts w:cs="Times New Roman"/>
                <w:snapToGrid w:val="0"/>
                <w:kern w:val="22"/>
              </w:rPr>
            </w:pPr>
            <w:r w:rsidRPr="00E650A4">
              <w:rPr>
                <w:rFonts w:cs="Times New Roman"/>
                <w:snapToGrid w:val="0"/>
                <w:kern w:val="22"/>
                <w:szCs w:val="22"/>
              </w:rPr>
              <w:t>8</w:t>
            </w:r>
          </w:p>
        </w:tc>
        <w:tc>
          <w:tcPr>
            <w:tcW w:w="1443" w:type="dxa"/>
            <w:vAlign w:val="center"/>
          </w:tcPr>
          <w:p w:rsidR="006531B4" w:rsidRPr="00E650A4" w:rsidRDefault="006531B4" w:rsidP="00B6332A">
            <w:pPr>
              <w:spacing w:before="120" w:after="120"/>
              <w:jc w:val="left"/>
              <w:rPr>
                <w:rFonts w:cs="Times New Roman"/>
                <w:snapToGrid w:val="0"/>
                <w:kern w:val="22"/>
              </w:rPr>
            </w:pPr>
            <w:r w:rsidRPr="00E650A4">
              <w:rPr>
                <w:rFonts w:ascii="宋体" w:hAnsi="宋体" w:cs="宋体" w:hint="eastAsia"/>
                <w:snapToGrid w:val="0"/>
                <w:kern w:val="22"/>
                <w:szCs w:val="22"/>
              </w:rPr>
              <w:t>信息交换所</w:t>
            </w:r>
          </w:p>
        </w:tc>
      </w:tr>
      <w:tr w:rsidR="006531B4" w:rsidRPr="00E650A4" w:rsidTr="00DB68D5">
        <w:trPr>
          <w:jc w:val="center"/>
        </w:trPr>
        <w:tc>
          <w:tcPr>
            <w:tcW w:w="5549" w:type="dxa"/>
          </w:tcPr>
          <w:p w:rsidR="006531B4" w:rsidRPr="00E650A4" w:rsidRDefault="006531B4" w:rsidP="00B6332A">
            <w:pPr>
              <w:spacing w:before="120" w:after="120"/>
              <w:rPr>
                <w:rFonts w:cs="Times New Roman"/>
                <w:snapToGrid w:val="0"/>
                <w:kern w:val="22"/>
              </w:rPr>
            </w:pPr>
            <w:r w:rsidRPr="00E650A4">
              <w:rPr>
                <w:rFonts w:cs="Times New Roman"/>
                <w:snapToGrid w:val="0"/>
                <w:kern w:val="22"/>
                <w:szCs w:val="22"/>
              </w:rPr>
              <w:t xml:space="preserve">60.  </w:t>
            </w:r>
            <w:r>
              <w:rPr>
                <w:rFonts w:cs="Times New Roman" w:hint="eastAsia"/>
                <w:snapToGrid w:val="0"/>
                <w:kern w:val="22"/>
                <w:szCs w:val="22"/>
              </w:rPr>
              <w:t>获取和惠益分享</w:t>
            </w:r>
            <w:r w:rsidRPr="00E650A4">
              <w:rPr>
                <w:rFonts w:ascii="宋体" w:hAnsi="宋体" w:cs="宋体" w:hint="eastAsia"/>
                <w:snapToGrid w:val="0"/>
                <w:kern w:val="22"/>
                <w:szCs w:val="22"/>
              </w:rPr>
              <w:t>信息交换所年访问人数</w:t>
            </w:r>
          </w:p>
        </w:tc>
        <w:tc>
          <w:tcPr>
            <w:tcW w:w="1104" w:type="dxa"/>
            <w:vAlign w:val="center"/>
          </w:tcPr>
          <w:p w:rsidR="006531B4" w:rsidRPr="00E650A4" w:rsidRDefault="006531B4" w:rsidP="00B6332A">
            <w:pPr>
              <w:spacing w:line="276" w:lineRule="auto"/>
              <w:jc w:val="center"/>
              <w:rPr>
                <w:rFonts w:cs="Times New Roman"/>
                <w:snapToGrid w:val="0"/>
                <w:kern w:val="22"/>
              </w:rPr>
            </w:pPr>
            <w:r w:rsidRPr="00E650A4">
              <w:rPr>
                <w:rFonts w:cs="Times New Roman"/>
                <w:snapToGrid w:val="0"/>
                <w:kern w:val="22"/>
                <w:szCs w:val="22"/>
              </w:rPr>
              <w:t>(g)</w:t>
            </w:r>
          </w:p>
        </w:tc>
        <w:tc>
          <w:tcPr>
            <w:tcW w:w="1384" w:type="dxa"/>
            <w:vAlign w:val="center"/>
          </w:tcPr>
          <w:p w:rsidR="006531B4" w:rsidRPr="00E650A4" w:rsidRDefault="006531B4" w:rsidP="006D56E9">
            <w:pPr>
              <w:jc w:val="center"/>
              <w:rPr>
                <w:rFonts w:cs="Times New Roman"/>
                <w:snapToGrid w:val="0"/>
                <w:kern w:val="22"/>
              </w:rPr>
            </w:pPr>
            <w:r w:rsidRPr="00E650A4">
              <w:rPr>
                <w:rFonts w:cs="Times New Roman"/>
                <w:snapToGrid w:val="0"/>
                <w:kern w:val="22"/>
                <w:szCs w:val="22"/>
              </w:rPr>
              <w:t>18,709</w:t>
            </w:r>
            <w:r w:rsidRPr="00E650A4">
              <w:rPr>
                <w:rFonts w:ascii="宋体" w:hAnsi="宋体" w:cs="宋体" w:hint="eastAsia"/>
                <w:snapToGrid w:val="0"/>
                <w:kern w:val="22"/>
                <w:szCs w:val="22"/>
              </w:rPr>
              <w:t>名访问者</w:t>
            </w:r>
            <w:r w:rsidRPr="00E650A4">
              <w:rPr>
                <w:rFonts w:cs="Times New Roman"/>
                <w:snapToGrid w:val="0"/>
                <w:kern w:val="22"/>
                <w:szCs w:val="22"/>
              </w:rPr>
              <w:t>(</w:t>
            </w:r>
            <w:r w:rsidRPr="00E650A4">
              <w:rPr>
                <w:rFonts w:ascii="宋体" w:hAnsi="宋体" w:cs="宋体" w:hint="eastAsia"/>
                <w:snapToGrid w:val="0"/>
                <w:kern w:val="22"/>
                <w:szCs w:val="22"/>
              </w:rPr>
              <w:t>截至</w:t>
            </w:r>
            <w:r w:rsidRPr="00E650A4">
              <w:rPr>
                <w:rFonts w:cs="Times New Roman"/>
                <w:snapToGrid w:val="0"/>
                <w:kern w:val="22"/>
                <w:szCs w:val="22"/>
              </w:rPr>
              <w:t>2018</w:t>
            </w:r>
            <w:r w:rsidRPr="00E650A4">
              <w:rPr>
                <w:rFonts w:ascii="宋体" w:hAnsi="宋体" w:cs="宋体" w:hint="eastAsia"/>
                <w:snapToGrid w:val="0"/>
                <w:kern w:val="22"/>
                <w:szCs w:val="22"/>
              </w:rPr>
              <w:t>年</w:t>
            </w:r>
            <w:r w:rsidRPr="00E650A4">
              <w:rPr>
                <w:rFonts w:cs="Times New Roman"/>
                <w:snapToGrid w:val="0"/>
                <w:kern w:val="22"/>
                <w:szCs w:val="22"/>
              </w:rPr>
              <w:t>3</w:t>
            </w:r>
            <w:r w:rsidRPr="00E650A4">
              <w:rPr>
                <w:rFonts w:ascii="宋体" w:hAnsi="宋体" w:cs="宋体" w:hint="eastAsia"/>
                <w:snapToGrid w:val="0"/>
                <w:kern w:val="22"/>
                <w:szCs w:val="22"/>
              </w:rPr>
              <w:t>月</w:t>
            </w:r>
            <w:r w:rsidRPr="00E650A4">
              <w:rPr>
                <w:rFonts w:cs="Times New Roman"/>
                <w:snapToGrid w:val="0"/>
                <w:kern w:val="22"/>
                <w:szCs w:val="22"/>
              </w:rPr>
              <w:t>22</w:t>
            </w:r>
            <w:r w:rsidRPr="00E650A4">
              <w:rPr>
                <w:rFonts w:ascii="宋体" w:hAnsi="宋体" w:cs="宋体" w:hint="eastAsia"/>
                <w:snapToGrid w:val="0"/>
                <w:kern w:val="22"/>
                <w:szCs w:val="22"/>
              </w:rPr>
              <w:t>日</w:t>
            </w:r>
            <w:r w:rsidRPr="00E650A4">
              <w:rPr>
                <w:rFonts w:cs="Times New Roman"/>
                <w:snapToGrid w:val="0"/>
                <w:kern w:val="22"/>
                <w:szCs w:val="22"/>
              </w:rPr>
              <w:t>)</w:t>
            </w:r>
          </w:p>
        </w:tc>
        <w:tc>
          <w:tcPr>
            <w:tcW w:w="1443" w:type="dxa"/>
            <w:vAlign w:val="center"/>
          </w:tcPr>
          <w:p w:rsidR="006531B4" w:rsidRPr="00E650A4" w:rsidRDefault="006531B4" w:rsidP="00B6332A">
            <w:pPr>
              <w:spacing w:before="120" w:after="120"/>
              <w:rPr>
                <w:rFonts w:cs="Times New Roman"/>
                <w:snapToGrid w:val="0"/>
                <w:kern w:val="22"/>
              </w:rPr>
            </w:pPr>
            <w:r w:rsidRPr="00E650A4">
              <w:rPr>
                <w:rFonts w:ascii="宋体" w:hAnsi="宋体" w:cs="宋体" w:hint="eastAsia"/>
                <w:snapToGrid w:val="0"/>
                <w:kern w:val="22"/>
                <w:szCs w:val="22"/>
              </w:rPr>
              <w:t>谷歌分析</w:t>
            </w:r>
            <w:r>
              <w:rPr>
                <w:rFonts w:ascii="宋体" w:hAnsi="宋体" w:cs="宋体" w:hint="eastAsia"/>
                <w:snapToGrid w:val="0"/>
                <w:kern w:val="22"/>
                <w:szCs w:val="22"/>
              </w:rPr>
              <w:t>服务软件</w:t>
            </w:r>
          </w:p>
        </w:tc>
      </w:tr>
    </w:tbl>
    <w:p w:rsidR="006531B4" w:rsidRPr="00FE46DE" w:rsidRDefault="006531B4" w:rsidP="004148C8">
      <w:pPr>
        <w:tabs>
          <w:tab w:val="left" w:pos="720"/>
        </w:tabs>
        <w:spacing w:line="240" w:lineRule="atLeast"/>
        <w:jc w:val="left"/>
        <w:rPr>
          <w:rFonts w:ascii="SimSun" w:hAnsi="SimSun" w:cs="Arial"/>
          <w:color w:val="000000"/>
          <w:sz w:val="24"/>
          <w:lang w:val="en-US"/>
        </w:rPr>
      </w:pPr>
    </w:p>
    <w:bookmarkEnd w:id="1"/>
    <w:p w:rsidR="006531B4" w:rsidRPr="00FE46DE" w:rsidRDefault="006531B4">
      <w:pPr>
        <w:spacing w:before="120" w:after="120"/>
        <w:jc w:val="center"/>
        <w:rPr>
          <w:rFonts w:cs="Times New Roman"/>
          <w:kern w:val="22"/>
          <w:sz w:val="24"/>
        </w:rPr>
      </w:pPr>
      <w:r w:rsidRPr="00FE46DE">
        <w:rPr>
          <w:rFonts w:cs="Times New Roman"/>
          <w:kern w:val="22"/>
          <w:sz w:val="24"/>
        </w:rPr>
        <w:t>__________</w:t>
      </w:r>
      <w:bookmarkStart w:id="3" w:name="_GoBack"/>
      <w:bookmarkEnd w:id="3"/>
    </w:p>
    <w:sectPr w:rsidR="006531B4" w:rsidRPr="00FE46DE" w:rsidSect="00FF196E">
      <w:headerReference w:type="even" r:id="rId10"/>
      <w:headerReference w:type="default" r:id="rId11"/>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1B4" w:rsidRDefault="006531B4">
      <w:pPr>
        <w:rPr>
          <w:rFonts w:ascii="Univers" w:hAnsi="Univers" w:cs="Times New Roman"/>
        </w:rPr>
      </w:pPr>
      <w:r>
        <w:rPr>
          <w:rFonts w:ascii="Univers" w:hAnsi="Univers" w:cs="Times New Roman"/>
        </w:rPr>
        <w:separator/>
      </w:r>
    </w:p>
  </w:endnote>
  <w:endnote w:type="continuationSeparator" w:id="0">
    <w:p w:rsidR="006531B4" w:rsidRDefault="006531B4">
      <w:pPr>
        <w:rPr>
          <w:rFonts w:ascii="Univers" w:hAnsi="Univers" w:cs="Times New Roman"/>
        </w:rPr>
      </w:pPr>
      <w:r>
        <w:rPr>
          <w:rFonts w:ascii="Univers" w:hAnsi="Univer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ngsana New">
    <w:panose1 w:val="02020603050405020304"/>
    <w:charset w:val="DE"/>
    <w:family w:val="roman"/>
    <w:notTrueType/>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Univers">
    <w:altName w:val="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imSun">
    <w:altName w:val="SimSun"/>
    <w:panose1 w:val="00000000000000000000"/>
    <w:charset w:val="00"/>
    <w:family w:val="roman"/>
    <w:notTrueType/>
    <w:pitch w:val="default"/>
    <w:sig w:usb0="00000003" w:usb1="00000000" w:usb2="00000000" w:usb3="00000000" w:csb0="00000001" w:csb1="00000000"/>
  </w:font>
  <w:font w:name="Microsoft YaHei">
    <w:panose1 w:val="00000000000000000000"/>
    <w:charset w:val="00"/>
    <w:family w:val="roman"/>
    <w:notTrueType/>
    <w:pitch w:val="default"/>
    <w:sig w:usb0="00000003" w:usb1="00000000" w:usb2="00000000" w:usb3="00000000" w:csb0="00000001" w:csb1="00000000"/>
  </w:font>
  <w:font w:name="KaiTi">
    <w:altName w:val="楷体"/>
    <w:panose1 w:val="00000000000000000000"/>
    <w:charset w:val="86"/>
    <w:family w:val="modern"/>
    <w:notTrueType/>
    <w:pitch w:val="fixed"/>
    <w:sig w:usb0="00000001" w:usb1="080E0000" w:usb2="00000010" w:usb3="00000000" w:csb0="00040000" w:csb1="00000000"/>
  </w:font>
  <w:font w:name="等线">
    <w:panose1 w:val="00000000000000000000"/>
    <w:charset w:val="86"/>
    <w:family w:val="roman"/>
    <w:notTrueType/>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1B4" w:rsidRDefault="006531B4">
      <w:pPr>
        <w:rPr>
          <w:rFonts w:ascii="Univers" w:hAnsi="Univers" w:cs="Times New Roman"/>
        </w:rPr>
      </w:pPr>
      <w:r>
        <w:rPr>
          <w:rFonts w:ascii="Univers" w:hAnsi="Univers" w:cs="Times New Roman"/>
        </w:rPr>
        <w:separator/>
      </w:r>
    </w:p>
  </w:footnote>
  <w:footnote w:type="continuationSeparator" w:id="0">
    <w:p w:rsidR="006531B4" w:rsidRDefault="006531B4">
      <w:pPr>
        <w:rPr>
          <w:rFonts w:ascii="Univers" w:hAnsi="Univers" w:cs="Times New Roman"/>
        </w:rPr>
      </w:pPr>
      <w:r>
        <w:rPr>
          <w:rFonts w:ascii="Univers" w:hAnsi="Univers" w:cs="Times New Roman"/>
        </w:rPr>
        <w:continuationSeparator/>
      </w:r>
    </w:p>
  </w:footnote>
  <w:footnote w:id="1">
    <w:p w:rsidR="006531B4" w:rsidRDefault="006531B4" w:rsidP="006953AF">
      <w:pPr>
        <w:pStyle w:val="FootnoteText"/>
        <w:tabs>
          <w:tab w:val="left" w:pos="360"/>
        </w:tabs>
        <w:ind w:firstLine="0"/>
        <w:jc w:val="left"/>
      </w:pPr>
      <w:r w:rsidRPr="006953AF">
        <w:rPr>
          <w:rStyle w:val="FootnoteReference"/>
          <w:sz w:val="24"/>
          <w:u w:val="none"/>
          <w:vertAlign w:val="superscript"/>
        </w:rPr>
        <w:footnoteRef/>
      </w:r>
      <w:r>
        <w:t xml:space="preserve"> </w:t>
      </w:r>
      <w:r>
        <w:tab/>
      </w:r>
      <w:r w:rsidRPr="006953AF">
        <w:rPr>
          <w:rFonts w:hint="eastAsia"/>
          <w:sz w:val="20"/>
          <w:szCs w:val="20"/>
        </w:rPr>
        <w:t>这可包括社区生物文化规约。</w:t>
      </w:r>
    </w:p>
  </w:footnote>
  <w:footnote w:id="2">
    <w:p w:rsidR="006531B4" w:rsidRDefault="006531B4" w:rsidP="00E650A4">
      <w:pPr>
        <w:pStyle w:val="FootnoteText"/>
        <w:tabs>
          <w:tab w:val="left" w:pos="360"/>
        </w:tabs>
        <w:ind w:firstLine="0"/>
        <w:jc w:val="left"/>
      </w:pPr>
      <w:r w:rsidRPr="00A86AC1">
        <w:rPr>
          <w:rStyle w:val="FootnoteReference"/>
          <w:sz w:val="24"/>
          <w:u w:val="none"/>
          <w:vertAlign w:val="superscript"/>
        </w:rPr>
        <w:footnoteRef/>
      </w:r>
      <w:r w:rsidRPr="00A86AC1">
        <w:rPr>
          <w:rStyle w:val="FootnoteReference"/>
          <w:sz w:val="24"/>
          <w:u w:val="none"/>
          <w:vertAlign w:val="superscript"/>
        </w:rPr>
        <w:t xml:space="preserve"> </w:t>
      </w:r>
      <w:r>
        <w:rPr>
          <w:kern w:val="18"/>
          <w:sz w:val="20"/>
          <w:szCs w:val="20"/>
        </w:rPr>
        <w:tab/>
      </w:r>
      <w:r w:rsidRPr="00B0387C">
        <w:rPr>
          <w:kern w:val="18"/>
          <w:sz w:val="20"/>
          <w:szCs w:val="20"/>
        </w:rPr>
        <w:t>CBD/NP/MOP/3/3</w:t>
      </w:r>
      <w:r w:rsidRPr="00B0387C">
        <w:rPr>
          <w:rFonts w:ascii="宋体" w:hAnsi="宋体" w:cs="宋体" w:hint="eastAsia"/>
          <w:kern w:val="18"/>
          <w:sz w:val="20"/>
          <w:szCs w:val="20"/>
        </w:rPr>
        <w:t>。</w:t>
      </w:r>
    </w:p>
  </w:footnote>
  <w:footnote w:id="3">
    <w:p w:rsidR="006531B4" w:rsidRDefault="006531B4" w:rsidP="00EC092F">
      <w:pPr>
        <w:pStyle w:val="FootnoteText"/>
        <w:tabs>
          <w:tab w:val="left" w:pos="360"/>
        </w:tabs>
        <w:ind w:firstLine="0"/>
      </w:pPr>
      <w:r w:rsidRPr="00A86AC1">
        <w:rPr>
          <w:rStyle w:val="FootnoteReference"/>
          <w:sz w:val="24"/>
          <w:u w:val="none"/>
          <w:vertAlign w:val="superscript"/>
        </w:rPr>
        <w:footnoteRef/>
      </w:r>
      <w:r w:rsidRPr="00A86AC1">
        <w:rPr>
          <w:rStyle w:val="FootnoteReference"/>
          <w:sz w:val="24"/>
          <w:u w:val="none"/>
          <w:vertAlign w:val="superscript"/>
        </w:rPr>
        <w:t xml:space="preserve"> </w:t>
      </w:r>
      <w:r>
        <w:rPr>
          <w:rFonts w:eastAsia="等线"/>
          <w:sz w:val="20"/>
          <w:szCs w:val="20"/>
        </w:rPr>
        <w:tab/>
      </w:r>
      <w:r w:rsidRPr="002259AD">
        <w:rPr>
          <w:rFonts w:ascii="宋体" w:hAnsi="宋体" w:cs="宋体" w:hint="eastAsia"/>
          <w:sz w:val="20"/>
          <w:szCs w:val="20"/>
        </w:rPr>
        <w:t>例如《非洲联盟非洲协调执行名古屋议定书的实用准则》（非洲联盟，</w:t>
      </w:r>
      <w:r w:rsidRPr="002259AD">
        <w:rPr>
          <w:sz w:val="20"/>
          <w:szCs w:val="20"/>
        </w:rPr>
        <w:t>2015</w:t>
      </w:r>
      <w:r w:rsidRPr="002259AD">
        <w:rPr>
          <w:rFonts w:ascii="宋体" w:hAnsi="宋体" w:cs="宋体" w:hint="eastAsia"/>
          <w:sz w:val="20"/>
          <w:szCs w:val="20"/>
        </w:rPr>
        <w:t>年）。</w:t>
      </w:r>
    </w:p>
  </w:footnote>
  <w:footnote w:id="4">
    <w:p w:rsidR="006531B4" w:rsidRDefault="006531B4" w:rsidP="00EC092F">
      <w:pPr>
        <w:pStyle w:val="FootnoteText"/>
        <w:tabs>
          <w:tab w:val="left" w:pos="360"/>
        </w:tabs>
        <w:ind w:firstLine="0"/>
      </w:pPr>
      <w:r w:rsidRPr="00A86AC1">
        <w:rPr>
          <w:rStyle w:val="FootnoteReference"/>
          <w:sz w:val="24"/>
          <w:u w:val="none"/>
          <w:vertAlign w:val="superscript"/>
        </w:rPr>
        <w:footnoteRef/>
      </w:r>
      <w:r w:rsidRPr="002259AD">
        <w:rPr>
          <w:rStyle w:val="FootnoteReference"/>
          <w:sz w:val="24"/>
          <w:vertAlign w:val="superscript"/>
        </w:rPr>
        <w:t xml:space="preserve"> </w:t>
      </w:r>
      <w:r>
        <w:rPr>
          <w:rFonts w:eastAsia="等线"/>
          <w:sz w:val="20"/>
          <w:szCs w:val="20"/>
        </w:rPr>
        <w:tab/>
      </w:r>
      <w:r w:rsidRPr="002259AD">
        <w:rPr>
          <w:rFonts w:ascii="宋体" w:hAnsi="宋体" w:cs="宋体" w:hint="eastAsia"/>
          <w:sz w:val="20"/>
          <w:szCs w:val="20"/>
        </w:rPr>
        <w:t>例如</w:t>
      </w:r>
      <w:r w:rsidRPr="002259AD">
        <w:rPr>
          <w:rFonts w:ascii="SimSun" w:hAnsi="SimSun"/>
          <w:sz w:val="20"/>
          <w:szCs w:val="20"/>
        </w:rPr>
        <w:t>“</w:t>
      </w:r>
      <w:r w:rsidRPr="002259AD">
        <w:rPr>
          <w:rFonts w:ascii="宋体" w:hAnsi="宋体" w:cs="宋体" w:hint="eastAsia"/>
          <w:sz w:val="20"/>
          <w:szCs w:val="20"/>
        </w:rPr>
        <w:t>使用</w:t>
      </w:r>
      <w:r w:rsidRPr="002259AD">
        <w:rPr>
          <w:rFonts w:ascii="SimSun" w:hAnsi="SimSun"/>
          <w:sz w:val="20"/>
          <w:szCs w:val="20"/>
        </w:rPr>
        <w:t>‘</w:t>
      </w:r>
      <w:r w:rsidRPr="002259AD">
        <w:rPr>
          <w:rFonts w:ascii="宋体" w:hAnsi="宋体" w:cs="宋体" w:hint="eastAsia"/>
          <w:sz w:val="20"/>
          <w:szCs w:val="20"/>
        </w:rPr>
        <w:t>土著人民和地方社区</w:t>
      </w:r>
      <w:r w:rsidRPr="002259AD">
        <w:rPr>
          <w:rFonts w:ascii="SimSun" w:hAnsi="SimSun"/>
          <w:sz w:val="20"/>
          <w:szCs w:val="20"/>
        </w:rPr>
        <w:t>’</w:t>
      </w:r>
      <w:r w:rsidRPr="002259AD">
        <w:rPr>
          <w:rFonts w:ascii="宋体" w:hAnsi="宋体" w:cs="宋体" w:hint="eastAsia"/>
          <w:sz w:val="20"/>
          <w:szCs w:val="20"/>
        </w:rPr>
        <w:t>一词的意见汇编</w:t>
      </w:r>
      <w:r w:rsidRPr="002259AD">
        <w:rPr>
          <w:rFonts w:ascii="SimSun" w:hAnsi="SimSun"/>
          <w:sz w:val="20"/>
          <w:szCs w:val="20"/>
        </w:rPr>
        <w:t>”</w:t>
      </w:r>
      <w:r w:rsidRPr="002259AD">
        <w:rPr>
          <w:rFonts w:ascii="宋体" w:hAnsi="宋体" w:cs="宋体" w:hint="eastAsia"/>
          <w:sz w:val="20"/>
          <w:szCs w:val="20"/>
        </w:rPr>
        <w:t>（</w:t>
      </w:r>
      <w:r w:rsidRPr="002259AD">
        <w:rPr>
          <w:sz w:val="20"/>
          <w:szCs w:val="20"/>
        </w:rPr>
        <w:t>UNEP/CBD/WG8J/8/INF/10/Add.1</w:t>
      </w:r>
      <w:r w:rsidRPr="002259AD">
        <w:rPr>
          <w:rFonts w:ascii="宋体" w:hAnsi="宋体" w:cs="宋体" w:hint="eastAsia"/>
          <w:sz w:val="20"/>
          <w:szCs w:val="20"/>
        </w:rPr>
        <w:t>）。</w:t>
      </w:r>
      <w:r w:rsidRPr="002259AD">
        <w:rPr>
          <w:sz w:val="20"/>
          <w:szCs w:val="20"/>
        </w:rPr>
        <w:t xml:space="preserve"> </w:t>
      </w:r>
    </w:p>
  </w:footnote>
  <w:footnote w:id="5">
    <w:p w:rsidR="006531B4" w:rsidRDefault="006531B4" w:rsidP="00EC092F">
      <w:pPr>
        <w:pStyle w:val="FootnoteText"/>
        <w:tabs>
          <w:tab w:val="left" w:pos="360"/>
        </w:tabs>
        <w:ind w:firstLine="0"/>
        <w:jc w:val="left"/>
      </w:pPr>
      <w:r w:rsidRPr="00A86AC1">
        <w:rPr>
          <w:rStyle w:val="FootnoteReference"/>
          <w:sz w:val="24"/>
          <w:u w:val="none"/>
          <w:vertAlign w:val="superscript"/>
        </w:rPr>
        <w:footnoteRef/>
      </w:r>
      <w:r w:rsidRPr="00A86AC1">
        <w:rPr>
          <w:rStyle w:val="FootnoteReference"/>
          <w:sz w:val="24"/>
          <w:u w:val="none"/>
          <w:vertAlign w:val="superscript"/>
        </w:rPr>
        <w:t xml:space="preserve"> </w:t>
      </w:r>
      <w:r>
        <w:rPr>
          <w:rFonts w:eastAsia="等线"/>
          <w:sz w:val="20"/>
          <w:szCs w:val="20"/>
        </w:rPr>
        <w:tab/>
      </w:r>
      <w:r w:rsidRPr="002259AD">
        <w:rPr>
          <w:rFonts w:ascii="宋体" w:hAnsi="宋体" w:cs="宋体" w:hint="eastAsia"/>
          <w:sz w:val="20"/>
          <w:szCs w:val="20"/>
        </w:rPr>
        <w:t>例如</w:t>
      </w:r>
      <w:r>
        <w:rPr>
          <w:rFonts w:ascii="宋体" w:hAnsi="宋体" w:cs="宋体" w:hint="eastAsia"/>
          <w:sz w:val="20"/>
          <w:szCs w:val="20"/>
        </w:rPr>
        <w:t>，</w:t>
      </w:r>
      <w:r w:rsidRPr="002259AD">
        <w:rPr>
          <w:rFonts w:ascii="SimSun" w:hAnsi="SimSun"/>
          <w:sz w:val="20"/>
          <w:szCs w:val="20"/>
        </w:rPr>
        <w:t>“</w:t>
      </w:r>
      <w:r w:rsidRPr="002259AD">
        <w:rPr>
          <w:rFonts w:ascii="宋体" w:hAnsi="宋体" w:cs="宋体" w:hint="eastAsia"/>
          <w:sz w:val="20"/>
          <w:szCs w:val="20"/>
        </w:rPr>
        <w:t>获取和惠益分享要点：促进国内粮食和农业遗传资源各分部门实施获取和惠益分享的要点</w:t>
      </w:r>
      <w:r w:rsidRPr="002259AD">
        <w:rPr>
          <w:rFonts w:ascii="SimSun" w:hAnsi="SimSun"/>
          <w:sz w:val="20"/>
          <w:szCs w:val="20"/>
        </w:rPr>
        <w:t>” (</w:t>
      </w:r>
      <w:r w:rsidRPr="002259AD">
        <w:rPr>
          <w:rFonts w:ascii="宋体" w:hAnsi="宋体" w:cs="宋体" w:hint="eastAsia"/>
          <w:sz w:val="20"/>
          <w:szCs w:val="20"/>
        </w:rPr>
        <w:t>联合国粮食及农业组织，</w:t>
      </w:r>
      <w:r w:rsidRPr="002259AD">
        <w:rPr>
          <w:rFonts w:ascii="SimSun" w:hAnsi="SimSun"/>
          <w:sz w:val="20"/>
          <w:szCs w:val="20"/>
        </w:rPr>
        <w:t>2016</w:t>
      </w:r>
      <w:r w:rsidRPr="002259AD">
        <w:rPr>
          <w:rFonts w:ascii="宋体" w:hAnsi="宋体" w:cs="宋体" w:hint="eastAsia"/>
          <w:sz w:val="20"/>
          <w:szCs w:val="20"/>
        </w:rPr>
        <w:t>年</w:t>
      </w:r>
      <w:r w:rsidRPr="002259AD">
        <w:rPr>
          <w:rFonts w:ascii="SimSun" w:hAnsi="SimSun"/>
          <w:sz w:val="20"/>
          <w:szCs w:val="20"/>
        </w:rPr>
        <w:t>)</w:t>
      </w:r>
      <w:r w:rsidRPr="002259AD">
        <w:rPr>
          <w:rFonts w:ascii="宋体" w:hAnsi="宋体" w:cs="宋体" w:hint="eastAsia"/>
          <w:sz w:val="20"/>
          <w:szCs w:val="20"/>
        </w:rPr>
        <w:t>。</w:t>
      </w:r>
    </w:p>
  </w:footnote>
  <w:footnote w:id="6">
    <w:p w:rsidR="006531B4" w:rsidRDefault="006531B4" w:rsidP="00EC092F">
      <w:pPr>
        <w:pStyle w:val="FootnoteText"/>
        <w:tabs>
          <w:tab w:val="left" w:pos="360"/>
        </w:tabs>
        <w:ind w:firstLine="0"/>
        <w:jc w:val="left"/>
      </w:pPr>
      <w:r w:rsidRPr="00A86AC1">
        <w:rPr>
          <w:rStyle w:val="FootnoteReference"/>
          <w:sz w:val="24"/>
          <w:u w:val="none"/>
          <w:vertAlign w:val="superscript"/>
        </w:rPr>
        <w:footnoteRef/>
      </w:r>
      <w:r w:rsidRPr="00A86AC1">
        <w:rPr>
          <w:sz w:val="24"/>
          <w:vertAlign w:val="superscript"/>
        </w:rPr>
        <w:t xml:space="preserve"> </w:t>
      </w:r>
      <w:r>
        <w:rPr>
          <w:rFonts w:eastAsia="等线"/>
        </w:rPr>
        <w:tab/>
      </w:r>
      <w:r w:rsidRPr="006E74FD">
        <w:rPr>
          <w:rFonts w:ascii="宋体" w:hAnsi="宋体" w:cs="宋体" w:hint="eastAsia"/>
          <w:sz w:val="20"/>
          <w:szCs w:val="20"/>
        </w:rPr>
        <w:t>制订各种机制、法律或其他适当倡议，确保土著人民和地方社区对于获取其知识、创新和做法得取决于国情的</w:t>
      </w:r>
      <w:r w:rsidRPr="006E74FD">
        <w:rPr>
          <w:rFonts w:ascii="SimSun" w:hAnsi="SimSun"/>
          <w:sz w:val="20"/>
          <w:szCs w:val="20"/>
        </w:rPr>
        <w:t xml:space="preserve"> “</w:t>
      </w:r>
      <w:r w:rsidRPr="006E74FD">
        <w:rPr>
          <w:rFonts w:ascii="宋体" w:hAnsi="宋体" w:cs="宋体" w:hint="eastAsia"/>
          <w:sz w:val="20"/>
          <w:szCs w:val="20"/>
        </w:rPr>
        <w:t>事先和知情同意</w:t>
      </w:r>
      <w:r w:rsidRPr="006E74FD">
        <w:rPr>
          <w:rFonts w:ascii="SimSun" w:hAnsi="SimSun"/>
          <w:sz w:val="20"/>
          <w:szCs w:val="20"/>
        </w:rPr>
        <w:t>”</w:t>
      </w:r>
      <w:r w:rsidRPr="006E74FD">
        <w:rPr>
          <w:rFonts w:ascii="宋体" w:hAnsi="宋体" w:cs="宋体" w:hint="eastAsia"/>
          <w:sz w:val="20"/>
          <w:szCs w:val="20"/>
        </w:rPr>
        <w:t>、</w:t>
      </w:r>
      <w:r w:rsidRPr="006E74FD">
        <w:rPr>
          <w:rFonts w:ascii="SimSun" w:hAnsi="SimSun"/>
          <w:sz w:val="20"/>
          <w:szCs w:val="20"/>
        </w:rPr>
        <w:t>“</w:t>
      </w:r>
      <w:r w:rsidRPr="006E74FD">
        <w:rPr>
          <w:rFonts w:ascii="宋体" w:hAnsi="宋体" w:cs="宋体" w:hint="eastAsia"/>
          <w:sz w:val="20"/>
          <w:szCs w:val="20"/>
        </w:rPr>
        <w:t>自由、事先和知情同意</w:t>
      </w:r>
      <w:r w:rsidRPr="006E74FD">
        <w:rPr>
          <w:rFonts w:ascii="SimSun" w:hAnsi="SimSun"/>
          <w:sz w:val="20"/>
          <w:szCs w:val="20"/>
        </w:rPr>
        <w:t>”</w:t>
      </w:r>
      <w:r w:rsidRPr="006E74FD">
        <w:rPr>
          <w:rFonts w:ascii="宋体" w:hAnsi="宋体" w:cs="宋体" w:hint="eastAsia"/>
          <w:sz w:val="20"/>
          <w:szCs w:val="20"/>
        </w:rPr>
        <w:t>或</w:t>
      </w:r>
      <w:r w:rsidRPr="006E74FD">
        <w:rPr>
          <w:rFonts w:ascii="SimSun" w:hAnsi="SimSun"/>
          <w:sz w:val="20"/>
          <w:szCs w:val="20"/>
        </w:rPr>
        <w:t>“</w:t>
      </w:r>
      <w:r w:rsidRPr="006E74FD">
        <w:rPr>
          <w:rFonts w:ascii="宋体" w:hAnsi="宋体" w:cs="宋体" w:hint="eastAsia"/>
          <w:sz w:val="20"/>
          <w:szCs w:val="20"/>
        </w:rPr>
        <w:t>核准和参与</w:t>
      </w:r>
      <w:r w:rsidRPr="006E74FD">
        <w:rPr>
          <w:rFonts w:ascii="SimSun" w:hAnsi="SimSun"/>
          <w:sz w:val="20"/>
          <w:szCs w:val="20"/>
        </w:rPr>
        <w:t>”</w:t>
      </w:r>
      <w:r w:rsidRPr="006E74FD">
        <w:rPr>
          <w:rFonts w:ascii="宋体" w:hAnsi="宋体" w:cs="宋体" w:hint="eastAsia"/>
          <w:sz w:val="20"/>
          <w:szCs w:val="20"/>
        </w:rPr>
        <w:t>以及公正和公平地分享利用与保护和可持续利用生物多样性有关的此</w:t>
      </w:r>
      <w:r w:rsidRPr="00323D20">
        <w:rPr>
          <w:rFonts w:ascii="宋体" w:hAnsi="宋体" w:cs="宋体" w:hint="eastAsia"/>
          <w:sz w:val="20"/>
          <w:szCs w:val="20"/>
        </w:rPr>
        <w:t>种</w:t>
      </w:r>
      <w:r w:rsidRPr="00323D20">
        <w:rPr>
          <w:rFonts w:ascii="宋体" w:hAnsi="宋体" w:hint="eastAsia"/>
          <w:snapToGrid w:val="0"/>
          <w:kern w:val="22"/>
          <w:sz w:val="20"/>
          <w:szCs w:val="20"/>
        </w:rPr>
        <w:t>知识</w:t>
      </w:r>
      <w:r w:rsidRPr="00323D20">
        <w:rPr>
          <w:rFonts w:ascii="宋体" w:hAnsi="宋体" w:cs="宋体" w:hint="eastAsia"/>
          <w:sz w:val="20"/>
          <w:szCs w:val="20"/>
        </w:rPr>
        <w:t>、</w:t>
      </w:r>
      <w:r w:rsidRPr="006E74FD">
        <w:rPr>
          <w:rFonts w:ascii="宋体" w:hAnsi="宋体" w:cs="宋体" w:hint="eastAsia"/>
          <w:sz w:val="20"/>
          <w:szCs w:val="20"/>
        </w:rPr>
        <w:t>创新和做法所产生的惠益，以及报告和防止非法占用传统知识的</w:t>
      </w:r>
      <w:r w:rsidRPr="006E74FD">
        <w:rPr>
          <w:rFonts w:ascii="SimSun" w:hAnsi="SimSun"/>
          <w:sz w:val="20"/>
          <w:szCs w:val="20"/>
        </w:rPr>
        <w:t>“</w:t>
      </w:r>
      <w:r w:rsidRPr="006E74FD">
        <w:rPr>
          <w:rFonts w:ascii="宋体" w:hAnsi="宋体" w:cs="宋体" w:hint="eastAsia"/>
          <w:sz w:val="20"/>
          <w:szCs w:val="20"/>
        </w:rPr>
        <w:t>生命之根</w:t>
      </w:r>
      <w:r w:rsidRPr="006E74FD">
        <w:rPr>
          <w:rFonts w:ascii="SimSun" w:hAnsi="SimSun"/>
          <w:sz w:val="20"/>
          <w:szCs w:val="20"/>
        </w:rPr>
        <w:t>”</w:t>
      </w:r>
      <w:r w:rsidRPr="006E74FD">
        <w:rPr>
          <w:rFonts w:ascii="宋体" w:hAnsi="宋体" w:cs="宋体" w:hint="eastAsia"/>
          <w:sz w:val="20"/>
          <w:szCs w:val="20"/>
        </w:rPr>
        <w:t>自愿准则</w:t>
      </w:r>
      <w:r>
        <w:rPr>
          <w:rFonts w:ascii="宋体" w:hAnsi="宋体" w:cs="宋体" w:hint="eastAsia"/>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1B4" w:rsidRPr="00785B1E" w:rsidRDefault="006531B4" w:rsidP="004D69AD">
    <w:pPr>
      <w:rPr>
        <w:sz w:val="24"/>
        <w:lang w:bidi="th-TH"/>
      </w:rPr>
    </w:pPr>
    <w:r w:rsidRPr="00300CB2">
      <w:rPr>
        <w:kern w:val="22"/>
        <w:sz w:val="24"/>
        <w:lang w:bidi="th-TH"/>
      </w:rPr>
      <w:t>CBD/NP/MOP/</w:t>
    </w:r>
    <w:smartTag w:uri="urn:schemas-microsoft-com:office:smarttags" w:element="chsdate">
      <w:smartTagPr>
        <w:attr w:name="Year" w:val="2001"/>
        <w:attr w:name="Month" w:val="12"/>
        <w:attr w:name="Day" w:val="3"/>
        <w:attr w:name="IsLunarDate" w:val="False"/>
        <w:attr w:name="IsROCDate" w:val="False"/>
      </w:smartTagPr>
      <w:r w:rsidRPr="00300CB2">
        <w:rPr>
          <w:kern w:val="22"/>
          <w:sz w:val="24"/>
          <w:lang w:bidi="th-TH"/>
        </w:rPr>
        <w:t>DEC/3/1</w:t>
      </w:r>
    </w:smartTag>
  </w:p>
  <w:p w:rsidR="006531B4" w:rsidRDefault="006531B4"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Pr>
        <w:noProof/>
        <w:sz w:val="24"/>
        <w:szCs w:val="22"/>
      </w:rPr>
      <w:t>14</w:t>
    </w:r>
    <w:r w:rsidRPr="00367DF4">
      <w:rPr>
        <w:sz w:val="24"/>
        <w:szCs w:val="22"/>
      </w:rPr>
      <w:fldChar w:fldCharType="end"/>
    </w:r>
  </w:p>
  <w:p w:rsidR="006531B4" w:rsidRPr="00367DF4" w:rsidRDefault="006531B4" w:rsidP="00660A89">
    <w:pPr>
      <w:pStyle w:val="Header"/>
      <w:rPr>
        <w:sz w:val="24"/>
        <w:szCs w:val="22"/>
      </w:rPr>
    </w:pPr>
  </w:p>
  <w:p w:rsidR="006531B4" w:rsidRDefault="006531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1B4" w:rsidRPr="00785B1E" w:rsidRDefault="006531B4" w:rsidP="004D69AD">
    <w:pPr>
      <w:ind w:left="252"/>
      <w:jc w:val="right"/>
      <w:rPr>
        <w:sz w:val="24"/>
        <w:lang w:bidi="th-TH"/>
      </w:rPr>
    </w:pPr>
    <w:r w:rsidRPr="00300CB2">
      <w:rPr>
        <w:kern w:val="22"/>
        <w:sz w:val="24"/>
        <w:lang w:bidi="th-TH"/>
      </w:rPr>
      <w:t>CBD/NP/MOP/</w:t>
    </w:r>
    <w:smartTag w:uri="urn:schemas-microsoft-com:office:smarttags" w:element="chsdate">
      <w:smartTagPr>
        <w:attr w:name="Year" w:val="2001"/>
        <w:attr w:name="Month" w:val="12"/>
        <w:attr w:name="Day" w:val="3"/>
        <w:attr w:name="IsLunarDate" w:val="False"/>
        <w:attr w:name="IsROCDate" w:val="False"/>
      </w:smartTagPr>
      <w:r w:rsidRPr="00300CB2">
        <w:rPr>
          <w:kern w:val="22"/>
          <w:sz w:val="24"/>
          <w:lang w:bidi="th-TH"/>
        </w:rPr>
        <w:t>DEC/3/1</w:t>
      </w:r>
    </w:smartTag>
  </w:p>
  <w:p w:rsidR="006531B4" w:rsidRDefault="006531B4" w:rsidP="005B1D16">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Pr>
        <w:noProof/>
        <w:sz w:val="24"/>
        <w:szCs w:val="22"/>
      </w:rPr>
      <w:t>13</w:t>
    </w:r>
    <w:r w:rsidRPr="00367DF4">
      <w:rPr>
        <w:sz w:val="24"/>
        <w:szCs w:val="22"/>
      </w:rPr>
      <w:fldChar w:fldCharType="end"/>
    </w:r>
  </w:p>
  <w:p w:rsidR="006531B4" w:rsidRDefault="006531B4" w:rsidP="005B1D16">
    <w:pPr>
      <w:pStyle w:val="Header"/>
      <w:jc w:val="right"/>
    </w:pPr>
  </w:p>
  <w:p w:rsidR="006531B4" w:rsidRDefault="006531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6A08"/>
    <w:multiLevelType w:val="hybridMultilevel"/>
    <w:tmpl w:val="BDB09794"/>
    <w:lvl w:ilvl="0" w:tplc="B77E0B44">
      <w:start w:val="1"/>
      <w:numFmt w:val="decimal"/>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2D421CB"/>
    <w:multiLevelType w:val="hybridMultilevel"/>
    <w:tmpl w:val="BC603B98"/>
    <w:lvl w:ilvl="0" w:tplc="49387CE4">
      <w:start w:val="1"/>
      <w:numFmt w:val="decimal"/>
      <w:lvlText w:val="%1."/>
      <w:lvlJc w:val="left"/>
      <w:pPr>
        <w:ind w:left="980" w:hanging="490"/>
      </w:pPr>
      <w:rPr>
        <w:rFonts w:ascii="Times New Roman" w:cs="Times New Roman" w:hint="default"/>
        <w:i w:val="0"/>
      </w:rPr>
    </w:lvl>
    <w:lvl w:ilvl="1" w:tplc="AD788A34">
      <w:start w:val="1"/>
      <w:numFmt w:val="lowerLetter"/>
      <w:lvlText w:val="(%2)"/>
      <w:lvlJc w:val="left"/>
      <w:pPr>
        <w:ind w:left="1700" w:hanging="490"/>
      </w:pPr>
      <w:rPr>
        <w:rFonts w:cs="Times New Roman" w:hint="default"/>
      </w:rPr>
    </w:lvl>
    <w:lvl w:ilvl="2" w:tplc="0409001B" w:tentative="1">
      <w:start w:val="1"/>
      <w:numFmt w:val="lowerRoman"/>
      <w:lvlText w:val="%3."/>
      <w:lvlJc w:val="right"/>
      <w:pPr>
        <w:ind w:left="2290" w:hanging="180"/>
      </w:pPr>
      <w:rPr>
        <w:rFonts w:cs="Times New Roman"/>
      </w:rPr>
    </w:lvl>
    <w:lvl w:ilvl="3" w:tplc="0409000F" w:tentative="1">
      <w:start w:val="1"/>
      <w:numFmt w:val="decimal"/>
      <w:lvlText w:val="%4."/>
      <w:lvlJc w:val="left"/>
      <w:pPr>
        <w:ind w:left="3010" w:hanging="360"/>
      </w:pPr>
      <w:rPr>
        <w:rFonts w:cs="Times New Roman"/>
      </w:rPr>
    </w:lvl>
    <w:lvl w:ilvl="4" w:tplc="04090019" w:tentative="1">
      <w:start w:val="1"/>
      <w:numFmt w:val="lowerLetter"/>
      <w:lvlText w:val="%5."/>
      <w:lvlJc w:val="left"/>
      <w:pPr>
        <w:ind w:left="3730" w:hanging="360"/>
      </w:pPr>
      <w:rPr>
        <w:rFonts w:cs="Times New Roman"/>
      </w:rPr>
    </w:lvl>
    <w:lvl w:ilvl="5" w:tplc="0409001B" w:tentative="1">
      <w:start w:val="1"/>
      <w:numFmt w:val="lowerRoman"/>
      <w:lvlText w:val="%6."/>
      <w:lvlJc w:val="right"/>
      <w:pPr>
        <w:ind w:left="4450" w:hanging="180"/>
      </w:pPr>
      <w:rPr>
        <w:rFonts w:cs="Times New Roman"/>
      </w:rPr>
    </w:lvl>
    <w:lvl w:ilvl="6" w:tplc="0409000F" w:tentative="1">
      <w:start w:val="1"/>
      <w:numFmt w:val="decimal"/>
      <w:lvlText w:val="%7."/>
      <w:lvlJc w:val="left"/>
      <w:pPr>
        <w:ind w:left="5170" w:hanging="360"/>
      </w:pPr>
      <w:rPr>
        <w:rFonts w:cs="Times New Roman"/>
      </w:rPr>
    </w:lvl>
    <w:lvl w:ilvl="7" w:tplc="04090019" w:tentative="1">
      <w:start w:val="1"/>
      <w:numFmt w:val="lowerLetter"/>
      <w:lvlText w:val="%8."/>
      <w:lvlJc w:val="left"/>
      <w:pPr>
        <w:ind w:left="5890" w:hanging="360"/>
      </w:pPr>
      <w:rPr>
        <w:rFonts w:cs="Times New Roman"/>
      </w:rPr>
    </w:lvl>
    <w:lvl w:ilvl="8" w:tplc="0409001B" w:tentative="1">
      <w:start w:val="1"/>
      <w:numFmt w:val="lowerRoman"/>
      <w:lvlText w:val="%9."/>
      <w:lvlJc w:val="right"/>
      <w:pPr>
        <w:ind w:left="6610" w:hanging="180"/>
      </w:pPr>
      <w:rPr>
        <w:rFonts w:cs="Times New Roman"/>
      </w:rPr>
    </w:lvl>
  </w:abstractNum>
  <w:abstractNum w:abstractNumId="2">
    <w:nsid w:val="05025537"/>
    <w:multiLevelType w:val="hybridMultilevel"/>
    <w:tmpl w:val="A79EC164"/>
    <w:lvl w:ilvl="0" w:tplc="CDBE75D4">
      <w:start w:val="1"/>
      <w:numFmt w:val="lowerLetter"/>
      <w:lvlText w:val="(%1)"/>
      <w:lvlJc w:val="left"/>
      <w:pPr>
        <w:ind w:left="1210" w:hanging="360"/>
      </w:pPr>
      <w:rPr>
        <w:rFonts w:ascii="Times New Roman" w:hAnsi="Times New Roman" w:cs="Times New Roman" w:hint="default"/>
        <w:b w:val="0"/>
        <w:i w:val="0"/>
      </w:rPr>
    </w:lvl>
    <w:lvl w:ilvl="1" w:tplc="04090019">
      <w:start w:val="1"/>
      <w:numFmt w:val="lowerLetter"/>
      <w:lvlText w:val="%2."/>
      <w:lvlJc w:val="left"/>
      <w:pPr>
        <w:ind w:left="1930" w:hanging="360"/>
      </w:pPr>
      <w:rPr>
        <w:rFonts w:cs="Times New Roman"/>
      </w:rPr>
    </w:lvl>
    <w:lvl w:ilvl="2" w:tplc="0409001B" w:tentative="1">
      <w:start w:val="1"/>
      <w:numFmt w:val="lowerRoman"/>
      <w:lvlText w:val="%3."/>
      <w:lvlJc w:val="right"/>
      <w:pPr>
        <w:ind w:left="2650" w:hanging="180"/>
      </w:pPr>
      <w:rPr>
        <w:rFonts w:cs="Times New Roman"/>
      </w:rPr>
    </w:lvl>
    <w:lvl w:ilvl="3" w:tplc="0409000F" w:tentative="1">
      <w:start w:val="1"/>
      <w:numFmt w:val="decimal"/>
      <w:lvlText w:val="%4."/>
      <w:lvlJc w:val="left"/>
      <w:pPr>
        <w:ind w:left="3370" w:hanging="360"/>
      </w:pPr>
      <w:rPr>
        <w:rFonts w:cs="Times New Roman"/>
      </w:rPr>
    </w:lvl>
    <w:lvl w:ilvl="4" w:tplc="04090019" w:tentative="1">
      <w:start w:val="1"/>
      <w:numFmt w:val="lowerLetter"/>
      <w:lvlText w:val="%5."/>
      <w:lvlJc w:val="left"/>
      <w:pPr>
        <w:ind w:left="4090" w:hanging="360"/>
      </w:pPr>
      <w:rPr>
        <w:rFonts w:cs="Times New Roman"/>
      </w:rPr>
    </w:lvl>
    <w:lvl w:ilvl="5" w:tplc="0409001B" w:tentative="1">
      <w:start w:val="1"/>
      <w:numFmt w:val="lowerRoman"/>
      <w:lvlText w:val="%6."/>
      <w:lvlJc w:val="right"/>
      <w:pPr>
        <w:ind w:left="4810" w:hanging="180"/>
      </w:pPr>
      <w:rPr>
        <w:rFonts w:cs="Times New Roman"/>
      </w:rPr>
    </w:lvl>
    <w:lvl w:ilvl="6" w:tplc="0409000F" w:tentative="1">
      <w:start w:val="1"/>
      <w:numFmt w:val="decimal"/>
      <w:lvlText w:val="%7."/>
      <w:lvlJc w:val="left"/>
      <w:pPr>
        <w:ind w:left="5530" w:hanging="360"/>
      </w:pPr>
      <w:rPr>
        <w:rFonts w:cs="Times New Roman"/>
      </w:rPr>
    </w:lvl>
    <w:lvl w:ilvl="7" w:tplc="04090019" w:tentative="1">
      <w:start w:val="1"/>
      <w:numFmt w:val="lowerLetter"/>
      <w:lvlText w:val="%8."/>
      <w:lvlJc w:val="left"/>
      <w:pPr>
        <w:ind w:left="6250" w:hanging="360"/>
      </w:pPr>
      <w:rPr>
        <w:rFonts w:cs="Times New Roman"/>
      </w:rPr>
    </w:lvl>
    <w:lvl w:ilvl="8" w:tplc="0409001B" w:tentative="1">
      <w:start w:val="1"/>
      <w:numFmt w:val="lowerRoman"/>
      <w:lvlText w:val="%9."/>
      <w:lvlJc w:val="right"/>
      <w:pPr>
        <w:ind w:left="6970" w:hanging="180"/>
      </w:pPr>
      <w:rPr>
        <w:rFonts w:cs="Times New Roman"/>
      </w:rPr>
    </w:lvl>
  </w:abstractNum>
  <w:abstractNum w:abstractNumId="3">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08E14C87"/>
    <w:multiLevelType w:val="hybridMultilevel"/>
    <w:tmpl w:val="F7A86A78"/>
    <w:lvl w:ilvl="0" w:tplc="DEC0070A">
      <w:start w:val="1"/>
      <w:numFmt w:val="lowerLetter"/>
      <w:lvlText w:val="(%1)"/>
      <w:lvlJc w:val="left"/>
      <w:pPr>
        <w:ind w:left="1340" w:hanging="360"/>
      </w:pPr>
      <w:rPr>
        <w:rFonts w:ascii="Times New Roman" w:hAnsi="Times New Roman" w:cs="Times New Roman" w:hint="default"/>
        <w:b w:val="0"/>
        <w:i w:val="0"/>
      </w:rPr>
    </w:lvl>
    <w:lvl w:ilvl="1" w:tplc="579C6FDA">
      <w:start w:val="1"/>
      <w:numFmt w:val="lowerLetter"/>
      <w:lvlText w:val="（%2）"/>
      <w:lvlJc w:val="left"/>
      <w:pPr>
        <w:ind w:left="2060" w:hanging="360"/>
      </w:pPr>
      <w:rPr>
        <w:rFonts w:cs="Times New Roman" w:hint="default"/>
      </w:rPr>
    </w:lvl>
    <w:lvl w:ilvl="2" w:tplc="92007806">
      <w:start w:val="1"/>
      <w:numFmt w:val="decimal"/>
      <w:lvlText w:val="%3."/>
      <w:lvlJc w:val="left"/>
      <w:pPr>
        <w:ind w:left="3320" w:hanging="720"/>
      </w:pPr>
      <w:rPr>
        <w:rFonts w:cs="Times New Roman" w:hint="default"/>
      </w:rPr>
    </w:lvl>
    <w:lvl w:ilvl="3" w:tplc="0409000F" w:tentative="1">
      <w:start w:val="1"/>
      <w:numFmt w:val="decimal"/>
      <w:lvlText w:val="%4."/>
      <w:lvlJc w:val="left"/>
      <w:pPr>
        <w:ind w:left="3500" w:hanging="360"/>
      </w:pPr>
      <w:rPr>
        <w:rFonts w:cs="Times New Roman"/>
      </w:rPr>
    </w:lvl>
    <w:lvl w:ilvl="4" w:tplc="04090019" w:tentative="1">
      <w:start w:val="1"/>
      <w:numFmt w:val="lowerLetter"/>
      <w:lvlText w:val="%5."/>
      <w:lvlJc w:val="left"/>
      <w:pPr>
        <w:ind w:left="4220" w:hanging="360"/>
      </w:pPr>
      <w:rPr>
        <w:rFonts w:cs="Times New Roman"/>
      </w:rPr>
    </w:lvl>
    <w:lvl w:ilvl="5" w:tplc="0409001B" w:tentative="1">
      <w:start w:val="1"/>
      <w:numFmt w:val="lowerRoman"/>
      <w:lvlText w:val="%6."/>
      <w:lvlJc w:val="right"/>
      <w:pPr>
        <w:ind w:left="4940" w:hanging="180"/>
      </w:pPr>
      <w:rPr>
        <w:rFonts w:cs="Times New Roman"/>
      </w:rPr>
    </w:lvl>
    <w:lvl w:ilvl="6" w:tplc="0409000F" w:tentative="1">
      <w:start w:val="1"/>
      <w:numFmt w:val="decimal"/>
      <w:lvlText w:val="%7."/>
      <w:lvlJc w:val="left"/>
      <w:pPr>
        <w:ind w:left="5660" w:hanging="360"/>
      </w:pPr>
      <w:rPr>
        <w:rFonts w:cs="Times New Roman"/>
      </w:rPr>
    </w:lvl>
    <w:lvl w:ilvl="7" w:tplc="04090019" w:tentative="1">
      <w:start w:val="1"/>
      <w:numFmt w:val="lowerLetter"/>
      <w:lvlText w:val="%8."/>
      <w:lvlJc w:val="left"/>
      <w:pPr>
        <w:ind w:left="6380" w:hanging="360"/>
      </w:pPr>
      <w:rPr>
        <w:rFonts w:cs="Times New Roman"/>
      </w:rPr>
    </w:lvl>
    <w:lvl w:ilvl="8" w:tplc="0409001B" w:tentative="1">
      <w:start w:val="1"/>
      <w:numFmt w:val="lowerRoman"/>
      <w:lvlText w:val="%9."/>
      <w:lvlJc w:val="right"/>
      <w:pPr>
        <w:ind w:left="7100" w:hanging="180"/>
      </w:pPr>
      <w:rPr>
        <w:rFonts w:cs="Times New Roman"/>
      </w:rPr>
    </w:lvl>
  </w:abstractNum>
  <w:abstractNum w:abstractNumId="5">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nsid w:val="1859376B"/>
    <w:multiLevelType w:val="singleLevel"/>
    <w:tmpl w:val="35D0F268"/>
    <w:lvl w:ilvl="0">
      <w:start w:val="1"/>
      <w:numFmt w:val="decimal"/>
      <w:lvlText w:val="%1."/>
      <w:lvlJc w:val="left"/>
      <w:pPr>
        <w:tabs>
          <w:tab w:val="num" w:pos="4860"/>
        </w:tabs>
        <w:ind w:left="4500"/>
      </w:pPr>
      <w:rPr>
        <w:rFonts w:cs="Times New Roman"/>
      </w:rPr>
    </w:lvl>
  </w:abstractNum>
  <w:abstractNum w:abstractNumId="7">
    <w:nsid w:val="1EEB50F1"/>
    <w:multiLevelType w:val="hybridMultilevel"/>
    <w:tmpl w:val="E3B427B4"/>
    <w:lvl w:ilvl="0" w:tplc="F89AE9DE">
      <w:start w:val="1"/>
      <w:numFmt w:val="lowerLetter"/>
      <w:lvlText w:val="(%1)"/>
      <w:lvlJc w:val="left"/>
      <w:pPr>
        <w:ind w:left="1210" w:hanging="360"/>
      </w:pPr>
      <w:rPr>
        <w:rFonts w:cs="Times New Roman" w:hint="default"/>
        <w:b w:val="0"/>
        <w:i w:val="0"/>
      </w:rPr>
    </w:lvl>
    <w:lvl w:ilvl="1" w:tplc="04090019" w:tentative="1">
      <w:start w:val="1"/>
      <w:numFmt w:val="lowerLetter"/>
      <w:lvlText w:val="%2."/>
      <w:lvlJc w:val="left"/>
      <w:pPr>
        <w:ind w:left="1930" w:hanging="360"/>
      </w:pPr>
      <w:rPr>
        <w:rFonts w:cs="Times New Roman"/>
      </w:rPr>
    </w:lvl>
    <w:lvl w:ilvl="2" w:tplc="0409001B" w:tentative="1">
      <w:start w:val="1"/>
      <w:numFmt w:val="lowerRoman"/>
      <w:lvlText w:val="%3."/>
      <w:lvlJc w:val="right"/>
      <w:pPr>
        <w:ind w:left="2650" w:hanging="180"/>
      </w:pPr>
      <w:rPr>
        <w:rFonts w:cs="Times New Roman"/>
      </w:rPr>
    </w:lvl>
    <w:lvl w:ilvl="3" w:tplc="0409000F" w:tentative="1">
      <w:start w:val="1"/>
      <w:numFmt w:val="decimal"/>
      <w:lvlText w:val="%4."/>
      <w:lvlJc w:val="left"/>
      <w:pPr>
        <w:ind w:left="3370" w:hanging="360"/>
      </w:pPr>
      <w:rPr>
        <w:rFonts w:cs="Times New Roman"/>
      </w:rPr>
    </w:lvl>
    <w:lvl w:ilvl="4" w:tplc="04090019" w:tentative="1">
      <w:start w:val="1"/>
      <w:numFmt w:val="lowerLetter"/>
      <w:lvlText w:val="%5."/>
      <w:lvlJc w:val="left"/>
      <w:pPr>
        <w:ind w:left="4090" w:hanging="360"/>
      </w:pPr>
      <w:rPr>
        <w:rFonts w:cs="Times New Roman"/>
      </w:rPr>
    </w:lvl>
    <w:lvl w:ilvl="5" w:tplc="0409001B" w:tentative="1">
      <w:start w:val="1"/>
      <w:numFmt w:val="lowerRoman"/>
      <w:lvlText w:val="%6."/>
      <w:lvlJc w:val="right"/>
      <w:pPr>
        <w:ind w:left="4810" w:hanging="180"/>
      </w:pPr>
      <w:rPr>
        <w:rFonts w:cs="Times New Roman"/>
      </w:rPr>
    </w:lvl>
    <w:lvl w:ilvl="6" w:tplc="0409000F" w:tentative="1">
      <w:start w:val="1"/>
      <w:numFmt w:val="decimal"/>
      <w:lvlText w:val="%7."/>
      <w:lvlJc w:val="left"/>
      <w:pPr>
        <w:ind w:left="5530" w:hanging="360"/>
      </w:pPr>
      <w:rPr>
        <w:rFonts w:cs="Times New Roman"/>
      </w:rPr>
    </w:lvl>
    <w:lvl w:ilvl="7" w:tplc="04090019" w:tentative="1">
      <w:start w:val="1"/>
      <w:numFmt w:val="lowerLetter"/>
      <w:lvlText w:val="%8."/>
      <w:lvlJc w:val="left"/>
      <w:pPr>
        <w:ind w:left="6250" w:hanging="360"/>
      </w:pPr>
      <w:rPr>
        <w:rFonts w:cs="Times New Roman"/>
      </w:rPr>
    </w:lvl>
    <w:lvl w:ilvl="8" w:tplc="0409001B" w:tentative="1">
      <w:start w:val="1"/>
      <w:numFmt w:val="lowerRoman"/>
      <w:lvlText w:val="%9."/>
      <w:lvlJc w:val="right"/>
      <w:pPr>
        <w:ind w:left="6970" w:hanging="180"/>
      </w:pPr>
      <w:rPr>
        <w:rFonts w:cs="Times New Roman"/>
      </w:rPr>
    </w:lvl>
  </w:abstractNum>
  <w:abstractNum w:abstractNumId="8">
    <w:nsid w:val="211854C8"/>
    <w:multiLevelType w:val="hybridMultilevel"/>
    <w:tmpl w:val="79E0083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25FD14AB"/>
    <w:multiLevelType w:val="hybridMultilevel"/>
    <w:tmpl w:val="3D7E926C"/>
    <w:lvl w:ilvl="0" w:tplc="5FEA0190">
      <w:start w:val="33"/>
      <w:numFmt w:val="decimal"/>
      <w:lvlText w:val="%1."/>
      <w:lvlJc w:val="left"/>
      <w:pPr>
        <w:ind w:left="360" w:hanging="360"/>
      </w:pPr>
      <w:rPr>
        <w:rFonts w:cs="Times New Roman" w:hint="default"/>
      </w:rPr>
    </w:lvl>
    <w:lvl w:ilvl="1" w:tplc="04090019" w:tentative="1">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10">
    <w:nsid w:val="2CF97CFE"/>
    <w:multiLevelType w:val="hybridMultilevel"/>
    <w:tmpl w:val="CBFAD364"/>
    <w:lvl w:ilvl="0" w:tplc="579C6FDA">
      <w:start w:val="1"/>
      <w:numFmt w:val="lowerLetter"/>
      <w:lvlText w:val="（%1）"/>
      <w:lvlJc w:val="left"/>
      <w:pPr>
        <w:ind w:left="720" w:hanging="360"/>
      </w:pPr>
      <w:rPr>
        <w:rFonts w:cs="Times New Roman" w:hint="default"/>
      </w:rPr>
    </w:lvl>
    <w:lvl w:ilvl="1" w:tplc="5270FD3C">
      <w:start w:val="1"/>
      <w:numFmt w:val="decimal"/>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nsid w:val="37601899"/>
    <w:multiLevelType w:val="hybridMultilevel"/>
    <w:tmpl w:val="9DE6F10C"/>
    <w:lvl w:ilvl="0" w:tplc="DB502C94">
      <w:start w:val="1"/>
      <w:numFmt w:val="lowerLetter"/>
      <w:lvlText w:val="(%1)"/>
      <w:lvlJc w:val="left"/>
      <w:pPr>
        <w:ind w:left="1080" w:hanging="360"/>
      </w:pPr>
      <w:rPr>
        <w:rFonts w:ascii="Times New Roman" w:hAnsi="Times New Roman" w:cs="Times New Roman" w:hint="default"/>
        <w:b w:val="0"/>
        <w:i w:val="0"/>
      </w:rPr>
    </w:lvl>
    <w:lvl w:ilvl="1" w:tplc="04090019">
      <w:start w:val="1"/>
      <w:numFmt w:val="lowerLetter"/>
      <w:lvlText w:val="%2."/>
      <w:lvlJc w:val="left"/>
      <w:pPr>
        <w:ind w:left="1800" w:hanging="360"/>
      </w:pPr>
      <w:rPr>
        <w:rFonts w:cs="Times New Roman"/>
      </w:rPr>
    </w:lvl>
    <w:lvl w:ilvl="2" w:tplc="0C825462">
      <w:start w:val="1"/>
      <w:numFmt w:val="decimal"/>
      <w:lvlText w:val="%3."/>
      <w:lvlJc w:val="left"/>
      <w:pPr>
        <w:ind w:left="3780" w:hanging="1440"/>
      </w:pPr>
      <w:rPr>
        <w:rFonts w:ascii="Times New Roman" w:hAnsi="Times New Roman" w:cs="Times New Roman"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396814BD"/>
    <w:multiLevelType w:val="hybridMultilevel"/>
    <w:tmpl w:val="0E067840"/>
    <w:lvl w:ilvl="0" w:tplc="F89AE9DE">
      <w:start w:val="1"/>
      <w:numFmt w:val="lowerLetter"/>
      <w:lvlText w:val="(%1)"/>
      <w:lvlJc w:val="left"/>
      <w:pPr>
        <w:ind w:left="1440" w:hanging="360"/>
      </w:pPr>
      <w:rPr>
        <w:rFonts w:cs="Times New Roman" w:hint="default"/>
        <w:b w:val="0"/>
        <w:i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5">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6">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8">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4F704BD8"/>
    <w:multiLevelType w:val="hybridMultilevel"/>
    <w:tmpl w:val="D278D326"/>
    <w:lvl w:ilvl="0" w:tplc="D86E839C">
      <w:start w:val="1"/>
      <w:numFmt w:val="decimal"/>
      <w:lvlText w:val="%1."/>
      <w:lvlJc w:val="left"/>
      <w:pPr>
        <w:ind w:left="36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0076AE5"/>
    <w:multiLevelType w:val="hybridMultilevel"/>
    <w:tmpl w:val="580A144C"/>
    <w:lvl w:ilvl="0" w:tplc="F89AE9DE">
      <w:start w:val="1"/>
      <w:numFmt w:val="lowerLetter"/>
      <w:lvlText w:val="(%1)"/>
      <w:lvlJc w:val="left"/>
      <w:pPr>
        <w:ind w:left="1210" w:hanging="360"/>
      </w:pPr>
      <w:rPr>
        <w:rFonts w:cs="Times New Roman" w:hint="default"/>
        <w:b w:val="0"/>
        <w:i w:val="0"/>
      </w:rPr>
    </w:lvl>
    <w:lvl w:ilvl="1" w:tplc="04090019">
      <w:start w:val="1"/>
      <w:numFmt w:val="lowerLetter"/>
      <w:lvlText w:val="%2."/>
      <w:lvlJc w:val="left"/>
      <w:pPr>
        <w:ind w:left="1930" w:hanging="360"/>
      </w:pPr>
      <w:rPr>
        <w:rFonts w:cs="Times New Roman"/>
      </w:rPr>
    </w:lvl>
    <w:lvl w:ilvl="2" w:tplc="0409001B" w:tentative="1">
      <w:start w:val="1"/>
      <w:numFmt w:val="lowerRoman"/>
      <w:lvlText w:val="%3."/>
      <w:lvlJc w:val="right"/>
      <w:pPr>
        <w:ind w:left="2650" w:hanging="180"/>
      </w:pPr>
      <w:rPr>
        <w:rFonts w:cs="Times New Roman"/>
      </w:rPr>
    </w:lvl>
    <w:lvl w:ilvl="3" w:tplc="0409000F" w:tentative="1">
      <w:start w:val="1"/>
      <w:numFmt w:val="decimal"/>
      <w:lvlText w:val="%4."/>
      <w:lvlJc w:val="left"/>
      <w:pPr>
        <w:ind w:left="3370" w:hanging="360"/>
      </w:pPr>
      <w:rPr>
        <w:rFonts w:cs="Times New Roman"/>
      </w:rPr>
    </w:lvl>
    <w:lvl w:ilvl="4" w:tplc="04090019" w:tentative="1">
      <w:start w:val="1"/>
      <w:numFmt w:val="lowerLetter"/>
      <w:lvlText w:val="%5."/>
      <w:lvlJc w:val="left"/>
      <w:pPr>
        <w:ind w:left="4090" w:hanging="360"/>
      </w:pPr>
      <w:rPr>
        <w:rFonts w:cs="Times New Roman"/>
      </w:rPr>
    </w:lvl>
    <w:lvl w:ilvl="5" w:tplc="0409001B" w:tentative="1">
      <w:start w:val="1"/>
      <w:numFmt w:val="lowerRoman"/>
      <w:lvlText w:val="%6."/>
      <w:lvlJc w:val="right"/>
      <w:pPr>
        <w:ind w:left="4810" w:hanging="180"/>
      </w:pPr>
      <w:rPr>
        <w:rFonts w:cs="Times New Roman"/>
      </w:rPr>
    </w:lvl>
    <w:lvl w:ilvl="6" w:tplc="0409000F" w:tentative="1">
      <w:start w:val="1"/>
      <w:numFmt w:val="decimal"/>
      <w:lvlText w:val="%7."/>
      <w:lvlJc w:val="left"/>
      <w:pPr>
        <w:ind w:left="5530" w:hanging="360"/>
      </w:pPr>
      <w:rPr>
        <w:rFonts w:cs="Times New Roman"/>
      </w:rPr>
    </w:lvl>
    <w:lvl w:ilvl="7" w:tplc="04090019" w:tentative="1">
      <w:start w:val="1"/>
      <w:numFmt w:val="lowerLetter"/>
      <w:lvlText w:val="%8."/>
      <w:lvlJc w:val="left"/>
      <w:pPr>
        <w:ind w:left="6250" w:hanging="360"/>
      </w:pPr>
      <w:rPr>
        <w:rFonts w:cs="Times New Roman"/>
      </w:rPr>
    </w:lvl>
    <w:lvl w:ilvl="8" w:tplc="0409001B" w:tentative="1">
      <w:start w:val="1"/>
      <w:numFmt w:val="lowerRoman"/>
      <w:lvlText w:val="%9."/>
      <w:lvlJc w:val="right"/>
      <w:pPr>
        <w:ind w:left="6970" w:hanging="180"/>
      </w:pPr>
      <w:rPr>
        <w:rFonts w:cs="Times New Roman"/>
      </w:rPr>
    </w:lvl>
  </w:abstractNum>
  <w:abstractNum w:abstractNumId="23">
    <w:nsid w:val="50F04460"/>
    <w:multiLevelType w:val="hybridMultilevel"/>
    <w:tmpl w:val="12B4C0EC"/>
    <w:lvl w:ilvl="0" w:tplc="90800732">
      <w:start w:val="1"/>
      <w:numFmt w:val="decimal"/>
      <w:lvlText w:val="%1."/>
      <w:lvlJc w:val="left"/>
      <w:pPr>
        <w:ind w:left="1440" w:hanging="720"/>
      </w:pPr>
      <w:rPr>
        <w:rFonts w:cs="Times New Roman" w:hint="default"/>
        <w:i w:val="0"/>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nsid w:val="63B26EAF"/>
    <w:multiLevelType w:val="hybridMultilevel"/>
    <w:tmpl w:val="E8CA114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643917EF"/>
    <w:multiLevelType w:val="hybridMultilevel"/>
    <w:tmpl w:val="E0DAAEF6"/>
    <w:lvl w:ilvl="0" w:tplc="F89AE9DE">
      <w:start w:val="1"/>
      <w:numFmt w:val="lowerLetter"/>
      <w:lvlText w:val="(%1)"/>
      <w:lvlJc w:val="left"/>
      <w:pPr>
        <w:ind w:left="1210" w:hanging="360"/>
      </w:pPr>
      <w:rPr>
        <w:rFonts w:cs="Times New Roman" w:hint="default"/>
        <w:b w:val="0"/>
        <w:i w:val="0"/>
      </w:rPr>
    </w:lvl>
    <w:lvl w:ilvl="1" w:tplc="04090019" w:tentative="1">
      <w:start w:val="1"/>
      <w:numFmt w:val="lowerLetter"/>
      <w:lvlText w:val="%2."/>
      <w:lvlJc w:val="left"/>
      <w:pPr>
        <w:ind w:left="1930" w:hanging="360"/>
      </w:pPr>
      <w:rPr>
        <w:rFonts w:cs="Times New Roman"/>
      </w:rPr>
    </w:lvl>
    <w:lvl w:ilvl="2" w:tplc="0409001B" w:tentative="1">
      <w:start w:val="1"/>
      <w:numFmt w:val="lowerRoman"/>
      <w:lvlText w:val="%3."/>
      <w:lvlJc w:val="right"/>
      <w:pPr>
        <w:ind w:left="2650" w:hanging="180"/>
      </w:pPr>
      <w:rPr>
        <w:rFonts w:cs="Times New Roman"/>
      </w:rPr>
    </w:lvl>
    <w:lvl w:ilvl="3" w:tplc="0409000F" w:tentative="1">
      <w:start w:val="1"/>
      <w:numFmt w:val="decimal"/>
      <w:lvlText w:val="%4."/>
      <w:lvlJc w:val="left"/>
      <w:pPr>
        <w:ind w:left="3370" w:hanging="360"/>
      </w:pPr>
      <w:rPr>
        <w:rFonts w:cs="Times New Roman"/>
      </w:rPr>
    </w:lvl>
    <w:lvl w:ilvl="4" w:tplc="04090019" w:tentative="1">
      <w:start w:val="1"/>
      <w:numFmt w:val="lowerLetter"/>
      <w:lvlText w:val="%5."/>
      <w:lvlJc w:val="left"/>
      <w:pPr>
        <w:ind w:left="4090" w:hanging="360"/>
      </w:pPr>
      <w:rPr>
        <w:rFonts w:cs="Times New Roman"/>
      </w:rPr>
    </w:lvl>
    <w:lvl w:ilvl="5" w:tplc="0409001B" w:tentative="1">
      <w:start w:val="1"/>
      <w:numFmt w:val="lowerRoman"/>
      <w:lvlText w:val="%6."/>
      <w:lvlJc w:val="right"/>
      <w:pPr>
        <w:ind w:left="4810" w:hanging="180"/>
      </w:pPr>
      <w:rPr>
        <w:rFonts w:cs="Times New Roman"/>
      </w:rPr>
    </w:lvl>
    <w:lvl w:ilvl="6" w:tplc="0409000F" w:tentative="1">
      <w:start w:val="1"/>
      <w:numFmt w:val="decimal"/>
      <w:lvlText w:val="%7."/>
      <w:lvlJc w:val="left"/>
      <w:pPr>
        <w:ind w:left="5530" w:hanging="360"/>
      </w:pPr>
      <w:rPr>
        <w:rFonts w:cs="Times New Roman"/>
      </w:rPr>
    </w:lvl>
    <w:lvl w:ilvl="7" w:tplc="04090019" w:tentative="1">
      <w:start w:val="1"/>
      <w:numFmt w:val="lowerLetter"/>
      <w:lvlText w:val="%8."/>
      <w:lvlJc w:val="left"/>
      <w:pPr>
        <w:ind w:left="6250" w:hanging="360"/>
      </w:pPr>
      <w:rPr>
        <w:rFonts w:cs="Times New Roman"/>
      </w:rPr>
    </w:lvl>
    <w:lvl w:ilvl="8" w:tplc="0409001B" w:tentative="1">
      <w:start w:val="1"/>
      <w:numFmt w:val="lowerRoman"/>
      <w:lvlText w:val="%9."/>
      <w:lvlJc w:val="right"/>
      <w:pPr>
        <w:ind w:left="6970" w:hanging="180"/>
      </w:pPr>
      <w:rPr>
        <w:rFonts w:cs="Times New Roman"/>
      </w:rPr>
    </w:lvl>
  </w:abstractNum>
  <w:abstractNum w:abstractNumId="27">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8">
    <w:nsid w:val="6BE030D4"/>
    <w:multiLevelType w:val="hybridMultilevel"/>
    <w:tmpl w:val="F70AD0DA"/>
    <w:lvl w:ilvl="0" w:tplc="F89AE9DE">
      <w:start w:val="1"/>
      <w:numFmt w:val="lowerLetter"/>
      <w:lvlText w:val="(%1)"/>
      <w:lvlJc w:val="left"/>
      <w:pPr>
        <w:ind w:left="1210" w:hanging="360"/>
      </w:pPr>
      <w:rPr>
        <w:rFonts w:cs="Times New Roman" w:hint="default"/>
        <w:b w:val="0"/>
        <w:i w:val="0"/>
      </w:rPr>
    </w:lvl>
    <w:lvl w:ilvl="1" w:tplc="04090019">
      <w:start w:val="1"/>
      <w:numFmt w:val="lowerLetter"/>
      <w:lvlText w:val="%2."/>
      <w:lvlJc w:val="left"/>
      <w:pPr>
        <w:ind w:left="1930" w:hanging="360"/>
      </w:pPr>
      <w:rPr>
        <w:rFonts w:cs="Times New Roman"/>
      </w:rPr>
    </w:lvl>
    <w:lvl w:ilvl="2" w:tplc="0409001B" w:tentative="1">
      <w:start w:val="1"/>
      <w:numFmt w:val="lowerRoman"/>
      <w:lvlText w:val="%3."/>
      <w:lvlJc w:val="right"/>
      <w:pPr>
        <w:ind w:left="2650" w:hanging="180"/>
      </w:pPr>
      <w:rPr>
        <w:rFonts w:cs="Times New Roman"/>
      </w:rPr>
    </w:lvl>
    <w:lvl w:ilvl="3" w:tplc="0409000F" w:tentative="1">
      <w:start w:val="1"/>
      <w:numFmt w:val="decimal"/>
      <w:lvlText w:val="%4."/>
      <w:lvlJc w:val="left"/>
      <w:pPr>
        <w:ind w:left="3370" w:hanging="360"/>
      </w:pPr>
      <w:rPr>
        <w:rFonts w:cs="Times New Roman"/>
      </w:rPr>
    </w:lvl>
    <w:lvl w:ilvl="4" w:tplc="04090019" w:tentative="1">
      <w:start w:val="1"/>
      <w:numFmt w:val="lowerLetter"/>
      <w:lvlText w:val="%5."/>
      <w:lvlJc w:val="left"/>
      <w:pPr>
        <w:ind w:left="4090" w:hanging="360"/>
      </w:pPr>
      <w:rPr>
        <w:rFonts w:cs="Times New Roman"/>
      </w:rPr>
    </w:lvl>
    <w:lvl w:ilvl="5" w:tplc="0409001B" w:tentative="1">
      <w:start w:val="1"/>
      <w:numFmt w:val="lowerRoman"/>
      <w:lvlText w:val="%6."/>
      <w:lvlJc w:val="right"/>
      <w:pPr>
        <w:ind w:left="4810" w:hanging="180"/>
      </w:pPr>
      <w:rPr>
        <w:rFonts w:cs="Times New Roman"/>
      </w:rPr>
    </w:lvl>
    <w:lvl w:ilvl="6" w:tplc="0409000F" w:tentative="1">
      <w:start w:val="1"/>
      <w:numFmt w:val="decimal"/>
      <w:lvlText w:val="%7."/>
      <w:lvlJc w:val="left"/>
      <w:pPr>
        <w:ind w:left="5530" w:hanging="360"/>
      </w:pPr>
      <w:rPr>
        <w:rFonts w:cs="Times New Roman"/>
      </w:rPr>
    </w:lvl>
    <w:lvl w:ilvl="7" w:tplc="04090019" w:tentative="1">
      <w:start w:val="1"/>
      <w:numFmt w:val="lowerLetter"/>
      <w:lvlText w:val="%8."/>
      <w:lvlJc w:val="left"/>
      <w:pPr>
        <w:ind w:left="6250" w:hanging="360"/>
      </w:pPr>
      <w:rPr>
        <w:rFonts w:cs="Times New Roman"/>
      </w:rPr>
    </w:lvl>
    <w:lvl w:ilvl="8" w:tplc="0409001B" w:tentative="1">
      <w:start w:val="1"/>
      <w:numFmt w:val="lowerRoman"/>
      <w:lvlText w:val="%9."/>
      <w:lvlJc w:val="right"/>
      <w:pPr>
        <w:ind w:left="6970" w:hanging="180"/>
      </w:pPr>
      <w:rPr>
        <w:rFonts w:cs="Times New Roman"/>
      </w:rPr>
    </w:lvl>
  </w:abstractNum>
  <w:abstractNum w:abstractNumId="29">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30">
    <w:nsid w:val="6FB829CB"/>
    <w:multiLevelType w:val="hybridMultilevel"/>
    <w:tmpl w:val="55A282AC"/>
    <w:lvl w:ilvl="0" w:tplc="F89AE9DE">
      <w:start w:val="1"/>
      <w:numFmt w:val="lowerLetter"/>
      <w:lvlText w:val="(%1)"/>
      <w:lvlJc w:val="left"/>
      <w:pPr>
        <w:ind w:left="1210" w:hanging="360"/>
      </w:pPr>
      <w:rPr>
        <w:rFonts w:cs="Times New Roman" w:hint="default"/>
        <w:b w:val="0"/>
        <w:i w:val="0"/>
      </w:rPr>
    </w:lvl>
    <w:lvl w:ilvl="1" w:tplc="04090019">
      <w:start w:val="1"/>
      <w:numFmt w:val="lowerLetter"/>
      <w:lvlText w:val="%2."/>
      <w:lvlJc w:val="left"/>
      <w:pPr>
        <w:ind w:left="1930" w:hanging="360"/>
      </w:pPr>
      <w:rPr>
        <w:rFonts w:cs="Times New Roman"/>
      </w:rPr>
    </w:lvl>
    <w:lvl w:ilvl="2" w:tplc="1BA4B11A">
      <w:start w:val="1"/>
      <w:numFmt w:val="decimal"/>
      <w:lvlText w:val="%3."/>
      <w:lvlJc w:val="left"/>
      <w:pPr>
        <w:ind w:left="3625" w:hanging="1155"/>
      </w:pPr>
      <w:rPr>
        <w:rFonts w:ascii="Times New Roman" w:hAnsi="Times New Roman" w:cs="Times New Roman" w:hint="default"/>
      </w:rPr>
    </w:lvl>
    <w:lvl w:ilvl="3" w:tplc="0409000F" w:tentative="1">
      <w:start w:val="1"/>
      <w:numFmt w:val="decimal"/>
      <w:lvlText w:val="%4."/>
      <w:lvlJc w:val="left"/>
      <w:pPr>
        <w:ind w:left="3370" w:hanging="360"/>
      </w:pPr>
      <w:rPr>
        <w:rFonts w:cs="Times New Roman"/>
      </w:rPr>
    </w:lvl>
    <w:lvl w:ilvl="4" w:tplc="04090019" w:tentative="1">
      <w:start w:val="1"/>
      <w:numFmt w:val="lowerLetter"/>
      <w:lvlText w:val="%5."/>
      <w:lvlJc w:val="left"/>
      <w:pPr>
        <w:ind w:left="4090" w:hanging="360"/>
      </w:pPr>
      <w:rPr>
        <w:rFonts w:cs="Times New Roman"/>
      </w:rPr>
    </w:lvl>
    <w:lvl w:ilvl="5" w:tplc="0409001B" w:tentative="1">
      <w:start w:val="1"/>
      <w:numFmt w:val="lowerRoman"/>
      <w:lvlText w:val="%6."/>
      <w:lvlJc w:val="right"/>
      <w:pPr>
        <w:ind w:left="4810" w:hanging="180"/>
      </w:pPr>
      <w:rPr>
        <w:rFonts w:cs="Times New Roman"/>
      </w:rPr>
    </w:lvl>
    <w:lvl w:ilvl="6" w:tplc="0409000F" w:tentative="1">
      <w:start w:val="1"/>
      <w:numFmt w:val="decimal"/>
      <w:lvlText w:val="%7."/>
      <w:lvlJc w:val="left"/>
      <w:pPr>
        <w:ind w:left="5530" w:hanging="360"/>
      </w:pPr>
      <w:rPr>
        <w:rFonts w:cs="Times New Roman"/>
      </w:rPr>
    </w:lvl>
    <w:lvl w:ilvl="7" w:tplc="04090019" w:tentative="1">
      <w:start w:val="1"/>
      <w:numFmt w:val="lowerLetter"/>
      <w:lvlText w:val="%8."/>
      <w:lvlJc w:val="left"/>
      <w:pPr>
        <w:ind w:left="6250" w:hanging="360"/>
      </w:pPr>
      <w:rPr>
        <w:rFonts w:cs="Times New Roman"/>
      </w:rPr>
    </w:lvl>
    <w:lvl w:ilvl="8" w:tplc="0409001B" w:tentative="1">
      <w:start w:val="1"/>
      <w:numFmt w:val="lowerRoman"/>
      <w:lvlText w:val="%9."/>
      <w:lvlJc w:val="right"/>
      <w:pPr>
        <w:ind w:left="6970" w:hanging="180"/>
      </w:pPr>
      <w:rPr>
        <w:rFonts w:cs="Times New Roman"/>
      </w:rPr>
    </w:lvl>
  </w:abstractNum>
  <w:abstractNum w:abstractNumId="31">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abstractNum w:abstractNumId="32">
    <w:nsid w:val="73A84B16"/>
    <w:multiLevelType w:val="hybridMultilevel"/>
    <w:tmpl w:val="7CA65C72"/>
    <w:lvl w:ilvl="0" w:tplc="F89AE9DE">
      <w:start w:val="1"/>
      <w:numFmt w:val="lowerLetter"/>
      <w:lvlText w:val="(%1)"/>
      <w:lvlJc w:val="left"/>
      <w:pPr>
        <w:ind w:left="1210" w:hanging="360"/>
      </w:pPr>
      <w:rPr>
        <w:rFonts w:cs="Times New Roman" w:hint="default"/>
        <w:b w:val="0"/>
        <w:i w:val="0"/>
      </w:rPr>
    </w:lvl>
    <w:lvl w:ilvl="1" w:tplc="04090019" w:tentative="1">
      <w:start w:val="1"/>
      <w:numFmt w:val="lowerLetter"/>
      <w:lvlText w:val="%2."/>
      <w:lvlJc w:val="left"/>
      <w:pPr>
        <w:ind w:left="1930" w:hanging="360"/>
      </w:pPr>
      <w:rPr>
        <w:rFonts w:cs="Times New Roman"/>
      </w:rPr>
    </w:lvl>
    <w:lvl w:ilvl="2" w:tplc="0409001B" w:tentative="1">
      <w:start w:val="1"/>
      <w:numFmt w:val="lowerRoman"/>
      <w:lvlText w:val="%3."/>
      <w:lvlJc w:val="right"/>
      <w:pPr>
        <w:ind w:left="2650" w:hanging="180"/>
      </w:pPr>
      <w:rPr>
        <w:rFonts w:cs="Times New Roman"/>
      </w:rPr>
    </w:lvl>
    <w:lvl w:ilvl="3" w:tplc="0409000F" w:tentative="1">
      <w:start w:val="1"/>
      <w:numFmt w:val="decimal"/>
      <w:lvlText w:val="%4."/>
      <w:lvlJc w:val="left"/>
      <w:pPr>
        <w:ind w:left="3370" w:hanging="360"/>
      </w:pPr>
      <w:rPr>
        <w:rFonts w:cs="Times New Roman"/>
      </w:rPr>
    </w:lvl>
    <w:lvl w:ilvl="4" w:tplc="04090019" w:tentative="1">
      <w:start w:val="1"/>
      <w:numFmt w:val="lowerLetter"/>
      <w:lvlText w:val="%5."/>
      <w:lvlJc w:val="left"/>
      <w:pPr>
        <w:ind w:left="4090" w:hanging="360"/>
      </w:pPr>
      <w:rPr>
        <w:rFonts w:cs="Times New Roman"/>
      </w:rPr>
    </w:lvl>
    <w:lvl w:ilvl="5" w:tplc="0409001B" w:tentative="1">
      <w:start w:val="1"/>
      <w:numFmt w:val="lowerRoman"/>
      <w:lvlText w:val="%6."/>
      <w:lvlJc w:val="right"/>
      <w:pPr>
        <w:ind w:left="4810" w:hanging="180"/>
      </w:pPr>
      <w:rPr>
        <w:rFonts w:cs="Times New Roman"/>
      </w:rPr>
    </w:lvl>
    <w:lvl w:ilvl="6" w:tplc="0409000F" w:tentative="1">
      <w:start w:val="1"/>
      <w:numFmt w:val="decimal"/>
      <w:lvlText w:val="%7."/>
      <w:lvlJc w:val="left"/>
      <w:pPr>
        <w:ind w:left="5530" w:hanging="360"/>
      </w:pPr>
      <w:rPr>
        <w:rFonts w:cs="Times New Roman"/>
      </w:rPr>
    </w:lvl>
    <w:lvl w:ilvl="7" w:tplc="04090019" w:tentative="1">
      <w:start w:val="1"/>
      <w:numFmt w:val="lowerLetter"/>
      <w:lvlText w:val="%8."/>
      <w:lvlJc w:val="left"/>
      <w:pPr>
        <w:ind w:left="6250" w:hanging="360"/>
      </w:pPr>
      <w:rPr>
        <w:rFonts w:cs="Times New Roman"/>
      </w:rPr>
    </w:lvl>
    <w:lvl w:ilvl="8" w:tplc="0409001B" w:tentative="1">
      <w:start w:val="1"/>
      <w:numFmt w:val="lowerRoman"/>
      <w:lvlText w:val="%9."/>
      <w:lvlJc w:val="right"/>
      <w:pPr>
        <w:ind w:left="6970" w:hanging="180"/>
      </w:pPr>
      <w:rPr>
        <w:rFonts w:cs="Times New Roman"/>
      </w:rPr>
    </w:lvl>
  </w:abstractNum>
  <w:abstractNum w:abstractNumId="33">
    <w:nsid w:val="76E15A21"/>
    <w:multiLevelType w:val="hybridMultilevel"/>
    <w:tmpl w:val="C11E4270"/>
    <w:lvl w:ilvl="0" w:tplc="39F61E8E">
      <w:start w:val="1"/>
      <w:numFmt w:val="lowerLetter"/>
      <w:lvlText w:val="(%1)"/>
      <w:lvlJc w:val="left"/>
      <w:pPr>
        <w:ind w:left="1210" w:hanging="360"/>
      </w:pPr>
      <w:rPr>
        <w:rFonts w:ascii="Times New Roman" w:eastAsia="Times New Roman" w:hAnsi="Times New Roman" w:cs="Times New Roman" w:hint="default"/>
        <w:b w:val="0"/>
        <w:i w:val="0"/>
      </w:rPr>
    </w:lvl>
    <w:lvl w:ilvl="1" w:tplc="04090019" w:tentative="1">
      <w:start w:val="1"/>
      <w:numFmt w:val="lowerLetter"/>
      <w:lvlText w:val="%2."/>
      <w:lvlJc w:val="left"/>
      <w:pPr>
        <w:ind w:left="1930" w:hanging="360"/>
      </w:pPr>
      <w:rPr>
        <w:rFonts w:cs="Times New Roman"/>
      </w:rPr>
    </w:lvl>
    <w:lvl w:ilvl="2" w:tplc="0409001B" w:tentative="1">
      <w:start w:val="1"/>
      <w:numFmt w:val="lowerRoman"/>
      <w:lvlText w:val="%3."/>
      <w:lvlJc w:val="right"/>
      <w:pPr>
        <w:ind w:left="2650" w:hanging="180"/>
      </w:pPr>
      <w:rPr>
        <w:rFonts w:cs="Times New Roman"/>
      </w:rPr>
    </w:lvl>
    <w:lvl w:ilvl="3" w:tplc="0409000F" w:tentative="1">
      <w:start w:val="1"/>
      <w:numFmt w:val="decimal"/>
      <w:lvlText w:val="%4."/>
      <w:lvlJc w:val="left"/>
      <w:pPr>
        <w:ind w:left="3370" w:hanging="360"/>
      </w:pPr>
      <w:rPr>
        <w:rFonts w:cs="Times New Roman"/>
      </w:rPr>
    </w:lvl>
    <w:lvl w:ilvl="4" w:tplc="04090019" w:tentative="1">
      <w:start w:val="1"/>
      <w:numFmt w:val="lowerLetter"/>
      <w:lvlText w:val="%5."/>
      <w:lvlJc w:val="left"/>
      <w:pPr>
        <w:ind w:left="4090" w:hanging="360"/>
      </w:pPr>
      <w:rPr>
        <w:rFonts w:cs="Times New Roman"/>
      </w:rPr>
    </w:lvl>
    <w:lvl w:ilvl="5" w:tplc="0409001B" w:tentative="1">
      <w:start w:val="1"/>
      <w:numFmt w:val="lowerRoman"/>
      <w:lvlText w:val="%6."/>
      <w:lvlJc w:val="right"/>
      <w:pPr>
        <w:ind w:left="4810" w:hanging="180"/>
      </w:pPr>
      <w:rPr>
        <w:rFonts w:cs="Times New Roman"/>
      </w:rPr>
    </w:lvl>
    <w:lvl w:ilvl="6" w:tplc="0409000F" w:tentative="1">
      <w:start w:val="1"/>
      <w:numFmt w:val="decimal"/>
      <w:lvlText w:val="%7."/>
      <w:lvlJc w:val="left"/>
      <w:pPr>
        <w:ind w:left="5530" w:hanging="360"/>
      </w:pPr>
      <w:rPr>
        <w:rFonts w:cs="Times New Roman"/>
      </w:rPr>
    </w:lvl>
    <w:lvl w:ilvl="7" w:tplc="04090019" w:tentative="1">
      <w:start w:val="1"/>
      <w:numFmt w:val="lowerLetter"/>
      <w:lvlText w:val="%8."/>
      <w:lvlJc w:val="left"/>
      <w:pPr>
        <w:ind w:left="6250" w:hanging="360"/>
      </w:pPr>
      <w:rPr>
        <w:rFonts w:cs="Times New Roman"/>
      </w:rPr>
    </w:lvl>
    <w:lvl w:ilvl="8" w:tplc="0409001B" w:tentative="1">
      <w:start w:val="1"/>
      <w:numFmt w:val="lowerRoman"/>
      <w:lvlText w:val="%9."/>
      <w:lvlJc w:val="right"/>
      <w:pPr>
        <w:ind w:left="6970" w:hanging="180"/>
      </w:pPr>
      <w:rPr>
        <w:rFonts w:cs="Times New Roman"/>
      </w:rPr>
    </w:lvl>
  </w:abstractNum>
  <w:num w:numId="1">
    <w:abstractNumId w:val="15"/>
  </w:num>
  <w:num w:numId="2">
    <w:abstractNumId w:val="14"/>
  </w:num>
  <w:num w:numId="3">
    <w:abstractNumId w:val="11"/>
  </w:num>
  <w:num w:numId="4">
    <w:abstractNumId w:val="17"/>
  </w:num>
  <w:num w:numId="5">
    <w:abstractNumId w:val="18"/>
  </w:num>
  <w:num w:numId="6">
    <w:abstractNumId w:val="20"/>
  </w:num>
  <w:num w:numId="7">
    <w:abstractNumId w:val="29"/>
  </w:num>
  <w:num w:numId="8">
    <w:abstractNumId w:val="19"/>
  </w:num>
  <w:num w:numId="9">
    <w:abstractNumId w:val="5"/>
  </w:num>
  <w:num w:numId="10">
    <w:abstractNumId w:val="11"/>
  </w:num>
  <w:num w:numId="11">
    <w:abstractNumId w:val="27"/>
  </w:num>
  <w:num w:numId="12">
    <w:abstractNumId w:val="20"/>
  </w:num>
  <w:num w:numId="13">
    <w:abstractNumId w:val="24"/>
  </w:num>
  <w:num w:numId="14">
    <w:abstractNumId w:val="14"/>
  </w:num>
  <w:num w:numId="15">
    <w:abstractNumId w:val="20"/>
  </w:num>
  <w:num w:numId="16">
    <w:abstractNumId w:val="18"/>
  </w:num>
  <w:num w:numId="17">
    <w:abstractNumId w:val="15"/>
  </w:num>
  <w:num w:numId="18">
    <w:abstractNumId w:val="31"/>
  </w:num>
  <w:num w:numId="19">
    <w:abstractNumId w:val="16"/>
  </w:num>
  <w:num w:numId="20">
    <w:abstractNumId w:val="20"/>
  </w:num>
  <w:num w:numId="21">
    <w:abstractNumId w:val="20"/>
  </w:num>
  <w:num w:numId="22">
    <w:abstractNumId w:val="20"/>
  </w:num>
  <w:num w:numId="23">
    <w:abstractNumId w:val="20"/>
  </w:num>
  <w:num w:numId="24">
    <w:abstractNumId w:val="3"/>
  </w:num>
  <w:num w:numId="25">
    <w:abstractNumId w:val="6"/>
  </w:num>
  <w:num w:numId="26">
    <w:abstractNumId w:val="13"/>
  </w:num>
  <w:num w:numId="27">
    <w:abstractNumId w:val="8"/>
  </w:num>
  <w:num w:numId="28">
    <w:abstractNumId w:val="23"/>
  </w:num>
  <w:num w:numId="29">
    <w:abstractNumId w:val="20"/>
  </w:num>
  <w:num w:numId="30">
    <w:abstractNumId w:val="20"/>
  </w:num>
  <w:num w:numId="31">
    <w:abstractNumId w:val="10"/>
  </w:num>
  <w:num w:numId="32">
    <w:abstractNumId w:val="9"/>
  </w:num>
  <w:num w:numId="33">
    <w:abstractNumId w:val="21"/>
  </w:num>
  <w:num w:numId="34">
    <w:abstractNumId w:val="25"/>
  </w:num>
  <w:num w:numId="35">
    <w:abstractNumId w:val="1"/>
  </w:num>
  <w:num w:numId="36">
    <w:abstractNumId w:val="33"/>
  </w:num>
  <w:num w:numId="37">
    <w:abstractNumId w:val="7"/>
  </w:num>
  <w:num w:numId="38">
    <w:abstractNumId w:val="32"/>
  </w:num>
  <w:num w:numId="39">
    <w:abstractNumId w:val="26"/>
  </w:num>
  <w:num w:numId="40">
    <w:abstractNumId w:val="28"/>
  </w:num>
  <w:num w:numId="41">
    <w:abstractNumId w:val="22"/>
  </w:num>
  <w:num w:numId="42">
    <w:abstractNumId w:val="30"/>
  </w:num>
  <w:num w:numId="43">
    <w:abstractNumId w:val="2"/>
  </w:num>
  <w:num w:numId="44">
    <w:abstractNumId w:val="4"/>
  </w:num>
  <w:num w:numId="45">
    <w:abstractNumId w:val="12"/>
  </w:num>
  <w:num w:numId="4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701"/>
  <w:defaultTabStop w:val="720"/>
  <w:doNotHyphenateCaps/>
  <w:evenAndOddHeaders/>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268A"/>
    <w:rsid w:val="00007979"/>
    <w:rsid w:val="00021DE4"/>
    <w:rsid w:val="000222E7"/>
    <w:rsid w:val="00041778"/>
    <w:rsid w:val="00086380"/>
    <w:rsid w:val="00095AE9"/>
    <w:rsid w:val="000A5388"/>
    <w:rsid w:val="000B099A"/>
    <w:rsid w:val="000B1274"/>
    <w:rsid w:val="000B3FF2"/>
    <w:rsid w:val="000B42E0"/>
    <w:rsid w:val="000B6C07"/>
    <w:rsid w:val="000E7DCD"/>
    <w:rsid w:val="00125EC7"/>
    <w:rsid w:val="001350D8"/>
    <w:rsid w:val="0015742D"/>
    <w:rsid w:val="00164EE8"/>
    <w:rsid w:val="001654F8"/>
    <w:rsid w:val="0017521F"/>
    <w:rsid w:val="0017652F"/>
    <w:rsid w:val="00192A09"/>
    <w:rsid w:val="001A18D7"/>
    <w:rsid w:val="001A21F6"/>
    <w:rsid w:val="001A4969"/>
    <w:rsid w:val="001B3E7E"/>
    <w:rsid w:val="001D07CF"/>
    <w:rsid w:val="001D28F7"/>
    <w:rsid w:val="001E7F85"/>
    <w:rsid w:val="001F0855"/>
    <w:rsid w:val="001F268A"/>
    <w:rsid w:val="001F65C2"/>
    <w:rsid w:val="00205714"/>
    <w:rsid w:val="00220462"/>
    <w:rsid w:val="002259AD"/>
    <w:rsid w:val="00243D11"/>
    <w:rsid w:val="00244729"/>
    <w:rsid w:val="002473F7"/>
    <w:rsid w:val="0029567E"/>
    <w:rsid w:val="002A3359"/>
    <w:rsid w:val="002B47A7"/>
    <w:rsid w:val="002B4AAD"/>
    <w:rsid w:val="00300CB2"/>
    <w:rsid w:val="00310F24"/>
    <w:rsid w:val="003150CB"/>
    <w:rsid w:val="00323D20"/>
    <w:rsid w:val="0033280A"/>
    <w:rsid w:val="00364527"/>
    <w:rsid w:val="00367DF4"/>
    <w:rsid w:val="00382AFE"/>
    <w:rsid w:val="003A1F86"/>
    <w:rsid w:val="003A5430"/>
    <w:rsid w:val="003A5737"/>
    <w:rsid w:val="003A57C0"/>
    <w:rsid w:val="003C7039"/>
    <w:rsid w:val="003E6ED3"/>
    <w:rsid w:val="003E7CFC"/>
    <w:rsid w:val="00402AB8"/>
    <w:rsid w:val="00403279"/>
    <w:rsid w:val="004148C8"/>
    <w:rsid w:val="00420B26"/>
    <w:rsid w:val="00425BE3"/>
    <w:rsid w:val="00431412"/>
    <w:rsid w:val="00441B4A"/>
    <w:rsid w:val="00465F9E"/>
    <w:rsid w:val="00474EF8"/>
    <w:rsid w:val="004766D6"/>
    <w:rsid w:val="00497336"/>
    <w:rsid w:val="004C7C53"/>
    <w:rsid w:val="004D69AD"/>
    <w:rsid w:val="004E2ACA"/>
    <w:rsid w:val="00502FC2"/>
    <w:rsid w:val="005110C2"/>
    <w:rsid w:val="005140A7"/>
    <w:rsid w:val="005160B9"/>
    <w:rsid w:val="00525D59"/>
    <w:rsid w:val="00526DA7"/>
    <w:rsid w:val="005465C3"/>
    <w:rsid w:val="00595CF6"/>
    <w:rsid w:val="005B1D16"/>
    <w:rsid w:val="005B2921"/>
    <w:rsid w:val="005C2BD4"/>
    <w:rsid w:val="005D02E8"/>
    <w:rsid w:val="005E4552"/>
    <w:rsid w:val="005E6475"/>
    <w:rsid w:val="0060128E"/>
    <w:rsid w:val="0061237D"/>
    <w:rsid w:val="006154D2"/>
    <w:rsid w:val="00620B78"/>
    <w:rsid w:val="006356BF"/>
    <w:rsid w:val="006531B4"/>
    <w:rsid w:val="00660A89"/>
    <w:rsid w:val="00666863"/>
    <w:rsid w:val="00683933"/>
    <w:rsid w:val="00685EBE"/>
    <w:rsid w:val="006931DD"/>
    <w:rsid w:val="006953AF"/>
    <w:rsid w:val="006D56E9"/>
    <w:rsid w:val="006D67C0"/>
    <w:rsid w:val="006E74FD"/>
    <w:rsid w:val="006F0B8D"/>
    <w:rsid w:val="00711439"/>
    <w:rsid w:val="00720748"/>
    <w:rsid w:val="00771266"/>
    <w:rsid w:val="00785B1E"/>
    <w:rsid w:val="0079191A"/>
    <w:rsid w:val="007A23E9"/>
    <w:rsid w:val="007A4677"/>
    <w:rsid w:val="007B7BA6"/>
    <w:rsid w:val="008027F1"/>
    <w:rsid w:val="00807D12"/>
    <w:rsid w:val="00853EB8"/>
    <w:rsid w:val="0085448F"/>
    <w:rsid w:val="008612E7"/>
    <w:rsid w:val="008645B4"/>
    <w:rsid w:val="00877C90"/>
    <w:rsid w:val="00887F31"/>
    <w:rsid w:val="008B13B1"/>
    <w:rsid w:val="008B1503"/>
    <w:rsid w:val="008C12DE"/>
    <w:rsid w:val="008C37AA"/>
    <w:rsid w:val="008D73DD"/>
    <w:rsid w:val="008E4E08"/>
    <w:rsid w:val="008F10B1"/>
    <w:rsid w:val="008F4CDA"/>
    <w:rsid w:val="008F7852"/>
    <w:rsid w:val="00924E62"/>
    <w:rsid w:val="009445C6"/>
    <w:rsid w:val="00953C22"/>
    <w:rsid w:val="00955DEE"/>
    <w:rsid w:val="00962E2B"/>
    <w:rsid w:val="009658E0"/>
    <w:rsid w:val="0098360A"/>
    <w:rsid w:val="009B4F99"/>
    <w:rsid w:val="009B7177"/>
    <w:rsid w:val="009B7651"/>
    <w:rsid w:val="009C6327"/>
    <w:rsid w:val="009D2834"/>
    <w:rsid w:val="009D488C"/>
    <w:rsid w:val="009E7D17"/>
    <w:rsid w:val="009F5EF2"/>
    <w:rsid w:val="00A03A82"/>
    <w:rsid w:val="00A05940"/>
    <w:rsid w:val="00A06782"/>
    <w:rsid w:val="00A17F8C"/>
    <w:rsid w:val="00A203C6"/>
    <w:rsid w:val="00A26702"/>
    <w:rsid w:val="00A31CA6"/>
    <w:rsid w:val="00A33BBC"/>
    <w:rsid w:val="00A43CB6"/>
    <w:rsid w:val="00A44462"/>
    <w:rsid w:val="00A57DDC"/>
    <w:rsid w:val="00A625C1"/>
    <w:rsid w:val="00A647A8"/>
    <w:rsid w:val="00A86AC1"/>
    <w:rsid w:val="00A93791"/>
    <w:rsid w:val="00AA4091"/>
    <w:rsid w:val="00AA694D"/>
    <w:rsid w:val="00AC1EA5"/>
    <w:rsid w:val="00AC38C8"/>
    <w:rsid w:val="00AC4DC5"/>
    <w:rsid w:val="00AD53FC"/>
    <w:rsid w:val="00AE7242"/>
    <w:rsid w:val="00AF2F1D"/>
    <w:rsid w:val="00B0387C"/>
    <w:rsid w:val="00B042A2"/>
    <w:rsid w:val="00B22565"/>
    <w:rsid w:val="00B2334E"/>
    <w:rsid w:val="00B54A1A"/>
    <w:rsid w:val="00B6332A"/>
    <w:rsid w:val="00B66E17"/>
    <w:rsid w:val="00B90928"/>
    <w:rsid w:val="00BC75BC"/>
    <w:rsid w:val="00BE7130"/>
    <w:rsid w:val="00C0139A"/>
    <w:rsid w:val="00C12149"/>
    <w:rsid w:val="00C161EB"/>
    <w:rsid w:val="00C26966"/>
    <w:rsid w:val="00C66174"/>
    <w:rsid w:val="00C7690F"/>
    <w:rsid w:val="00C907DD"/>
    <w:rsid w:val="00C9504B"/>
    <w:rsid w:val="00C96D3B"/>
    <w:rsid w:val="00CA1A7A"/>
    <w:rsid w:val="00CA5D1B"/>
    <w:rsid w:val="00CC2277"/>
    <w:rsid w:val="00CC32B7"/>
    <w:rsid w:val="00CC5CE1"/>
    <w:rsid w:val="00CC7B35"/>
    <w:rsid w:val="00CD3ED2"/>
    <w:rsid w:val="00CE647B"/>
    <w:rsid w:val="00CF2059"/>
    <w:rsid w:val="00D132C7"/>
    <w:rsid w:val="00D20922"/>
    <w:rsid w:val="00D44135"/>
    <w:rsid w:val="00D646C1"/>
    <w:rsid w:val="00D82E38"/>
    <w:rsid w:val="00D86CC8"/>
    <w:rsid w:val="00D90A08"/>
    <w:rsid w:val="00D90F93"/>
    <w:rsid w:val="00DB68D5"/>
    <w:rsid w:val="00DC71DE"/>
    <w:rsid w:val="00DF436A"/>
    <w:rsid w:val="00DF7EF5"/>
    <w:rsid w:val="00E11D51"/>
    <w:rsid w:val="00E13B5C"/>
    <w:rsid w:val="00E200CE"/>
    <w:rsid w:val="00E27CE5"/>
    <w:rsid w:val="00E33CA1"/>
    <w:rsid w:val="00E402B9"/>
    <w:rsid w:val="00E43F23"/>
    <w:rsid w:val="00E61E45"/>
    <w:rsid w:val="00E650A4"/>
    <w:rsid w:val="00E7190C"/>
    <w:rsid w:val="00E75395"/>
    <w:rsid w:val="00EA78DB"/>
    <w:rsid w:val="00EC092F"/>
    <w:rsid w:val="00EE4356"/>
    <w:rsid w:val="00EF36C9"/>
    <w:rsid w:val="00F2259B"/>
    <w:rsid w:val="00F27144"/>
    <w:rsid w:val="00F37400"/>
    <w:rsid w:val="00F43CE7"/>
    <w:rsid w:val="00F44598"/>
    <w:rsid w:val="00F5045B"/>
    <w:rsid w:val="00F808CC"/>
    <w:rsid w:val="00F842C0"/>
    <w:rsid w:val="00F90E0F"/>
    <w:rsid w:val="00F92321"/>
    <w:rsid w:val="00FA5C5B"/>
    <w:rsid w:val="00FB5A26"/>
    <w:rsid w:val="00FC554F"/>
    <w:rsid w:val="00FC6F4C"/>
    <w:rsid w:val="00FE46DE"/>
    <w:rsid w:val="00FF196E"/>
  </w:rsids>
  <m:mathPr>
    <m:mathFont m:val="Cambria Math"/>
    <m:brkBin m:val="before"/>
    <m:brkBinSub m:val="--"/>
    <m:smallFrac m:val="off"/>
    <m:dispDef/>
    <m:lMargin m:val="0"/>
    <m:rMargin m:val="0"/>
    <m:defJc m:val="centerGroup"/>
    <m:wrapIndent m:val="1440"/>
    <m:intLim m:val="subSup"/>
    <m:naryLim m:val="undOvr"/>
  </m:mathPr>
  <w:uiCompat97To2003/>
  <w:attachedSchema w:val="http://schemas.microsoft.com/office/word/2003/wordmlhttp://schemas.microsoft.com/office/word/2003/wordmlurn:schemas-microsoft-com:office:smarttags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sz w:val="22"/>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0139A"/>
    <w:pPr>
      <w:jc w:val="both"/>
    </w:pPr>
    <w:rPr>
      <w:rFonts w:cs="Angsana New"/>
      <w:szCs w:val="24"/>
      <w:lang w:val="en-GB"/>
    </w:rPr>
  </w:style>
  <w:style w:type="paragraph" w:styleId="Heading1">
    <w:name w:val="heading 1"/>
    <w:basedOn w:val="Normal"/>
    <w:next w:val="Heading2"/>
    <w:link w:val="Heading1Char"/>
    <w:uiPriority w:val="99"/>
    <w:qFormat/>
    <w:rsid w:val="00C0139A"/>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C0139A"/>
    <w:pPr>
      <w:keepNext/>
      <w:tabs>
        <w:tab w:val="left" w:pos="720"/>
      </w:tabs>
      <w:spacing w:before="120" w:after="120"/>
      <w:jc w:val="center"/>
      <w:outlineLvl w:val="1"/>
    </w:pPr>
    <w:rPr>
      <w:b/>
      <w:bCs/>
      <w:i/>
      <w:iCs/>
    </w:rPr>
  </w:style>
  <w:style w:type="paragraph" w:styleId="Heading3">
    <w:name w:val="heading 3"/>
    <w:basedOn w:val="Normal"/>
    <w:next w:val="Normal"/>
    <w:link w:val="Heading3Char"/>
    <w:uiPriority w:val="99"/>
    <w:qFormat/>
    <w:rsid w:val="00C0139A"/>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C0139A"/>
    <w:pPr>
      <w:keepNext/>
      <w:spacing w:before="120" w:after="120"/>
      <w:outlineLvl w:val="3"/>
    </w:pPr>
    <w:rPr>
      <w:rFonts w:cs="Arial"/>
      <w:b/>
      <w:bCs/>
      <w:i/>
      <w:iCs/>
    </w:rPr>
  </w:style>
  <w:style w:type="paragraph" w:styleId="Heading5">
    <w:name w:val="heading 5"/>
    <w:aliases w:val="Heading 5 - GTI"/>
    <w:basedOn w:val="Normal"/>
    <w:next w:val="Normal"/>
    <w:link w:val="Heading5Char"/>
    <w:uiPriority w:val="99"/>
    <w:qFormat/>
    <w:rsid w:val="00C0139A"/>
    <w:pPr>
      <w:keepNext/>
      <w:numPr>
        <w:ilvl w:val="4"/>
        <w:numId w:val="10"/>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C0139A"/>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C0139A"/>
    <w:pPr>
      <w:keepNext/>
      <w:jc w:val="right"/>
      <w:outlineLvl w:val="6"/>
    </w:pPr>
    <w:rPr>
      <w:rFonts w:ascii="Univers" w:hAnsi="Univers"/>
      <w:b/>
      <w:sz w:val="28"/>
    </w:rPr>
  </w:style>
  <w:style w:type="paragraph" w:styleId="Heading8">
    <w:name w:val="heading 8"/>
    <w:basedOn w:val="Normal"/>
    <w:next w:val="Normal"/>
    <w:link w:val="Heading8Char"/>
    <w:uiPriority w:val="99"/>
    <w:qFormat/>
    <w:rsid w:val="00C0139A"/>
    <w:pPr>
      <w:keepNext/>
      <w:jc w:val="right"/>
      <w:outlineLvl w:val="7"/>
    </w:pPr>
    <w:rPr>
      <w:rFonts w:ascii="Univers" w:hAnsi="Univers"/>
      <w:b/>
      <w:sz w:val="32"/>
    </w:rPr>
  </w:style>
  <w:style w:type="paragraph" w:styleId="Heading9">
    <w:name w:val="heading 9"/>
    <w:basedOn w:val="Normal"/>
    <w:next w:val="Normal"/>
    <w:link w:val="Heading9Char"/>
    <w:uiPriority w:val="99"/>
    <w:qFormat/>
    <w:rsid w:val="00C0139A"/>
    <w:pPr>
      <w:keepNext/>
      <w:spacing w:before="100" w:beforeAutospacing="1" w:after="120"/>
      <w:outlineLvl w:val="8"/>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E2ACA"/>
    <w:rPr>
      <w:rFonts w:ascii="Cambria" w:eastAsia="宋体"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4E2ACA"/>
    <w:rPr>
      <w:rFonts w:ascii="Cambria" w:eastAsia="宋体"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4E2ACA"/>
    <w:rPr>
      <w:rFonts w:ascii="Cambria" w:eastAsia="宋体" w:hAnsi="Cambria" w:cs="Times New Roman"/>
      <w:b/>
      <w:bCs/>
      <w:sz w:val="26"/>
      <w:szCs w:val="26"/>
      <w:lang w:val="en-GB"/>
    </w:rPr>
  </w:style>
  <w:style w:type="character" w:customStyle="1" w:styleId="Heading4Char">
    <w:name w:val="Heading 4 Char"/>
    <w:basedOn w:val="DefaultParagraphFont"/>
    <w:link w:val="Heading4"/>
    <w:uiPriority w:val="99"/>
    <w:semiHidden/>
    <w:locked/>
    <w:rsid w:val="004E2ACA"/>
    <w:rPr>
      <w:rFonts w:ascii="Calibri" w:eastAsia="宋体" w:hAnsi="Calibri" w:cs="Times New Roman"/>
      <w:b/>
      <w:bCs/>
      <w:sz w:val="28"/>
      <w:szCs w:val="28"/>
      <w:lang w:val="en-GB"/>
    </w:rPr>
  </w:style>
  <w:style w:type="character" w:customStyle="1" w:styleId="Heading5Char">
    <w:name w:val="Heading 5 Char"/>
    <w:aliases w:val="Heading 5 - GTI Char"/>
    <w:basedOn w:val="DefaultParagraphFont"/>
    <w:link w:val="Heading5"/>
    <w:uiPriority w:val="99"/>
    <w:semiHidden/>
    <w:locked/>
    <w:rsid w:val="004E2ACA"/>
    <w:rPr>
      <w:rFonts w:ascii="Calibri" w:eastAsia="宋体"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4E2ACA"/>
    <w:rPr>
      <w:rFonts w:ascii="Calibri" w:eastAsia="宋体" w:hAnsi="Calibri" w:cs="Times New Roman"/>
      <w:b/>
      <w:bCs/>
      <w:lang w:val="en-GB"/>
    </w:rPr>
  </w:style>
  <w:style w:type="character" w:customStyle="1" w:styleId="Heading7Char">
    <w:name w:val="Heading 7 Char"/>
    <w:basedOn w:val="DefaultParagraphFont"/>
    <w:link w:val="Heading7"/>
    <w:uiPriority w:val="99"/>
    <w:semiHidden/>
    <w:locked/>
    <w:rsid w:val="004E2ACA"/>
    <w:rPr>
      <w:rFonts w:ascii="Calibri" w:eastAsia="宋体" w:hAnsi="Calibri" w:cs="Times New Roman"/>
      <w:sz w:val="24"/>
      <w:szCs w:val="24"/>
      <w:lang w:val="en-GB"/>
    </w:rPr>
  </w:style>
  <w:style w:type="character" w:customStyle="1" w:styleId="Heading8Char">
    <w:name w:val="Heading 8 Char"/>
    <w:basedOn w:val="DefaultParagraphFont"/>
    <w:link w:val="Heading8"/>
    <w:uiPriority w:val="99"/>
    <w:semiHidden/>
    <w:locked/>
    <w:rsid w:val="004E2ACA"/>
    <w:rPr>
      <w:rFonts w:ascii="Calibri" w:eastAsia="宋体" w:hAnsi="Calibri" w:cs="Times New Roman"/>
      <w:i/>
      <w:iCs/>
      <w:sz w:val="24"/>
      <w:szCs w:val="24"/>
      <w:lang w:val="en-GB"/>
    </w:rPr>
  </w:style>
  <w:style w:type="character" w:customStyle="1" w:styleId="Heading9Char">
    <w:name w:val="Heading 9 Char"/>
    <w:basedOn w:val="DefaultParagraphFont"/>
    <w:link w:val="Heading9"/>
    <w:uiPriority w:val="99"/>
    <w:semiHidden/>
    <w:locked/>
    <w:rsid w:val="004E2ACA"/>
    <w:rPr>
      <w:rFonts w:ascii="Cambria" w:eastAsia="宋体" w:hAnsi="Cambria" w:cs="Times New Roman"/>
      <w:lang w:val="en-GB"/>
    </w:rPr>
  </w:style>
  <w:style w:type="paragraph" w:styleId="BalloonText">
    <w:name w:val="Balloon Text"/>
    <w:basedOn w:val="Normal"/>
    <w:link w:val="BalloonTextChar"/>
    <w:uiPriority w:val="99"/>
    <w:semiHidden/>
    <w:rsid w:val="00C0139A"/>
    <w:rPr>
      <w:rFonts w:cs="Times New Roman"/>
      <w:sz w:val="16"/>
      <w:szCs w:val="16"/>
    </w:rPr>
  </w:style>
  <w:style w:type="character" w:customStyle="1" w:styleId="BalloonTextChar">
    <w:name w:val="Balloon Text Char"/>
    <w:basedOn w:val="DefaultParagraphFont"/>
    <w:link w:val="BalloonText"/>
    <w:uiPriority w:val="99"/>
    <w:semiHidden/>
    <w:locked/>
    <w:rsid w:val="004E2ACA"/>
    <w:rPr>
      <w:rFonts w:cs="Angsana New"/>
      <w:sz w:val="2"/>
      <w:lang w:val="en-GB" w:bidi="th-TH"/>
    </w:rPr>
  </w:style>
  <w:style w:type="character" w:customStyle="1" w:styleId="CharChar2">
    <w:name w:val="Char Char2"/>
    <w:uiPriority w:val="99"/>
    <w:semiHidden/>
    <w:locked/>
    <w:rsid w:val="00C0139A"/>
    <w:rPr>
      <w:rFonts w:ascii="Times New Roman" w:hAnsi="Times New Roman"/>
      <w:sz w:val="18"/>
    </w:rPr>
  </w:style>
  <w:style w:type="paragraph" w:styleId="BodyText">
    <w:name w:val="Body Text"/>
    <w:basedOn w:val="Normal"/>
    <w:link w:val="BodyTextChar"/>
    <w:uiPriority w:val="99"/>
    <w:rsid w:val="00C0139A"/>
    <w:pPr>
      <w:spacing w:before="120" w:after="120"/>
      <w:ind w:firstLine="720"/>
    </w:pPr>
    <w:rPr>
      <w:iCs/>
    </w:rPr>
  </w:style>
  <w:style w:type="character" w:customStyle="1" w:styleId="BodyTextChar">
    <w:name w:val="Body Text Char"/>
    <w:basedOn w:val="DefaultParagraphFont"/>
    <w:link w:val="BodyText"/>
    <w:uiPriority w:val="99"/>
    <w:locked/>
    <w:rsid w:val="00C0139A"/>
    <w:rPr>
      <w:rFonts w:cs="Times New Roman"/>
      <w:sz w:val="24"/>
      <w:lang w:val="en-GB"/>
    </w:rPr>
  </w:style>
  <w:style w:type="paragraph" w:styleId="Footer">
    <w:name w:val="footer"/>
    <w:basedOn w:val="Normal"/>
    <w:link w:val="FooterChar"/>
    <w:uiPriority w:val="99"/>
    <w:rsid w:val="00C0139A"/>
    <w:pPr>
      <w:tabs>
        <w:tab w:val="center" w:pos="4320"/>
        <w:tab w:val="right" w:pos="8640"/>
      </w:tabs>
      <w:ind w:firstLine="720"/>
      <w:jc w:val="right"/>
    </w:pPr>
  </w:style>
  <w:style w:type="character" w:customStyle="1" w:styleId="FooterChar">
    <w:name w:val="Footer Char"/>
    <w:basedOn w:val="DefaultParagraphFont"/>
    <w:link w:val="Footer"/>
    <w:uiPriority w:val="99"/>
    <w:semiHidden/>
    <w:locked/>
    <w:rsid w:val="004E2ACA"/>
    <w:rPr>
      <w:rFonts w:cs="Angsana New"/>
      <w:sz w:val="24"/>
      <w:szCs w:val="24"/>
      <w:lang w:val="en-GB" w:bidi="th-TH"/>
    </w:rPr>
  </w:style>
  <w:style w:type="paragraph" w:customStyle="1" w:styleId="Para1">
    <w:name w:val="Para1"/>
    <w:basedOn w:val="Normal"/>
    <w:uiPriority w:val="99"/>
    <w:rsid w:val="00C0139A"/>
    <w:pPr>
      <w:numPr>
        <w:numId w:val="15"/>
      </w:numPr>
      <w:spacing w:after="120"/>
    </w:pPr>
    <w:rPr>
      <w:szCs w:val="18"/>
    </w:rPr>
  </w:style>
  <w:style w:type="paragraph" w:customStyle="1" w:styleId="Para20">
    <w:name w:val="Para2"/>
    <w:basedOn w:val="Para1"/>
    <w:uiPriority w:val="99"/>
    <w:rsid w:val="00C0139A"/>
    <w:pPr>
      <w:numPr>
        <w:numId w:val="0"/>
      </w:numPr>
      <w:autoSpaceDE w:val="0"/>
      <w:autoSpaceDN w:val="0"/>
    </w:pPr>
  </w:style>
  <w:style w:type="paragraph" w:customStyle="1" w:styleId="Para3">
    <w:name w:val="Para3"/>
    <w:basedOn w:val="Normal"/>
    <w:uiPriority w:val="99"/>
    <w:rsid w:val="00C0139A"/>
    <w:pPr>
      <w:numPr>
        <w:ilvl w:val="2"/>
        <w:numId w:val="15"/>
      </w:numPr>
      <w:tabs>
        <w:tab w:val="left" w:pos="1980"/>
      </w:tabs>
      <w:spacing w:before="80" w:after="80"/>
    </w:pPr>
    <w:rPr>
      <w:szCs w:val="20"/>
    </w:rPr>
  </w:style>
  <w:style w:type="paragraph" w:styleId="FootnoteText">
    <w:name w:val="footnote text"/>
    <w:aliases w:val="fn,Geneva 9,Font: Geneva 9,Boston 10,f"/>
    <w:basedOn w:val="Normal"/>
    <w:link w:val="FootnoteTextChar"/>
    <w:uiPriority w:val="99"/>
    <w:rsid w:val="00C0139A"/>
    <w:pPr>
      <w:keepLines/>
      <w:spacing w:after="60"/>
      <w:ind w:firstLine="720"/>
    </w:pPr>
    <w:rPr>
      <w:rFonts w:cs="Times New Roman"/>
      <w:sz w:val="18"/>
    </w:rPr>
  </w:style>
  <w:style w:type="character" w:customStyle="1" w:styleId="FootnoteTextChar">
    <w:name w:val="Footnote Text Char"/>
    <w:aliases w:val="fn Char,Geneva 9 Char,Font: Geneva 9 Char,Boston 10 Char,f Char"/>
    <w:basedOn w:val="DefaultParagraphFont"/>
    <w:link w:val="FootnoteText"/>
    <w:uiPriority w:val="99"/>
    <w:locked/>
    <w:rsid w:val="005E4552"/>
    <w:rPr>
      <w:rFonts w:cs="Times New Roman"/>
      <w:sz w:val="24"/>
      <w:lang w:val="en-GB"/>
    </w:rPr>
  </w:style>
  <w:style w:type="character" w:styleId="FootnoteReference">
    <w:name w:val="footnote reference"/>
    <w:basedOn w:val="DefaultParagraphFont"/>
    <w:uiPriority w:val="99"/>
    <w:rsid w:val="00C0139A"/>
    <w:rPr>
      <w:rFonts w:cs="Times New Roman"/>
      <w:sz w:val="18"/>
      <w:u w:val="single"/>
      <w:vertAlign w:val="baseline"/>
    </w:rPr>
  </w:style>
  <w:style w:type="paragraph" w:customStyle="1" w:styleId="Cornernotation">
    <w:name w:val="Corner notation"/>
    <w:basedOn w:val="Normal"/>
    <w:uiPriority w:val="99"/>
    <w:rsid w:val="00C0139A"/>
    <w:pPr>
      <w:ind w:left="284" w:right="4398" w:hanging="284"/>
      <w:jc w:val="left"/>
    </w:pPr>
  </w:style>
  <w:style w:type="paragraph" w:customStyle="1" w:styleId="para2">
    <w:name w:val="para2"/>
    <w:basedOn w:val="Normal"/>
    <w:uiPriority w:val="99"/>
    <w:rsid w:val="00C0139A"/>
    <w:pPr>
      <w:numPr>
        <w:numId w:val="14"/>
      </w:numPr>
      <w:spacing w:before="120" w:after="120"/>
    </w:pPr>
    <w:rPr>
      <w:szCs w:val="20"/>
    </w:rPr>
  </w:style>
  <w:style w:type="paragraph" w:customStyle="1" w:styleId="Paranum">
    <w:name w:val="Paranum"/>
    <w:basedOn w:val="Para1"/>
    <w:uiPriority w:val="99"/>
    <w:rsid w:val="00C0139A"/>
    <w:pPr>
      <w:numPr>
        <w:numId w:val="17"/>
      </w:numPr>
      <w:spacing w:line="240" w:lineRule="exact"/>
    </w:pPr>
    <w:rPr>
      <w:szCs w:val="20"/>
      <w:lang w:val="en-US"/>
    </w:rPr>
  </w:style>
  <w:style w:type="paragraph" w:styleId="EndnoteText">
    <w:name w:val="endnote text"/>
    <w:basedOn w:val="Normal"/>
    <w:link w:val="EndnoteTextChar"/>
    <w:uiPriority w:val="99"/>
    <w:semiHidden/>
    <w:rsid w:val="00C0139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locked/>
    <w:rsid w:val="004E2ACA"/>
    <w:rPr>
      <w:rFonts w:cs="Angsana New"/>
      <w:sz w:val="20"/>
      <w:szCs w:val="20"/>
      <w:lang w:val="en-GB" w:bidi="th-TH"/>
    </w:rPr>
  </w:style>
  <w:style w:type="character" w:styleId="EndnoteReference">
    <w:name w:val="endnote reference"/>
    <w:basedOn w:val="DefaultParagraphFont"/>
    <w:uiPriority w:val="99"/>
    <w:semiHidden/>
    <w:locked/>
    <w:rsid w:val="00C0139A"/>
    <w:rPr>
      <w:rFonts w:cs="Times New Roman"/>
      <w:vertAlign w:val="superscript"/>
    </w:rPr>
  </w:style>
  <w:style w:type="character" w:styleId="PageNumber">
    <w:name w:val="page number"/>
    <w:basedOn w:val="DefaultParagraphFont"/>
    <w:uiPriority w:val="99"/>
    <w:rsid w:val="00C0139A"/>
    <w:rPr>
      <w:rFonts w:ascii="Times New Roman" w:hAnsi="Times New Roman" w:cs="Times New Roman"/>
      <w:sz w:val="22"/>
    </w:rPr>
  </w:style>
  <w:style w:type="paragraph" w:customStyle="1" w:styleId="para4">
    <w:name w:val="para4"/>
    <w:basedOn w:val="Normal"/>
    <w:uiPriority w:val="99"/>
    <w:rsid w:val="00C0139A"/>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uiPriority w:val="99"/>
    <w:rsid w:val="00C0139A"/>
    <w:pPr>
      <w:ind w:left="1843" w:right="996" w:hanging="567"/>
      <w:jc w:val="left"/>
    </w:pPr>
  </w:style>
  <w:style w:type="paragraph" w:customStyle="1" w:styleId="Heading2multiline">
    <w:name w:val="Heading 2 (multiline)"/>
    <w:basedOn w:val="Heading1"/>
    <w:next w:val="Normal"/>
    <w:uiPriority w:val="99"/>
    <w:rsid w:val="00C0139A"/>
    <w:pPr>
      <w:spacing w:before="120"/>
      <w:ind w:left="1843" w:right="998" w:hanging="567"/>
      <w:jc w:val="left"/>
    </w:pPr>
    <w:rPr>
      <w:i/>
      <w:iCs/>
      <w:caps w:val="0"/>
    </w:rPr>
  </w:style>
  <w:style w:type="paragraph" w:customStyle="1" w:styleId="Heading3multiline">
    <w:name w:val="Heading 3 (multiline)"/>
    <w:basedOn w:val="Heading3"/>
    <w:next w:val="Normal"/>
    <w:uiPriority w:val="99"/>
    <w:rsid w:val="00C0139A"/>
    <w:pPr>
      <w:ind w:left="1418" w:hanging="425"/>
      <w:jc w:val="left"/>
    </w:pPr>
  </w:style>
  <w:style w:type="paragraph" w:customStyle="1" w:styleId="Heading2longmultiline">
    <w:name w:val="Heading 2 (long multiline)"/>
    <w:basedOn w:val="Heading2multiline"/>
    <w:uiPriority w:val="99"/>
    <w:rsid w:val="00C0139A"/>
    <w:pPr>
      <w:ind w:left="2127" w:hanging="1276"/>
    </w:pPr>
  </w:style>
  <w:style w:type="paragraph" w:customStyle="1" w:styleId="Heading1longmultiline">
    <w:name w:val="Heading 1 (long multiline)"/>
    <w:basedOn w:val="Heading1"/>
    <w:uiPriority w:val="99"/>
    <w:rsid w:val="00C0139A"/>
    <w:pPr>
      <w:ind w:left="1843" w:hanging="1134"/>
      <w:jc w:val="left"/>
    </w:pPr>
  </w:style>
  <w:style w:type="paragraph" w:styleId="BodyTextIndent">
    <w:name w:val="Body Text Indent"/>
    <w:basedOn w:val="Normal"/>
    <w:link w:val="BodyTextIndentChar"/>
    <w:uiPriority w:val="99"/>
    <w:rsid w:val="00C0139A"/>
    <w:pPr>
      <w:spacing w:before="120" w:after="120"/>
      <w:ind w:left="1440" w:hanging="720"/>
      <w:jc w:val="left"/>
    </w:pPr>
  </w:style>
  <w:style w:type="character" w:customStyle="1" w:styleId="BodyTextIndentChar">
    <w:name w:val="Body Text Indent Char"/>
    <w:basedOn w:val="DefaultParagraphFont"/>
    <w:link w:val="BodyTextIndent"/>
    <w:uiPriority w:val="99"/>
    <w:semiHidden/>
    <w:locked/>
    <w:rsid w:val="004E2ACA"/>
    <w:rPr>
      <w:rFonts w:cs="Angsana New"/>
      <w:sz w:val="24"/>
      <w:szCs w:val="24"/>
      <w:lang w:val="en-GB" w:bidi="th-TH"/>
    </w:rPr>
  </w:style>
  <w:style w:type="paragraph" w:customStyle="1" w:styleId="Heading-plainbold">
    <w:name w:val="Heading-plain bold"/>
    <w:basedOn w:val="BodyText"/>
    <w:uiPriority w:val="99"/>
    <w:rsid w:val="00C0139A"/>
    <w:pPr>
      <w:ind w:firstLine="0"/>
      <w:jc w:val="center"/>
    </w:pPr>
    <w:rPr>
      <w:b/>
      <w:bCs/>
      <w:i/>
      <w:iCs w:val="0"/>
    </w:rPr>
  </w:style>
  <w:style w:type="paragraph" w:customStyle="1" w:styleId="Heading-plainitalic">
    <w:name w:val="Heading-plain italic"/>
    <w:basedOn w:val="Heading-plainbold"/>
    <w:uiPriority w:val="99"/>
    <w:rsid w:val="00C0139A"/>
    <w:rPr>
      <w:b w:val="0"/>
      <w:bCs w:val="0"/>
    </w:rPr>
  </w:style>
  <w:style w:type="paragraph" w:styleId="TOC1">
    <w:name w:val="toc 1"/>
    <w:basedOn w:val="Normal"/>
    <w:next w:val="Normal"/>
    <w:autoRedefine/>
    <w:uiPriority w:val="99"/>
    <w:semiHidden/>
    <w:rsid w:val="00C0139A"/>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uiPriority w:val="99"/>
    <w:semiHidden/>
    <w:rsid w:val="00C0139A"/>
    <w:pPr>
      <w:tabs>
        <w:tab w:val="left" w:pos="2700"/>
        <w:tab w:val="right" w:leader="dot" w:pos="9360"/>
      </w:tabs>
      <w:ind w:left="2160" w:right="720" w:hanging="1260"/>
    </w:pPr>
    <w:rPr>
      <w:noProof/>
      <w:szCs w:val="22"/>
      <w:lang w:val="en-US"/>
    </w:rPr>
  </w:style>
  <w:style w:type="paragraph" w:styleId="TOC3">
    <w:name w:val="toc 3"/>
    <w:basedOn w:val="Normal"/>
    <w:next w:val="Normal"/>
    <w:autoRedefine/>
    <w:uiPriority w:val="99"/>
    <w:semiHidden/>
    <w:rsid w:val="00C0139A"/>
    <w:pPr>
      <w:ind w:left="2160" w:hanging="720"/>
    </w:pPr>
  </w:style>
  <w:style w:type="paragraph" w:styleId="Header">
    <w:name w:val="header"/>
    <w:basedOn w:val="Normal"/>
    <w:link w:val="HeaderChar"/>
    <w:uiPriority w:val="99"/>
    <w:rsid w:val="00C0139A"/>
    <w:pPr>
      <w:tabs>
        <w:tab w:val="center" w:pos="4320"/>
        <w:tab w:val="right" w:pos="8640"/>
      </w:tabs>
    </w:pPr>
    <w:rPr>
      <w:rFonts w:cs="Times New Roman"/>
    </w:rPr>
  </w:style>
  <w:style w:type="character" w:customStyle="1" w:styleId="HeaderChar">
    <w:name w:val="Header Char"/>
    <w:basedOn w:val="DefaultParagraphFont"/>
    <w:link w:val="Header"/>
    <w:uiPriority w:val="99"/>
    <w:locked/>
    <w:rsid w:val="00660A89"/>
    <w:rPr>
      <w:rFonts w:cs="Times New Roman"/>
      <w:sz w:val="24"/>
      <w:lang w:val="en-GB"/>
    </w:rPr>
  </w:style>
  <w:style w:type="paragraph" w:customStyle="1" w:styleId="HEADINGNOTFORTOC">
    <w:name w:val="HEADING (NOT FOR TOC)"/>
    <w:basedOn w:val="Heading1"/>
    <w:next w:val="Heading2"/>
    <w:uiPriority w:val="99"/>
    <w:rsid w:val="00C0139A"/>
  </w:style>
  <w:style w:type="character" w:customStyle="1" w:styleId="Document5">
    <w:name w:val="Document 5"/>
    <w:uiPriority w:val="99"/>
    <w:rsid w:val="00C0139A"/>
  </w:style>
  <w:style w:type="paragraph" w:customStyle="1" w:styleId="Paragraph">
    <w:name w:val="Paragraph"/>
    <w:basedOn w:val="Normal"/>
    <w:uiPriority w:val="99"/>
    <w:rsid w:val="00C0139A"/>
    <w:pPr>
      <w:spacing w:before="120" w:after="120"/>
    </w:pPr>
  </w:style>
  <w:style w:type="character" w:styleId="Hyperlink">
    <w:name w:val="Hyperlink"/>
    <w:basedOn w:val="DefaultParagraphFont"/>
    <w:uiPriority w:val="99"/>
    <w:rsid w:val="00C0139A"/>
    <w:rPr>
      <w:rFonts w:cs="Times New Roman"/>
      <w:color w:val="0000FF"/>
      <w:u w:val="single"/>
    </w:rPr>
  </w:style>
  <w:style w:type="paragraph" w:styleId="BodyTextIndent2">
    <w:name w:val="Body Text Indent 2"/>
    <w:basedOn w:val="Normal"/>
    <w:link w:val="BodyTextIndent2Char"/>
    <w:uiPriority w:val="99"/>
    <w:rsid w:val="00C0139A"/>
    <w:pPr>
      <w:ind w:firstLine="720"/>
    </w:pPr>
  </w:style>
  <w:style w:type="character" w:customStyle="1" w:styleId="BodyTextIndent2Char">
    <w:name w:val="Body Text Indent 2 Char"/>
    <w:basedOn w:val="DefaultParagraphFont"/>
    <w:link w:val="BodyTextIndent2"/>
    <w:uiPriority w:val="99"/>
    <w:semiHidden/>
    <w:locked/>
    <w:rsid w:val="004E2ACA"/>
    <w:rPr>
      <w:rFonts w:cs="Angsana New"/>
      <w:sz w:val="24"/>
      <w:szCs w:val="24"/>
      <w:lang w:val="en-GB" w:bidi="th-TH"/>
    </w:rPr>
  </w:style>
  <w:style w:type="paragraph" w:customStyle="1" w:styleId="bodytextnoindent">
    <w:name w:val="body text (no indent)"/>
    <w:basedOn w:val="Normal"/>
    <w:uiPriority w:val="99"/>
    <w:rsid w:val="00C0139A"/>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link w:val="BodyText2Char"/>
    <w:uiPriority w:val="99"/>
    <w:rsid w:val="00C0139A"/>
    <w:rPr>
      <w:i/>
      <w:iCs/>
    </w:rPr>
  </w:style>
  <w:style w:type="character" w:customStyle="1" w:styleId="BodyText2Char">
    <w:name w:val="Body Text 2 Char"/>
    <w:basedOn w:val="DefaultParagraphFont"/>
    <w:link w:val="BodyText2"/>
    <w:uiPriority w:val="99"/>
    <w:semiHidden/>
    <w:locked/>
    <w:rsid w:val="004E2ACA"/>
    <w:rPr>
      <w:rFonts w:cs="Angsana New"/>
      <w:sz w:val="24"/>
      <w:szCs w:val="24"/>
      <w:lang w:val="en-GB" w:bidi="th-TH"/>
    </w:rPr>
  </w:style>
  <w:style w:type="paragraph" w:styleId="BodyText3">
    <w:name w:val="Body Text 3"/>
    <w:basedOn w:val="Normal"/>
    <w:link w:val="BodyText3Char"/>
    <w:uiPriority w:val="99"/>
    <w:rsid w:val="00C0139A"/>
    <w:pPr>
      <w:jc w:val="center"/>
    </w:pPr>
    <w:rPr>
      <w:sz w:val="28"/>
    </w:rPr>
  </w:style>
  <w:style w:type="character" w:customStyle="1" w:styleId="BodyText3Char">
    <w:name w:val="Body Text 3 Char"/>
    <w:basedOn w:val="DefaultParagraphFont"/>
    <w:link w:val="BodyText3"/>
    <w:uiPriority w:val="99"/>
    <w:semiHidden/>
    <w:locked/>
    <w:rsid w:val="004E2ACA"/>
    <w:rPr>
      <w:rFonts w:cs="Angsana New"/>
      <w:sz w:val="16"/>
      <w:szCs w:val="16"/>
      <w:lang w:val="en-GB" w:bidi="th-TH"/>
    </w:rPr>
  </w:style>
  <w:style w:type="paragraph" w:customStyle="1" w:styleId="Bodytextitalic">
    <w:name w:val="Body text italic"/>
    <w:basedOn w:val="BodyText"/>
    <w:uiPriority w:val="99"/>
    <w:rsid w:val="00C0139A"/>
    <w:rPr>
      <w:i/>
      <w:iCs w:val="0"/>
    </w:rPr>
  </w:style>
  <w:style w:type="paragraph" w:customStyle="1" w:styleId="boxbody">
    <w:name w:val="boxbody"/>
    <w:basedOn w:val="Normal"/>
    <w:uiPriority w:val="99"/>
    <w:rsid w:val="00C0139A"/>
    <w:pPr>
      <w:spacing w:before="100" w:beforeAutospacing="1" w:after="100" w:afterAutospacing="1"/>
      <w:ind w:left="612" w:right="612"/>
    </w:pPr>
    <w:rPr>
      <w:rFonts w:cs="Times New Roman"/>
      <w:sz w:val="18"/>
      <w:szCs w:val="18"/>
    </w:rPr>
  </w:style>
  <w:style w:type="character" w:styleId="FollowedHyperlink">
    <w:name w:val="FollowedHyperlink"/>
    <w:basedOn w:val="DefaultParagraphFont"/>
    <w:uiPriority w:val="99"/>
    <w:rsid w:val="00C0139A"/>
    <w:rPr>
      <w:rFonts w:cs="Times New Roman"/>
      <w:color w:val="800080"/>
      <w:u w:val="single"/>
    </w:rPr>
  </w:style>
  <w:style w:type="paragraph" w:customStyle="1" w:styleId="HEADING">
    <w:name w:val="HEADING"/>
    <w:basedOn w:val="Normal"/>
    <w:uiPriority w:val="99"/>
    <w:rsid w:val="00C0139A"/>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uiPriority w:val="99"/>
    <w:rsid w:val="00C0139A"/>
    <w:pPr>
      <w:tabs>
        <w:tab w:val="clear" w:pos="720"/>
        <w:tab w:val="left" w:pos="900"/>
      </w:tabs>
    </w:pPr>
    <w:rPr>
      <w:rFonts w:cs="Times New Roman"/>
      <w:b w:val="0"/>
      <w:bCs w:val="0"/>
      <w:szCs w:val="20"/>
    </w:rPr>
  </w:style>
  <w:style w:type="paragraph" w:customStyle="1" w:styleId="Heading2noletter">
    <w:name w:val="Heading 2 (no letter)"/>
    <w:basedOn w:val="Heading2"/>
    <w:uiPriority w:val="99"/>
    <w:rsid w:val="00C0139A"/>
    <w:pPr>
      <w:tabs>
        <w:tab w:val="clear" w:pos="720"/>
      </w:tabs>
    </w:pPr>
    <w:rPr>
      <w:rFonts w:cs="Times New Roman"/>
    </w:rPr>
  </w:style>
  <w:style w:type="character" w:customStyle="1" w:styleId="Heading2CharChar">
    <w:name w:val="Heading 2 Char Char"/>
    <w:uiPriority w:val="99"/>
    <w:rsid w:val="00C0139A"/>
    <w:rPr>
      <w:rFonts w:ascii="Arial" w:hAnsi="Arial"/>
      <w:b/>
      <w:i/>
      <w:sz w:val="28"/>
      <w:lang w:val="en-US"/>
    </w:rPr>
  </w:style>
  <w:style w:type="paragraph" w:customStyle="1" w:styleId="Heading-plain0">
    <w:name w:val="Heading-plain"/>
    <w:basedOn w:val="Normal"/>
    <w:uiPriority w:val="99"/>
    <w:rsid w:val="00C0139A"/>
    <w:pPr>
      <w:spacing w:before="120" w:after="120"/>
      <w:jc w:val="center"/>
      <w:outlineLvl w:val="0"/>
    </w:pPr>
    <w:rPr>
      <w:i/>
      <w:szCs w:val="20"/>
    </w:rPr>
  </w:style>
  <w:style w:type="paragraph" w:styleId="NormalWeb">
    <w:name w:val="Normal (Web)"/>
    <w:basedOn w:val="Normal"/>
    <w:uiPriority w:val="99"/>
    <w:rsid w:val="00C0139A"/>
    <w:pPr>
      <w:spacing w:before="100" w:beforeAutospacing="1" w:after="100" w:afterAutospacing="1"/>
      <w:jc w:val="left"/>
    </w:pPr>
    <w:rPr>
      <w:color w:val="000000"/>
      <w:sz w:val="18"/>
      <w:szCs w:val="18"/>
      <w:lang w:val="en-US"/>
    </w:rPr>
  </w:style>
  <w:style w:type="paragraph" w:customStyle="1" w:styleId="Para10">
    <w:name w:val="Para 1"/>
    <w:basedOn w:val="BodyText"/>
    <w:uiPriority w:val="99"/>
    <w:rsid w:val="00C0139A"/>
    <w:pPr>
      <w:ind w:firstLine="0"/>
    </w:pPr>
    <w:rPr>
      <w:bCs/>
      <w:iCs w:val="0"/>
      <w:szCs w:val="22"/>
    </w:rPr>
  </w:style>
  <w:style w:type="character" w:customStyle="1" w:styleId="Para1Char">
    <w:name w:val="Para 1 Char"/>
    <w:uiPriority w:val="99"/>
    <w:rsid w:val="00C0139A"/>
    <w:rPr>
      <w:rFonts w:eastAsia="Times New Roman"/>
      <w:sz w:val="22"/>
      <w:lang w:val="en-GB"/>
    </w:rPr>
  </w:style>
  <w:style w:type="paragraph" w:customStyle="1" w:styleId="Para2rev">
    <w:name w:val="Para 2 (rev)"/>
    <w:basedOn w:val="Normal"/>
    <w:uiPriority w:val="99"/>
    <w:rsid w:val="00C0139A"/>
    <w:pPr>
      <w:tabs>
        <w:tab w:val="num" w:pos="720"/>
      </w:tabs>
      <w:spacing w:after="120"/>
      <w:ind w:left="720" w:hanging="360"/>
    </w:pPr>
  </w:style>
  <w:style w:type="paragraph" w:customStyle="1" w:styleId="Paraofficial">
    <w:name w:val="Para official"/>
    <w:basedOn w:val="Normal"/>
    <w:uiPriority w:val="99"/>
    <w:rsid w:val="00C0139A"/>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uiPriority w:val="99"/>
    <w:rsid w:val="00C0139A"/>
    <w:pPr>
      <w:tabs>
        <w:tab w:val="num" w:pos="720"/>
      </w:tabs>
      <w:spacing w:before="120" w:after="120"/>
      <w:ind w:left="360"/>
    </w:pPr>
    <w:rPr>
      <w:szCs w:val="18"/>
    </w:rPr>
  </w:style>
  <w:style w:type="paragraph" w:customStyle="1" w:styleId="Para1-Annex">
    <w:name w:val="Para1-Annex"/>
    <w:basedOn w:val="Normal"/>
    <w:uiPriority w:val="99"/>
    <w:rsid w:val="00C0139A"/>
    <w:pPr>
      <w:numPr>
        <w:numId w:val="13"/>
      </w:numPr>
      <w:spacing w:after="120"/>
    </w:pPr>
    <w:rPr>
      <w:rFonts w:cs="Times New Roman"/>
      <w:szCs w:val="22"/>
      <w:lang w:val="en-US"/>
    </w:rPr>
  </w:style>
  <w:style w:type="paragraph" w:customStyle="1" w:styleId="Para40">
    <w:name w:val="Para4"/>
    <w:basedOn w:val="Para3"/>
    <w:uiPriority w:val="99"/>
    <w:rsid w:val="00C0139A"/>
    <w:pPr>
      <w:numPr>
        <w:ilvl w:val="0"/>
        <w:numId w:val="0"/>
      </w:numPr>
      <w:tabs>
        <w:tab w:val="clear" w:pos="1980"/>
        <w:tab w:val="left" w:pos="2552"/>
        <w:tab w:val="num" w:pos="3540"/>
      </w:tabs>
      <w:ind w:left="2552" w:hanging="567"/>
    </w:pPr>
    <w:rPr>
      <w:lang w:val="en-US"/>
    </w:rPr>
  </w:style>
  <w:style w:type="character" w:styleId="Strong">
    <w:name w:val="Strong"/>
    <w:basedOn w:val="DefaultParagraphFont"/>
    <w:uiPriority w:val="99"/>
    <w:qFormat/>
    <w:rsid w:val="00C0139A"/>
    <w:rPr>
      <w:rFonts w:cs="Times New Roman"/>
      <w:b/>
    </w:rPr>
  </w:style>
  <w:style w:type="paragraph" w:customStyle="1" w:styleId="StyleBodyTextTimesNewRoman11ptCharChar">
    <w:name w:val="Style Body Text + Times New Roman 11 pt Char Char"/>
    <w:basedOn w:val="BodyText"/>
    <w:uiPriority w:val="99"/>
    <w:rsid w:val="00C0139A"/>
    <w:rPr>
      <w:iCs w:val="0"/>
      <w:color w:val="000000"/>
      <w:szCs w:val="22"/>
      <w:lang w:val="en-US"/>
    </w:rPr>
  </w:style>
  <w:style w:type="character" w:customStyle="1" w:styleId="StyleBodyTextTimesNewRoman11ptCharCharChar">
    <w:name w:val="Style Body Text + Times New Roman 11 pt Char Char Char"/>
    <w:uiPriority w:val="99"/>
    <w:rsid w:val="00C0139A"/>
    <w:rPr>
      <w:snapToGrid w:val="0"/>
      <w:color w:val="000000"/>
      <w:sz w:val="22"/>
      <w:lang w:val="en-US"/>
    </w:rPr>
  </w:style>
  <w:style w:type="paragraph" w:customStyle="1" w:styleId="StylePara1Firstline127cm">
    <w:name w:val="Style Para1 + First line:  1.27 cm"/>
    <w:basedOn w:val="Para1"/>
    <w:uiPriority w:val="99"/>
    <w:rsid w:val="00C0139A"/>
    <w:pPr>
      <w:numPr>
        <w:numId w:val="0"/>
      </w:numPr>
      <w:tabs>
        <w:tab w:val="num" w:pos="360"/>
      </w:tabs>
    </w:pPr>
    <w:rPr>
      <w:szCs w:val="20"/>
    </w:rPr>
  </w:style>
  <w:style w:type="paragraph" w:styleId="Title">
    <w:name w:val="Title"/>
    <w:basedOn w:val="Normal"/>
    <w:link w:val="TitleChar"/>
    <w:uiPriority w:val="99"/>
    <w:qFormat/>
    <w:rsid w:val="00C0139A"/>
    <w:pPr>
      <w:jc w:val="center"/>
    </w:pPr>
    <w:rPr>
      <w:i/>
      <w:iCs/>
    </w:rPr>
  </w:style>
  <w:style w:type="character" w:customStyle="1" w:styleId="TitleChar">
    <w:name w:val="Title Char"/>
    <w:basedOn w:val="DefaultParagraphFont"/>
    <w:link w:val="Title"/>
    <w:uiPriority w:val="99"/>
    <w:locked/>
    <w:rsid w:val="004E2ACA"/>
    <w:rPr>
      <w:rFonts w:ascii="Cambria" w:eastAsia="宋体" w:hAnsi="Cambria" w:cs="Times New Roman"/>
      <w:b/>
      <w:bCs/>
      <w:kern w:val="28"/>
      <w:sz w:val="32"/>
      <w:szCs w:val="32"/>
      <w:lang w:val="en-GB"/>
    </w:rPr>
  </w:style>
  <w:style w:type="paragraph" w:styleId="TOC5">
    <w:name w:val="toc 5"/>
    <w:basedOn w:val="Normal"/>
    <w:next w:val="Normal"/>
    <w:autoRedefine/>
    <w:uiPriority w:val="99"/>
    <w:semiHidden/>
    <w:rsid w:val="00C0139A"/>
    <w:pPr>
      <w:ind w:left="880"/>
    </w:pPr>
  </w:style>
  <w:style w:type="character" w:styleId="CommentReference">
    <w:name w:val="annotation reference"/>
    <w:basedOn w:val="DefaultParagraphFont"/>
    <w:uiPriority w:val="99"/>
    <w:rsid w:val="00C0139A"/>
    <w:rPr>
      <w:rFonts w:cs="Times New Roman"/>
      <w:sz w:val="16"/>
    </w:rPr>
  </w:style>
  <w:style w:type="paragraph" w:styleId="CommentText">
    <w:name w:val="annotation text"/>
    <w:basedOn w:val="Normal"/>
    <w:link w:val="CommentTextChar"/>
    <w:uiPriority w:val="99"/>
    <w:rsid w:val="00C0139A"/>
    <w:rPr>
      <w:rFonts w:cs="Times New Roman"/>
      <w:sz w:val="20"/>
      <w:szCs w:val="20"/>
    </w:rPr>
  </w:style>
  <w:style w:type="character" w:customStyle="1" w:styleId="CommentTextChar">
    <w:name w:val="Comment Text Char"/>
    <w:basedOn w:val="DefaultParagraphFont"/>
    <w:link w:val="CommentText"/>
    <w:uiPriority w:val="99"/>
    <w:semiHidden/>
    <w:locked/>
    <w:rsid w:val="004E2ACA"/>
    <w:rPr>
      <w:rFonts w:cs="Angsana New"/>
      <w:sz w:val="20"/>
      <w:szCs w:val="20"/>
      <w:lang w:val="en-GB" w:bidi="th-TH"/>
    </w:rPr>
  </w:style>
  <w:style w:type="character" w:customStyle="1" w:styleId="CharChar1">
    <w:name w:val="Char Char1"/>
    <w:uiPriority w:val="99"/>
    <w:locked/>
    <w:rsid w:val="00C0139A"/>
    <w:rPr>
      <w:lang w:val="en-GB"/>
    </w:rPr>
  </w:style>
  <w:style w:type="paragraph" w:styleId="ListParagraph">
    <w:name w:val="List Paragraph"/>
    <w:basedOn w:val="Normal"/>
    <w:uiPriority w:val="99"/>
    <w:qFormat/>
    <w:rsid w:val="00C0139A"/>
    <w:pPr>
      <w:ind w:left="720"/>
      <w:contextualSpacing/>
    </w:pPr>
  </w:style>
  <w:style w:type="paragraph" w:styleId="CommentSubject">
    <w:name w:val="annotation subject"/>
    <w:basedOn w:val="CommentText"/>
    <w:next w:val="CommentText"/>
    <w:link w:val="CommentSubjectChar"/>
    <w:uiPriority w:val="99"/>
    <w:rsid w:val="00C0139A"/>
    <w:rPr>
      <w:rFonts w:cs="Angsana New"/>
      <w:b/>
      <w:bCs/>
    </w:rPr>
  </w:style>
  <w:style w:type="character" w:customStyle="1" w:styleId="CommentSubjectChar">
    <w:name w:val="Comment Subject Char"/>
    <w:basedOn w:val="CommentTextChar"/>
    <w:link w:val="CommentSubject"/>
    <w:uiPriority w:val="99"/>
    <w:semiHidden/>
    <w:locked/>
    <w:rsid w:val="004E2ACA"/>
    <w:rPr>
      <w:b/>
      <w:bCs/>
    </w:rPr>
  </w:style>
  <w:style w:type="character" w:customStyle="1" w:styleId="CharChar">
    <w:name w:val="Char Char"/>
    <w:uiPriority w:val="99"/>
    <w:locked/>
    <w:rsid w:val="00C0139A"/>
    <w:rPr>
      <w:b/>
      <w:lang w:val="en-GB"/>
    </w:rPr>
  </w:style>
  <w:style w:type="character" w:customStyle="1" w:styleId="tw4winMark">
    <w:name w:val="tw4winMark"/>
    <w:uiPriority w:val="99"/>
    <w:rsid w:val="00C0139A"/>
    <w:rPr>
      <w:rFonts w:ascii="Courier New" w:hAnsi="Courier New"/>
      <w:vanish/>
      <w:color w:val="800080"/>
      <w:sz w:val="24"/>
      <w:vertAlign w:val="subscript"/>
    </w:rPr>
  </w:style>
  <w:style w:type="character" w:customStyle="1" w:styleId="tw4winError">
    <w:name w:val="tw4winError"/>
    <w:uiPriority w:val="99"/>
    <w:rsid w:val="00C0139A"/>
    <w:rPr>
      <w:rFonts w:ascii="Courier New" w:hAnsi="Courier New"/>
      <w:color w:val="00FF00"/>
      <w:sz w:val="40"/>
    </w:rPr>
  </w:style>
  <w:style w:type="character" w:customStyle="1" w:styleId="tw4winTerm">
    <w:name w:val="tw4winTerm"/>
    <w:uiPriority w:val="99"/>
    <w:rsid w:val="00C0139A"/>
    <w:rPr>
      <w:color w:val="0000FF"/>
    </w:rPr>
  </w:style>
  <w:style w:type="character" w:customStyle="1" w:styleId="tw4winPopup">
    <w:name w:val="tw4winPopup"/>
    <w:uiPriority w:val="99"/>
    <w:rsid w:val="00C0139A"/>
    <w:rPr>
      <w:rFonts w:ascii="Courier New" w:hAnsi="Courier New"/>
      <w:noProof/>
      <w:color w:val="008000"/>
    </w:rPr>
  </w:style>
  <w:style w:type="character" w:customStyle="1" w:styleId="tw4winJump">
    <w:name w:val="tw4winJump"/>
    <w:uiPriority w:val="99"/>
    <w:rsid w:val="00C0139A"/>
    <w:rPr>
      <w:rFonts w:ascii="Courier New" w:hAnsi="Courier New"/>
      <w:noProof/>
      <w:color w:val="008080"/>
    </w:rPr>
  </w:style>
  <w:style w:type="character" w:customStyle="1" w:styleId="tw4winExternal">
    <w:name w:val="tw4winExternal"/>
    <w:uiPriority w:val="99"/>
    <w:rsid w:val="00C0139A"/>
    <w:rPr>
      <w:rFonts w:ascii="Courier New" w:hAnsi="Courier New"/>
      <w:noProof/>
      <w:color w:val="808080"/>
    </w:rPr>
  </w:style>
  <w:style w:type="character" w:customStyle="1" w:styleId="tw4winInternal">
    <w:name w:val="tw4winInternal"/>
    <w:uiPriority w:val="99"/>
    <w:rsid w:val="00C0139A"/>
    <w:rPr>
      <w:rFonts w:ascii="Courier New" w:hAnsi="Courier New"/>
      <w:noProof/>
      <w:color w:val="FF0000"/>
    </w:rPr>
  </w:style>
  <w:style w:type="character" w:customStyle="1" w:styleId="DONOTTRANSLATE">
    <w:name w:val="DO_NOT_TRANSLATE"/>
    <w:uiPriority w:val="99"/>
    <w:rsid w:val="00C0139A"/>
    <w:rPr>
      <w:rFonts w:ascii="Courier New" w:hAnsi="Courier New"/>
      <w:noProof/>
      <w:color w:val="800000"/>
    </w:rPr>
  </w:style>
  <w:style w:type="paragraph" w:customStyle="1" w:styleId="Paraa">
    <w:name w:val="Para (a)"/>
    <w:basedOn w:val="Normal"/>
    <w:uiPriority w:val="99"/>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uiPriority w:val="99"/>
    <w:rsid w:val="005E4552"/>
  </w:style>
  <w:style w:type="character" w:customStyle="1" w:styleId="shorttext0">
    <w:name w:val="shorttext"/>
    <w:basedOn w:val="DefaultParagraphFont"/>
    <w:uiPriority w:val="99"/>
    <w:rsid w:val="009B7651"/>
    <w:rPr>
      <w:rFonts w:cs="Times New Roman"/>
    </w:rPr>
  </w:style>
  <w:style w:type="character" w:customStyle="1" w:styleId="shorttext1">
    <w:name w:val="short_text1"/>
    <w:uiPriority w:val="99"/>
    <w:rsid w:val="009B7651"/>
    <w:rPr>
      <w:sz w:val="23"/>
    </w:rPr>
  </w:style>
</w:styles>
</file>

<file path=word/webSettings.xml><?xml version="1.0" encoding="utf-8"?>
<w:webSettings xmlns:r="http://schemas.openxmlformats.org/officeDocument/2006/relationships" xmlns:w="http://schemas.openxmlformats.org/wordprocessingml/2006/main">
  <w:divs>
    <w:div w:id="212275454">
      <w:marLeft w:val="0"/>
      <w:marRight w:val="0"/>
      <w:marTop w:val="0"/>
      <w:marBottom w:val="0"/>
      <w:divBdr>
        <w:top w:val="none" w:sz="0" w:space="0" w:color="auto"/>
        <w:left w:val="none" w:sz="0" w:space="0" w:color="auto"/>
        <w:bottom w:val="none" w:sz="0" w:space="0" w:color="auto"/>
        <w:right w:val="none" w:sz="0" w:space="0" w:color="auto"/>
      </w:divBdr>
      <w:divsChild>
        <w:div w:id="212275459">
          <w:marLeft w:val="0"/>
          <w:marRight w:val="0"/>
          <w:marTop w:val="0"/>
          <w:marBottom w:val="0"/>
          <w:divBdr>
            <w:top w:val="none" w:sz="0" w:space="0" w:color="auto"/>
            <w:left w:val="none" w:sz="0" w:space="0" w:color="auto"/>
            <w:bottom w:val="none" w:sz="0" w:space="0" w:color="auto"/>
            <w:right w:val="none" w:sz="0" w:space="0" w:color="auto"/>
          </w:divBdr>
          <w:divsChild>
            <w:div w:id="212275448">
              <w:marLeft w:val="0"/>
              <w:marRight w:val="0"/>
              <w:marTop w:val="0"/>
              <w:marBottom w:val="0"/>
              <w:divBdr>
                <w:top w:val="none" w:sz="0" w:space="0" w:color="auto"/>
                <w:left w:val="none" w:sz="0" w:space="0" w:color="auto"/>
                <w:bottom w:val="none" w:sz="0" w:space="0" w:color="auto"/>
                <w:right w:val="none" w:sz="0" w:space="0" w:color="auto"/>
              </w:divBdr>
              <w:divsChild>
                <w:div w:id="212275445">
                  <w:marLeft w:val="0"/>
                  <w:marRight w:val="0"/>
                  <w:marTop w:val="0"/>
                  <w:marBottom w:val="0"/>
                  <w:divBdr>
                    <w:top w:val="none" w:sz="0" w:space="0" w:color="auto"/>
                    <w:left w:val="none" w:sz="0" w:space="0" w:color="auto"/>
                    <w:bottom w:val="none" w:sz="0" w:space="0" w:color="auto"/>
                    <w:right w:val="none" w:sz="0" w:space="0" w:color="auto"/>
                  </w:divBdr>
                  <w:divsChild>
                    <w:div w:id="212275444">
                      <w:marLeft w:val="0"/>
                      <w:marRight w:val="0"/>
                      <w:marTop w:val="0"/>
                      <w:marBottom w:val="0"/>
                      <w:divBdr>
                        <w:top w:val="none" w:sz="0" w:space="0" w:color="auto"/>
                        <w:left w:val="none" w:sz="0" w:space="0" w:color="auto"/>
                        <w:bottom w:val="none" w:sz="0" w:space="0" w:color="auto"/>
                        <w:right w:val="none" w:sz="0" w:space="0" w:color="auto"/>
                      </w:divBdr>
                      <w:divsChild>
                        <w:div w:id="212275465">
                          <w:marLeft w:val="0"/>
                          <w:marRight w:val="0"/>
                          <w:marTop w:val="0"/>
                          <w:marBottom w:val="0"/>
                          <w:divBdr>
                            <w:top w:val="none" w:sz="0" w:space="0" w:color="auto"/>
                            <w:left w:val="none" w:sz="0" w:space="0" w:color="auto"/>
                            <w:bottom w:val="none" w:sz="0" w:space="0" w:color="auto"/>
                            <w:right w:val="none" w:sz="0" w:space="0" w:color="auto"/>
                          </w:divBdr>
                          <w:divsChild>
                            <w:div w:id="212275447">
                              <w:marLeft w:val="0"/>
                              <w:marRight w:val="0"/>
                              <w:marTop w:val="0"/>
                              <w:marBottom w:val="0"/>
                              <w:divBdr>
                                <w:top w:val="none" w:sz="0" w:space="0" w:color="auto"/>
                                <w:left w:val="none" w:sz="0" w:space="0" w:color="auto"/>
                                <w:bottom w:val="none" w:sz="0" w:space="0" w:color="auto"/>
                                <w:right w:val="none" w:sz="0" w:space="0" w:color="auto"/>
                              </w:divBdr>
                              <w:divsChild>
                                <w:div w:id="212275453">
                                  <w:marLeft w:val="0"/>
                                  <w:marRight w:val="0"/>
                                  <w:marTop w:val="0"/>
                                  <w:marBottom w:val="0"/>
                                  <w:divBdr>
                                    <w:top w:val="none" w:sz="0" w:space="0" w:color="auto"/>
                                    <w:left w:val="none" w:sz="0" w:space="0" w:color="auto"/>
                                    <w:bottom w:val="none" w:sz="0" w:space="0" w:color="auto"/>
                                    <w:right w:val="none" w:sz="0" w:space="0" w:color="auto"/>
                                  </w:divBdr>
                                  <w:divsChild>
                                    <w:div w:id="212275463">
                                      <w:marLeft w:val="0"/>
                                      <w:marRight w:val="0"/>
                                      <w:marTop w:val="0"/>
                                      <w:marBottom w:val="0"/>
                                      <w:divBdr>
                                        <w:top w:val="none" w:sz="0" w:space="0" w:color="auto"/>
                                        <w:left w:val="none" w:sz="0" w:space="0" w:color="auto"/>
                                        <w:bottom w:val="none" w:sz="0" w:space="0" w:color="auto"/>
                                        <w:right w:val="none" w:sz="0" w:space="0" w:color="auto"/>
                                      </w:divBdr>
                                      <w:divsChild>
                                        <w:div w:id="212275451">
                                          <w:marLeft w:val="0"/>
                                          <w:marRight w:val="0"/>
                                          <w:marTop w:val="0"/>
                                          <w:marBottom w:val="0"/>
                                          <w:divBdr>
                                            <w:top w:val="none" w:sz="0" w:space="0" w:color="auto"/>
                                            <w:left w:val="none" w:sz="0" w:space="0" w:color="auto"/>
                                            <w:bottom w:val="none" w:sz="0" w:space="0" w:color="auto"/>
                                            <w:right w:val="none" w:sz="0" w:space="0" w:color="auto"/>
                                          </w:divBdr>
                                          <w:divsChild>
                                            <w:div w:id="212275461">
                                              <w:marLeft w:val="0"/>
                                              <w:marRight w:val="0"/>
                                              <w:marTop w:val="0"/>
                                              <w:marBottom w:val="0"/>
                                              <w:divBdr>
                                                <w:top w:val="none" w:sz="0" w:space="0" w:color="auto"/>
                                                <w:left w:val="none" w:sz="0" w:space="0" w:color="auto"/>
                                                <w:bottom w:val="none" w:sz="0" w:space="0" w:color="auto"/>
                                                <w:right w:val="none" w:sz="0" w:space="0" w:color="auto"/>
                                              </w:divBdr>
                                              <w:divsChild>
                                                <w:div w:id="212275470">
                                                  <w:marLeft w:val="0"/>
                                                  <w:marRight w:val="0"/>
                                                  <w:marTop w:val="0"/>
                                                  <w:marBottom w:val="0"/>
                                                  <w:divBdr>
                                                    <w:top w:val="none" w:sz="0" w:space="0" w:color="auto"/>
                                                    <w:left w:val="none" w:sz="0" w:space="0" w:color="auto"/>
                                                    <w:bottom w:val="none" w:sz="0" w:space="0" w:color="auto"/>
                                                    <w:right w:val="none" w:sz="0" w:space="0" w:color="auto"/>
                                                  </w:divBdr>
                                                  <w:divsChild>
                                                    <w:div w:id="212275469">
                                                      <w:marLeft w:val="0"/>
                                                      <w:marRight w:val="0"/>
                                                      <w:marTop w:val="0"/>
                                                      <w:marBottom w:val="0"/>
                                                      <w:divBdr>
                                                        <w:top w:val="none" w:sz="0" w:space="0" w:color="auto"/>
                                                        <w:left w:val="none" w:sz="0" w:space="0" w:color="auto"/>
                                                        <w:bottom w:val="none" w:sz="0" w:space="0" w:color="auto"/>
                                                        <w:right w:val="none" w:sz="0" w:space="0" w:color="auto"/>
                                                      </w:divBdr>
                                                      <w:divsChild>
                                                        <w:div w:id="212275446">
                                                          <w:marLeft w:val="0"/>
                                                          <w:marRight w:val="0"/>
                                                          <w:marTop w:val="0"/>
                                                          <w:marBottom w:val="0"/>
                                                          <w:divBdr>
                                                            <w:top w:val="none" w:sz="0" w:space="0" w:color="auto"/>
                                                            <w:left w:val="none" w:sz="0" w:space="0" w:color="auto"/>
                                                            <w:bottom w:val="none" w:sz="0" w:space="0" w:color="auto"/>
                                                            <w:right w:val="none" w:sz="0" w:space="0" w:color="auto"/>
                                                          </w:divBdr>
                                                          <w:divsChild>
                                                            <w:div w:id="212275472">
                                                              <w:marLeft w:val="0"/>
                                                              <w:marRight w:val="150"/>
                                                              <w:marTop w:val="0"/>
                                                              <w:marBottom w:val="150"/>
                                                              <w:divBdr>
                                                                <w:top w:val="none" w:sz="0" w:space="0" w:color="auto"/>
                                                                <w:left w:val="none" w:sz="0" w:space="0" w:color="auto"/>
                                                                <w:bottom w:val="none" w:sz="0" w:space="0" w:color="auto"/>
                                                                <w:right w:val="none" w:sz="0" w:space="0" w:color="auto"/>
                                                              </w:divBdr>
                                                              <w:divsChild>
                                                                <w:div w:id="212275467">
                                                                  <w:marLeft w:val="0"/>
                                                                  <w:marRight w:val="0"/>
                                                                  <w:marTop w:val="0"/>
                                                                  <w:marBottom w:val="0"/>
                                                                  <w:divBdr>
                                                                    <w:top w:val="none" w:sz="0" w:space="0" w:color="auto"/>
                                                                    <w:left w:val="none" w:sz="0" w:space="0" w:color="auto"/>
                                                                    <w:bottom w:val="none" w:sz="0" w:space="0" w:color="auto"/>
                                                                    <w:right w:val="none" w:sz="0" w:space="0" w:color="auto"/>
                                                                  </w:divBdr>
                                                                  <w:divsChild>
                                                                    <w:div w:id="212275475">
                                                                      <w:marLeft w:val="0"/>
                                                                      <w:marRight w:val="0"/>
                                                                      <w:marTop w:val="0"/>
                                                                      <w:marBottom w:val="0"/>
                                                                      <w:divBdr>
                                                                        <w:top w:val="none" w:sz="0" w:space="0" w:color="auto"/>
                                                                        <w:left w:val="none" w:sz="0" w:space="0" w:color="auto"/>
                                                                        <w:bottom w:val="none" w:sz="0" w:space="0" w:color="auto"/>
                                                                        <w:right w:val="none" w:sz="0" w:space="0" w:color="auto"/>
                                                                      </w:divBdr>
                                                                      <w:divsChild>
                                                                        <w:div w:id="212275486">
                                                                          <w:marLeft w:val="0"/>
                                                                          <w:marRight w:val="0"/>
                                                                          <w:marTop w:val="0"/>
                                                                          <w:marBottom w:val="0"/>
                                                                          <w:divBdr>
                                                                            <w:top w:val="none" w:sz="0" w:space="0" w:color="auto"/>
                                                                            <w:left w:val="none" w:sz="0" w:space="0" w:color="auto"/>
                                                                            <w:bottom w:val="none" w:sz="0" w:space="0" w:color="auto"/>
                                                                            <w:right w:val="none" w:sz="0" w:space="0" w:color="auto"/>
                                                                          </w:divBdr>
                                                                          <w:divsChild>
                                                                            <w:div w:id="212275485">
                                                                              <w:marLeft w:val="0"/>
                                                                              <w:marRight w:val="0"/>
                                                                              <w:marTop w:val="0"/>
                                                                              <w:marBottom w:val="0"/>
                                                                              <w:divBdr>
                                                                                <w:top w:val="none" w:sz="0" w:space="0" w:color="auto"/>
                                                                                <w:left w:val="none" w:sz="0" w:space="0" w:color="auto"/>
                                                                                <w:bottom w:val="none" w:sz="0" w:space="0" w:color="auto"/>
                                                                                <w:right w:val="none" w:sz="0" w:space="0" w:color="auto"/>
                                                                              </w:divBdr>
                                                                              <w:divsChild>
                                                                                <w:div w:id="212275455">
                                                                                  <w:marLeft w:val="0"/>
                                                                                  <w:marRight w:val="0"/>
                                                                                  <w:marTop w:val="0"/>
                                                                                  <w:marBottom w:val="0"/>
                                                                                  <w:divBdr>
                                                                                    <w:top w:val="none" w:sz="0" w:space="0" w:color="auto"/>
                                                                                    <w:left w:val="none" w:sz="0" w:space="0" w:color="auto"/>
                                                                                    <w:bottom w:val="none" w:sz="0" w:space="0" w:color="auto"/>
                                                                                    <w:right w:val="none" w:sz="0" w:space="0" w:color="auto"/>
                                                                                  </w:divBdr>
                                                                                </w:div>
                                                                                <w:div w:id="21227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275474">
      <w:marLeft w:val="0"/>
      <w:marRight w:val="0"/>
      <w:marTop w:val="0"/>
      <w:marBottom w:val="0"/>
      <w:divBdr>
        <w:top w:val="none" w:sz="0" w:space="0" w:color="auto"/>
        <w:left w:val="none" w:sz="0" w:space="0" w:color="auto"/>
        <w:bottom w:val="none" w:sz="0" w:space="0" w:color="auto"/>
        <w:right w:val="none" w:sz="0" w:space="0" w:color="auto"/>
      </w:divBdr>
      <w:divsChild>
        <w:div w:id="212275462">
          <w:marLeft w:val="0"/>
          <w:marRight w:val="0"/>
          <w:marTop w:val="0"/>
          <w:marBottom w:val="0"/>
          <w:divBdr>
            <w:top w:val="none" w:sz="0" w:space="0" w:color="auto"/>
            <w:left w:val="none" w:sz="0" w:space="0" w:color="auto"/>
            <w:bottom w:val="none" w:sz="0" w:space="0" w:color="auto"/>
            <w:right w:val="none" w:sz="0" w:space="0" w:color="auto"/>
          </w:divBdr>
          <w:divsChild>
            <w:div w:id="212275460">
              <w:marLeft w:val="0"/>
              <w:marRight w:val="0"/>
              <w:marTop w:val="0"/>
              <w:marBottom w:val="0"/>
              <w:divBdr>
                <w:top w:val="none" w:sz="0" w:space="0" w:color="auto"/>
                <w:left w:val="none" w:sz="0" w:space="0" w:color="auto"/>
                <w:bottom w:val="none" w:sz="0" w:space="0" w:color="auto"/>
                <w:right w:val="none" w:sz="0" w:space="0" w:color="auto"/>
              </w:divBdr>
              <w:divsChild>
                <w:div w:id="212275456">
                  <w:marLeft w:val="0"/>
                  <w:marRight w:val="0"/>
                  <w:marTop w:val="0"/>
                  <w:marBottom w:val="0"/>
                  <w:divBdr>
                    <w:top w:val="none" w:sz="0" w:space="0" w:color="auto"/>
                    <w:left w:val="none" w:sz="0" w:space="0" w:color="auto"/>
                    <w:bottom w:val="none" w:sz="0" w:space="0" w:color="auto"/>
                    <w:right w:val="none" w:sz="0" w:space="0" w:color="auto"/>
                  </w:divBdr>
                  <w:divsChild>
                    <w:div w:id="212275452">
                      <w:marLeft w:val="0"/>
                      <w:marRight w:val="0"/>
                      <w:marTop w:val="0"/>
                      <w:marBottom w:val="0"/>
                      <w:divBdr>
                        <w:top w:val="none" w:sz="0" w:space="0" w:color="auto"/>
                        <w:left w:val="none" w:sz="0" w:space="0" w:color="auto"/>
                        <w:bottom w:val="none" w:sz="0" w:space="0" w:color="auto"/>
                        <w:right w:val="none" w:sz="0" w:space="0" w:color="auto"/>
                      </w:divBdr>
                      <w:divsChild>
                        <w:div w:id="212275476">
                          <w:marLeft w:val="0"/>
                          <w:marRight w:val="0"/>
                          <w:marTop w:val="0"/>
                          <w:marBottom w:val="0"/>
                          <w:divBdr>
                            <w:top w:val="none" w:sz="0" w:space="0" w:color="auto"/>
                            <w:left w:val="none" w:sz="0" w:space="0" w:color="auto"/>
                            <w:bottom w:val="none" w:sz="0" w:space="0" w:color="auto"/>
                            <w:right w:val="none" w:sz="0" w:space="0" w:color="auto"/>
                          </w:divBdr>
                          <w:divsChild>
                            <w:div w:id="212275449">
                              <w:marLeft w:val="0"/>
                              <w:marRight w:val="0"/>
                              <w:marTop w:val="0"/>
                              <w:marBottom w:val="0"/>
                              <w:divBdr>
                                <w:top w:val="none" w:sz="0" w:space="0" w:color="auto"/>
                                <w:left w:val="none" w:sz="0" w:space="0" w:color="auto"/>
                                <w:bottom w:val="none" w:sz="0" w:space="0" w:color="auto"/>
                                <w:right w:val="none" w:sz="0" w:space="0" w:color="auto"/>
                              </w:divBdr>
                              <w:divsChild>
                                <w:div w:id="212275468">
                                  <w:marLeft w:val="0"/>
                                  <w:marRight w:val="0"/>
                                  <w:marTop w:val="0"/>
                                  <w:marBottom w:val="0"/>
                                  <w:divBdr>
                                    <w:top w:val="none" w:sz="0" w:space="0" w:color="auto"/>
                                    <w:left w:val="none" w:sz="0" w:space="0" w:color="auto"/>
                                    <w:bottom w:val="none" w:sz="0" w:space="0" w:color="auto"/>
                                    <w:right w:val="none" w:sz="0" w:space="0" w:color="auto"/>
                                  </w:divBdr>
                                  <w:divsChild>
                                    <w:div w:id="212275464">
                                      <w:marLeft w:val="0"/>
                                      <w:marRight w:val="0"/>
                                      <w:marTop w:val="0"/>
                                      <w:marBottom w:val="0"/>
                                      <w:divBdr>
                                        <w:top w:val="none" w:sz="0" w:space="0" w:color="auto"/>
                                        <w:left w:val="none" w:sz="0" w:space="0" w:color="auto"/>
                                        <w:bottom w:val="none" w:sz="0" w:space="0" w:color="auto"/>
                                        <w:right w:val="none" w:sz="0" w:space="0" w:color="auto"/>
                                      </w:divBdr>
                                      <w:divsChild>
                                        <w:div w:id="212275450">
                                          <w:marLeft w:val="0"/>
                                          <w:marRight w:val="0"/>
                                          <w:marTop w:val="0"/>
                                          <w:marBottom w:val="0"/>
                                          <w:divBdr>
                                            <w:top w:val="none" w:sz="0" w:space="0" w:color="auto"/>
                                            <w:left w:val="none" w:sz="0" w:space="0" w:color="auto"/>
                                            <w:bottom w:val="none" w:sz="0" w:space="0" w:color="auto"/>
                                            <w:right w:val="none" w:sz="0" w:space="0" w:color="auto"/>
                                          </w:divBdr>
                                          <w:divsChild>
                                            <w:div w:id="212275466">
                                              <w:marLeft w:val="0"/>
                                              <w:marRight w:val="0"/>
                                              <w:marTop w:val="0"/>
                                              <w:marBottom w:val="0"/>
                                              <w:divBdr>
                                                <w:top w:val="none" w:sz="0" w:space="0" w:color="auto"/>
                                                <w:left w:val="none" w:sz="0" w:space="0" w:color="auto"/>
                                                <w:bottom w:val="none" w:sz="0" w:space="0" w:color="auto"/>
                                                <w:right w:val="none" w:sz="0" w:space="0" w:color="auto"/>
                                              </w:divBdr>
                                              <w:divsChild>
                                                <w:div w:id="212275480">
                                                  <w:marLeft w:val="0"/>
                                                  <w:marRight w:val="0"/>
                                                  <w:marTop w:val="0"/>
                                                  <w:marBottom w:val="0"/>
                                                  <w:divBdr>
                                                    <w:top w:val="none" w:sz="0" w:space="0" w:color="auto"/>
                                                    <w:left w:val="none" w:sz="0" w:space="0" w:color="auto"/>
                                                    <w:bottom w:val="none" w:sz="0" w:space="0" w:color="auto"/>
                                                    <w:right w:val="none" w:sz="0" w:space="0" w:color="auto"/>
                                                  </w:divBdr>
                                                  <w:divsChild>
                                                    <w:div w:id="212275457">
                                                      <w:marLeft w:val="0"/>
                                                      <w:marRight w:val="0"/>
                                                      <w:marTop w:val="0"/>
                                                      <w:marBottom w:val="0"/>
                                                      <w:divBdr>
                                                        <w:top w:val="none" w:sz="0" w:space="0" w:color="auto"/>
                                                        <w:left w:val="none" w:sz="0" w:space="0" w:color="auto"/>
                                                        <w:bottom w:val="none" w:sz="0" w:space="0" w:color="auto"/>
                                                        <w:right w:val="none" w:sz="0" w:space="0" w:color="auto"/>
                                                      </w:divBdr>
                                                      <w:divsChild>
                                                        <w:div w:id="212275471">
                                                          <w:marLeft w:val="0"/>
                                                          <w:marRight w:val="0"/>
                                                          <w:marTop w:val="0"/>
                                                          <w:marBottom w:val="0"/>
                                                          <w:divBdr>
                                                            <w:top w:val="none" w:sz="0" w:space="0" w:color="auto"/>
                                                            <w:left w:val="none" w:sz="0" w:space="0" w:color="auto"/>
                                                            <w:bottom w:val="none" w:sz="0" w:space="0" w:color="auto"/>
                                                            <w:right w:val="none" w:sz="0" w:space="0" w:color="auto"/>
                                                          </w:divBdr>
                                                          <w:divsChild>
                                                            <w:div w:id="212275478">
                                                              <w:marLeft w:val="0"/>
                                                              <w:marRight w:val="150"/>
                                                              <w:marTop w:val="0"/>
                                                              <w:marBottom w:val="150"/>
                                                              <w:divBdr>
                                                                <w:top w:val="none" w:sz="0" w:space="0" w:color="auto"/>
                                                                <w:left w:val="none" w:sz="0" w:space="0" w:color="auto"/>
                                                                <w:bottom w:val="none" w:sz="0" w:space="0" w:color="auto"/>
                                                                <w:right w:val="none" w:sz="0" w:space="0" w:color="auto"/>
                                                              </w:divBdr>
                                                              <w:divsChild>
                                                                <w:div w:id="212275477">
                                                                  <w:marLeft w:val="0"/>
                                                                  <w:marRight w:val="0"/>
                                                                  <w:marTop w:val="0"/>
                                                                  <w:marBottom w:val="0"/>
                                                                  <w:divBdr>
                                                                    <w:top w:val="none" w:sz="0" w:space="0" w:color="auto"/>
                                                                    <w:left w:val="none" w:sz="0" w:space="0" w:color="auto"/>
                                                                    <w:bottom w:val="none" w:sz="0" w:space="0" w:color="auto"/>
                                                                    <w:right w:val="none" w:sz="0" w:space="0" w:color="auto"/>
                                                                  </w:divBdr>
                                                                  <w:divsChild>
                                                                    <w:div w:id="212275482">
                                                                      <w:marLeft w:val="0"/>
                                                                      <w:marRight w:val="0"/>
                                                                      <w:marTop w:val="0"/>
                                                                      <w:marBottom w:val="0"/>
                                                                      <w:divBdr>
                                                                        <w:top w:val="none" w:sz="0" w:space="0" w:color="auto"/>
                                                                        <w:left w:val="none" w:sz="0" w:space="0" w:color="auto"/>
                                                                        <w:bottom w:val="none" w:sz="0" w:space="0" w:color="auto"/>
                                                                        <w:right w:val="none" w:sz="0" w:space="0" w:color="auto"/>
                                                                      </w:divBdr>
                                                                      <w:divsChild>
                                                                        <w:div w:id="212275483">
                                                                          <w:marLeft w:val="0"/>
                                                                          <w:marRight w:val="0"/>
                                                                          <w:marTop w:val="0"/>
                                                                          <w:marBottom w:val="0"/>
                                                                          <w:divBdr>
                                                                            <w:top w:val="none" w:sz="0" w:space="0" w:color="auto"/>
                                                                            <w:left w:val="none" w:sz="0" w:space="0" w:color="auto"/>
                                                                            <w:bottom w:val="none" w:sz="0" w:space="0" w:color="auto"/>
                                                                            <w:right w:val="none" w:sz="0" w:space="0" w:color="auto"/>
                                                                          </w:divBdr>
                                                                          <w:divsChild>
                                                                            <w:div w:id="212275473">
                                                                              <w:marLeft w:val="0"/>
                                                                              <w:marRight w:val="0"/>
                                                                              <w:marTop w:val="0"/>
                                                                              <w:marBottom w:val="0"/>
                                                                              <w:divBdr>
                                                                                <w:top w:val="none" w:sz="0" w:space="0" w:color="auto"/>
                                                                                <w:left w:val="none" w:sz="0" w:space="0" w:color="auto"/>
                                                                                <w:bottom w:val="none" w:sz="0" w:space="0" w:color="auto"/>
                                                                                <w:right w:val="none" w:sz="0" w:space="0" w:color="auto"/>
                                                                              </w:divBdr>
                                                                              <w:divsChild>
                                                                                <w:div w:id="212275458">
                                                                                  <w:marLeft w:val="0"/>
                                                                                  <w:marRight w:val="0"/>
                                                                                  <w:marTop w:val="0"/>
                                                                                  <w:marBottom w:val="0"/>
                                                                                  <w:divBdr>
                                                                                    <w:top w:val="none" w:sz="0" w:space="0" w:color="auto"/>
                                                                                    <w:left w:val="none" w:sz="0" w:space="0" w:color="auto"/>
                                                                                    <w:bottom w:val="none" w:sz="0" w:space="0" w:color="auto"/>
                                                                                    <w:right w:val="none" w:sz="0" w:space="0" w:color="auto"/>
                                                                                  </w:divBdr>
                                                                                </w:div>
                                                                                <w:div w:id="2122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275484">
      <w:marLeft w:val="0"/>
      <w:marRight w:val="0"/>
      <w:marTop w:val="0"/>
      <w:marBottom w:val="0"/>
      <w:divBdr>
        <w:top w:val="none" w:sz="0" w:space="0" w:color="auto"/>
        <w:left w:val="none" w:sz="0" w:space="0" w:color="auto"/>
        <w:bottom w:val="none" w:sz="0" w:space="0" w:color="auto"/>
        <w:right w:val="none" w:sz="0" w:space="0" w:color="auto"/>
      </w:divBdr>
    </w:div>
    <w:div w:id="212275487">
      <w:marLeft w:val="0"/>
      <w:marRight w:val="0"/>
      <w:marTop w:val="0"/>
      <w:marBottom w:val="0"/>
      <w:divBdr>
        <w:top w:val="none" w:sz="0" w:space="0" w:color="auto"/>
        <w:left w:val="none" w:sz="0" w:space="0" w:color="auto"/>
        <w:bottom w:val="none" w:sz="0" w:space="0" w:color="auto"/>
        <w:right w:val="none" w:sz="0" w:space="0" w:color="auto"/>
      </w:divBdr>
      <w:divsChild>
        <w:div w:id="212275501">
          <w:marLeft w:val="0"/>
          <w:marRight w:val="0"/>
          <w:marTop w:val="50"/>
          <w:marBottom w:val="0"/>
          <w:divBdr>
            <w:top w:val="none" w:sz="0" w:space="0" w:color="auto"/>
            <w:left w:val="none" w:sz="0" w:space="0" w:color="auto"/>
            <w:bottom w:val="none" w:sz="0" w:space="0" w:color="auto"/>
            <w:right w:val="none" w:sz="0" w:space="0" w:color="auto"/>
          </w:divBdr>
        </w:div>
        <w:div w:id="212275502">
          <w:marLeft w:val="0"/>
          <w:marRight w:val="0"/>
          <w:marTop w:val="50"/>
          <w:marBottom w:val="0"/>
          <w:divBdr>
            <w:top w:val="none" w:sz="0" w:space="0" w:color="auto"/>
            <w:left w:val="none" w:sz="0" w:space="0" w:color="auto"/>
            <w:bottom w:val="none" w:sz="0" w:space="0" w:color="auto"/>
            <w:right w:val="none" w:sz="0" w:space="0" w:color="auto"/>
          </w:divBdr>
        </w:div>
      </w:divsChild>
    </w:div>
    <w:div w:id="212275490">
      <w:marLeft w:val="0"/>
      <w:marRight w:val="0"/>
      <w:marTop w:val="0"/>
      <w:marBottom w:val="0"/>
      <w:divBdr>
        <w:top w:val="none" w:sz="0" w:space="0" w:color="auto"/>
        <w:left w:val="none" w:sz="0" w:space="0" w:color="auto"/>
        <w:bottom w:val="none" w:sz="0" w:space="0" w:color="auto"/>
        <w:right w:val="none" w:sz="0" w:space="0" w:color="auto"/>
      </w:divBdr>
    </w:div>
    <w:div w:id="212275493">
      <w:marLeft w:val="0"/>
      <w:marRight w:val="0"/>
      <w:marTop w:val="0"/>
      <w:marBottom w:val="0"/>
      <w:divBdr>
        <w:top w:val="none" w:sz="0" w:space="0" w:color="auto"/>
        <w:left w:val="none" w:sz="0" w:space="0" w:color="auto"/>
        <w:bottom w:val="none" w:sz="0" w:space="0" w:color="auto"/>
        <w:right w:val="none" w:sz="0" w:space="0" w:color="auto"/>
      </w:divBdr>
      <w:divsChild>
        <w:div w:id="212275489">
          <w:marLeft w:val="0"/>
          <w:marRight w:val="0"/>
          <w:marTop w:val="50"/>
          <w:marBottom w:val="0"/>
          <w:divBdr>
            <w:top w:val="none" w:sz="0" w:space="0" w:color="auto"/>
            <w:left w:val="none" w:sz="0" w:space="0" w:color="auto"/>
            <w:bottom w:val="none" w:sz="0" w:space="0" w:color="auto"/>
            <w:right w:val="none" w:sz="0" w:space="0" w:color="auto"/>
          </w:divBdr>
        </w:div>
        <w:div w:id="212275505">
          <w:marLeft w:val="0"/>
          <w:marRight w:val="0"/>
          <w:marTop w:val="50"/>
          <w:marBottom w:val="0"/>
          <w:divBdr>
            <w:top w:val="none" w:sz="0" w:space="0" w:color="auto"/>
            <w:left w:val="none" w:sz="0" w:space="0" w:color="auto"/>
            <w:bottom w:val="none" w:sz="0" w:space="0" w:color="auto"/>
            <w:right w:val="none" w:sz="0" w:space="0" w:color="auto"/>
          </w:divBdr>
        </w:div>
      </w:divsChild>
    </w:div>
    <w:div w:id="212275494">
      <w:marLeft w:val="0"/>
      <w:marRight w:val="0"/>
      <w:marTop w:val="0"/>
      <w:marBottom w:val="0"/>
      <w:divBdr>
        <w:top w:val="none" w:sz="0" w:space="0" w:color="auto"/>
        <w:left w:val="none" w:sz="0" w:space="0" w:color="auto"/>
        <w:bottom w:val="none" w:sz="0" w:space="0" w:color="auto"/>
        <w:right w:val="none" w:sz="0" w:space="0" w:color="auto"/>
      </w:divBdr>
      <w:divsChild>
        <w:div w:id="212275488">
          <w:marLeft w:val="0"/>
          <w:marRight w:val="0"/>
          <w:marTop w:val="50"/>
          <w:marBottom w:val="0"/>
          <w:divBdr>
            <w:top w:val="none" w:sz="0" w:space="0" w:color="auto"/>
            <w:left w:val="none" w:sz="0" w:space="0" w:color="auto"/>
            <w:bottom w:val="none" w:sz="0" w:space="0" w:color="auto"/>
            <w:right w:val="none" w:sz="0" w:space="0" w:color="auto"/>
          </w:divBdr>
        </w:div>
        <w:div w:id="212275491">
          <w:marLeft w:val="0"/>
          <w:marRight w:val="0"/>
          <w:marTop w:val="50"/>
          <w:marBottom w:val="0"/>
          <w:divBdr>
            <w:top w:val="none" w:sz="0" w:space="0" w:color="auto"/>
            <w:left w:val="none" w:sz="0" w:space="0" w:color="auto"/>
            <w:bottom w:val="none" w:sz="0" w:space="0" w:color="auto"/>
            <w:right w:val="none" w:sz="0" w:space="0" w:color="auto"/>
          </w:divBdr>
        </w:div>
        <w:div w:id="212275492">
          <w:marLeft w:val="0"/>
          <w:marRight w:val="0"/>
          <w:marTop w:val="50"/>
          <w:marBottom w:val="0"/>
          <w:divBdr>
            <w:top w:val="none" w:sz="0" w:space="0" w:color="auto"/>
            <w:left w:val="none" w:sz="0" w:space="0" w:color="auto"/>
            <w:bottom w:val="none" w:sz="0" w:space="0" w:color="auto"/>
            <w:right w:val="none" w:sz="0" w:space="0" w:color="auto"/>
          </w:divBdr>
        </w:div>
        <w:div w:id="212275495">
          <w:marLeft w:val="0"/>
          <w:marRight w:val="0"/>
          <w:marTop w:val="50"/>
          <w:marBottom w:val="0"/>
          <w:divBdr>
            <w:top w:val="none" w:sz="0" w:space="0" w:color="auto"/>
            <w:left w:val="none" w:sz="0" w:space="0" w:color="auto"/>
            <w:bottom w:val="none" w:sz="0" w:space="0" w:color="auto"/>
            <w:right w:val="none" w:sz="0" w:space="0" w:color="auto"/>
          </w:divBdr>
        </w:div>
        <w:div w:id="212275496">
          <w:marLeft w:val="0"/>
          <w:marRight w:val="0"/>
          <w:marTop w:val="50"/>
          <w:marBottom w:val="0"/>
          <w:divBdr>
            <w:top w:val="none" w:sz="0" w:space="0" w:color="auto"/>
            <w:left w:val="none" w:sz="0" w:space="0" w:color="auto"/>
            <w:bottom w:val="none" w:sz="0" w:space="0" w:color="auto"/>
            <w:right w:val="none" w:sz="0" w:space="0" w:color="auto"/>
          </w:divBdr>
        </w:div>
        <w:div w:id="212275499">
          <w:marLeft w:val="0"/>
          <w:marRight w:val="0"/>
          <w:marTop w:val="50"/>
          <w:marBottom w:val="0"/>
          <w:divBdr>
            <w:top w:val="none" w:sz="0" w:space="0" w:color="auto"/>
            <w:left w:val="none" w:sz="0" w:space="0" w:color="auto"/>
            <w:bottom w:val="none" w:sz="0" w:space="0" w:color="auto"/>
            <w:right w:val="none" w:sz="0" w:space="0" w:color="auto"/>
          </w:divBdr>
        </w:div>
        <w:div w:id="212275500">
          <w:marLeft w:val="0"/>
          <w:marRight w:val="0"/>
          <w:marTop w:val="50"/>
          <w:marBottom w:val="0"/>
          <w:divBdr>
            <w:top w:val="none" w:sz="0" w:space="0" w:color="auto"/>
            <w:left w:val="none" w:sz="0" w:space="0" w:color="auto"/>
            <w:bottom w:val="none" w:sz="0" w:space="0" w:color="auto"/>
            <w:right w:val="none" w:sz="0" w:space="0" w:color="auto"/>
          </w:divBdr>
        </w:div>
        <w:div w:id="212275503">
          <w:marLeft w:val="0"/>
          <w:marRight w:val="0"/>
          <w:marTop w:val="0"/>
          <w:marBottom w:val="0"/>
          <w:divBdr>
            <w:top w:val="none" w:sz="0" w:space="0" w:color="auto"/>
            <w:left w:val="none" w:sz="0" w:space="0" w:color="auto"/>
            <w:bottom w:val="none" w:sz="0" w:space="0" w:color="auto"/>
            <w:right w:val="none" w:sz="0" w:space="0" w:color="auto"/>
          </w:divBdr>
          <w:divsChild>
            <w:div w:id="212275498">
              <w:marLeft w:val="0"/>
              <w:marRight w:val="0"/>
              <w:marTop w:val="0"/>
              <w:marBottom w:val="0"/>
              <w:divBdr>
                <w:top w:val="none" w:sz="0" w:space="0" w:color="auto"/>
                <w:left w:val="none" w:sz="0" w:space="0" w:color="auto"/>
                <w:bottom w:val="none" w:sz="0" w:space="0" w:color="auto"/>
                <w:right w:val="none" w:sz="0" w:space="0" w:color="auto"/>
              </w:divBdr>
              <w:divsChild>
                <w:div w:id="21227549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212275504">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79</TotalTime>
  <Pages>14</Pages>
  <Words>1742</Words>
  <Characters>9936</Characters>
  <Application>Microsoft Office Outlook</Application>
  <DocSecurity>0</DocSecurity>
  <Lines>0</Lines>
  <Paragraphs>0</Paragraphs>
  <ScaleCrop>false</ScaleCrop>
  <Company>SCBD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UNEP/CBD/NP/COP-MOP/2/CRP.</dc:subject>
  <dc:creator>SCBD</dc:creator>
  <cp:keywords/>
  <dc:description/>
  <cp:lastModifiedBy>HH</cp:lastModifiedBy>
  <cp:revision>7</cp:revision>
  <cp:lastPrinted>2014-10-12T13:43:00Z</cp:lastPrinted>
  <dcterms:created xsi:type="dcterms:W3CDTF">2019-02-06T18:06:00Z</dcterms:created>
  <dcterms:modified xsi:type="dcterms:W3CDTF">2019-02-07T13:47:00Z</dcterms:modified>
</cp:coreProperties>
</file>