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1D28E2" w:rsidRPr="00985E75" w:rsidTr="00CD75F8">
        <w:trPr>
          <w:trHeight w:val="709"/>
        </w:trPr>
        <w:tc>
          <w:tcPr>
            <w:tcW w:w="976" w:type="dxa"/>
            <w:tcBorders>
              <w:bottom w:val="single" w:sz="12" w:space="0" w:color="auto"/>
            </w:tcBorders>
          </w:tcPr>
          <w:p w:rsidR="001D28E2" w:rsidRPr="00985E75" w:rsidRDefault="001D28E2" w:rsidP="00CD75F8">
            <w:pPr>
              <w:rPr>
                <w:kern w:val="22"/>
                <w:lang w:val="fr-CA"/>
              </w:rPr>
            </w:pPr>
            <w:r w:rsidRPr="00985E75">
              <w:rPr>
                <w:noProof/>
                <w:kern w:val="22"/>
                <w:lang w:val="fr-CA" w:eastAsia="fr-CA"/>
              </w:rPr>
              <w:drawing>
                <wp:inline distT="0" distB="0" distL="0" distR="0" wp14:anchorId="401BD432" wp14:editId="06A862C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1D28E2" w:rsidRPr="00985E75" w:rsidRDefault="001D28E2" w:rsidP="00CD75F8">
            <w:pPr>
              <w:rPr>
                <w:kern w:val="22"/>
                <w:lang w:val="fr-CA"/>
              </w:rPr>
            </w:pPr>
            <w:r w:rsidRPr="00985E75">
              <w:rPr>
                <w:noProof/>
                <w:kern w:val="22"/>
                <w:lang w:val="fr-CA" w:eastAsia="fr-CA"/>
              </w:rPr>
              <w:drawing>
                <wp:inline distT="0" distB="0" distL="0" distR="0" wp14:anchorId="04E11866" wp14:editId="4A71C0D1">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1D28E2" w:rsidRPr="00985E75" w:rsidRDefault="001D28E2" w:rsidP="00CD75F8">
            <w:pPr>
              <w:jc w:val="right"/>
              <w:rPr>
                <w:rFonts w:ascii="Arial" w:hAnsi="Arial" w:cs="Arial"/>
                <w:b/>
                <w:kern w:val="22"/>
                <w:sz w:val="32"/>
                <w:szCs w:val="32"/>
                <w:lang w:val="fr-CA"/>
              </w:rPr>
            </w:pPr>
            <w:r w:rsidRPr="00985E75">
              <w:rPr>
                <w:rFonts w:ascii="Arial" w:hAnsi="Arial" w:cs="Arial"/>
                <w:b/>
                <w:kern w:val="22"/>
                <w:sz w:val="32"/>
                <w:szCs w:val="32"/>
                <w:lang w:val="fr-CA"/>
              </w:rPr>
              <w:t>CBD</w:t>
            </w:r>
          </w:p>
        </w:tc>
      </w:tr>
      <w:tr w:rsidR="001D28E2" w:rsidRPr="00985E75" w:rsidTr="00CD75F8">
        <w:tc>
          <w:tcPr>
            <w:tcW w:w="6117" w:type="dxa"/>
            <w:gridSpan w:val="2"/>
            <w:tcBorders>
              <w:top w:val="single" w:sz="12" w:space="0" w:color="auto"/>
              <w:bottom w:val="single" w:sz="36" w:space="0" w:color="auto"/>
            </w:tcBorders>
            <w:vAlign w:val="center"/>
          </w:tcPr>
          <w:p w:rsidR="001D28E2" w:rsidRPr="00985E75" w:rsidRDefault="00985E75" w:rsidP="00CD75F8">
            <w:pPr>
              <w:rPr>
                <w:kern w:val="22"/>
                <w:lang w:val="fr-CA"/>
              </w:rPr>
            </w:pPr>
            <w:r w:rsidRPr="00985E75">
              <w:rPr>
                <w:noProof/>
                <w:lang w:val="fr-CA" w:eastAsia="fr-CA"/>
              </w:rPr>
              <w:drawing>
                <wp:inline distT="0" distB="0" distL="0" distR="0" wp14:anchorId="1D4DD49A" wp14:editId="4DE1D65C">
                  <wp:extent cx="2876550" cy="1076325"/>
                  <wp:effectExtent l="0" t="0" r="0" b="9525"/>
                  <wp:docPr id="2" name="Image 2" descr="U:\Working Folders\Logos\CBD-official\logo-cbd-fr\cbd-logo-print-blk-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ing Folders\Logos\CBD-official\logo-cbd-fr\cbd-logo-print-blk-f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1D28E2" w:rsidRPr="00985E75" w:rsidRDefault="001D28E2" w:rsidP="001F488A">
            <w:pPr>
              <w:ind w:left="1215"/>
              <w:jc w:val="left"/>
              <w:rPr>
                <w:kern w:val="22"/>
                <w:lang w:val="fr-CA"/>
              </w:rPr>
            </w:pPr>
            <w:proofErr w:type="spellStart"/>
            <w:r w:rsidRPr="00985E75">
              <w:rPr>
                <w:kern w:val="22"/>
                <w:lang w:val="fr-CA"/>
              </w:rPr>
              <w:t>Distr</w:t>
            </w:r>
            <w:proofErr w:type="spellEnd"/>
            <w:r w:rsidRPr="00985E75">
              <w:rPr>
                <w:kern w:val="22"/>
                <w:lang w:val="fr-CA"/>
              </w:rPr>
              <w:t>.</w:t>
            </w:r>
          </w:p>
          <w:p w:rsidR="001D28E2" w:rsidRPr="00985E75" w:rsidRDefault="006D205E" w:rsidP="001F488A">
            <w:pPr>
              <w:ind w:left="1215"/>
              <w:jc w:val="left"/>
              <w:rPr>
                <w:kern w:val="22"/>
                <w:lang w:val="fr-CA"/>
              </w:rPr>
            </w:pPr>
            <w:sdt>
              <w:sdtPr>
                <w:rPr>
                  <w:kern w:val="22"/>
                  <w:lang w:val="fr-CA"/>
                </w:rPr>
                <w:alias w:val="Status"/>
                <w:tag w:val=""/>
                <w:id w:val="307985777"/>
                <w:placeholder>
                  <w:docPart w:val="0FFB900D370D4AD8B74252B8A8A8AB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985E75" w:rsidRPr="00985E75">
                  <w:rPr>
                    <w:kern w:val="22"/>
                    <w:lang w:val="fr-CA"/>
                  </w:rPr>
                  <w:t>GÉNÉRALE</w:t>
                </w:r>
              </w:sdtContent>
            </w:sdt>
          </w:p>
          <w:p w:rsidR="001D28E2" w:rsidRPr="00985E75" w:rsidRDefault="001D28E2" w:rsidP="001F488A">
            <w:pPr>
              <w:ind w:left="1215"/>
              <w:jc w:val="left"/>
              <w:rPr>
                <w:kern w:val="22"/>
                <w:lang w:val="fr-CA"/>
              </w:rPr>
            </w:pPr>
          </w:p>
          <w:p w:rsidR="001D28E2" w:rsidRPr="00985E75" w:rsidRDefault="006D205E" w:rsidP="001F488A">
            <w:pPr>
              <w:ind w:left="1215"/>
              <w:jc w:val="left"/>
              <w:rPr>
                <w:kern w:val="22"/>
                <w:lang w:val="fr-CA"/>
              </w:rPr>
            </w:pPr>
            <w:sdt>
              <w:sdtPr>
                <w:rPr>
                  <w:kern w:val="22"/>
                  <w:lang w:val="fr-CA"/>
                </w:rPr>
                <w:alias w:val="Subject"/>
                <w:tag w:val=""/>
                <w:id w:val="2137136483"/>
                <w:placeholder>
                  <w:docPart w:val="747C16E8C9F047398CDAF08070DC6665"/>
                </w:placeholder>
                <w:dataBinding w:prefixMappings="xmlns:ns0='http://purl.org/dc/elements/1.1/' xmlns:ns1='http://schemas.openxmlformats.org/package/2006/metadata/core-properties' " w:xpath="/ns1:coreProperties[1]/ns0:subject[1]" w:storeItemID="{6C3C8BC8-F283-45AE-878A-BAB7291924A1}"/>
                <w:text/>
              </w:sdtPr>
              <w:sdtEndPr/>
              <w:sdtContent>
                <w:r w:rsidR="00C72C77" w:rsidRPr="00985E75">
                  <w:rPr>
                    <w:kern w:val="22"/>
                    <w:lang w:val="fr-CA"/>
                  </w:rPr>
                  <w:t>CBD/</w:t>
                </w:r>
                <w:proofErr w:type="spellStart"/>
                <w:r w:rsidR="00C72C77" w:rsidRPr="00985E75">
                  <w:rPr>
                    <w:kern w:val="22"/>
                    <w:lang w:val="fr-CA"/>
                  </w:rPr>
                  <w:t>NP</w:t>
                </w:r>
                <w:proofErr w:type="spellEnd"/>
                <w:r w:rsidR="00C72C77" w:rsidRPr="00985E75">
                  <w:rPr>
                    <w:kern w:val="22"/>
                    <w:lang w:val="fr-CA"/>
                  </w:rPr>
                  <w:t>/</w:t>
                </w:r>
                <w:proofErr w:type="spellStart"/>
                <w:r w:rsidR="001D28E2" w:rsidRPr="00985E75">
                  <w:rPr>
                    <w:kern w:val="22"/>
                    <w:lang w:val="fr-CA"/>
                  </w:rPr>
                  <w:t>MOP</w:t>
                </w:r>
                <w:proofErr w:type="spellEnd"/>
                <w:r w:rsidR="001D28E2" w:rsidRPr="00985E75">
                  <w:rPr>
                    <w:kern w:val="22"/>
                    <w:lang w:val="fr-CA"/>
                  </w:rPr>
                  <w:t>/DEC/3/2</w:t>
                </w:r>
              </w:sdtContent>
            </w:sdt>
          </w:p>
          <w:p w:rsidR="001D28E2" w:rsidRPr="00985E75" w:rsidRDefault="001D28E2" w:rsidP="001F488A">
            <w:pPr>
              <w:ind w:left="1215"/>
              <w:jc w:val="left"/>
              <w:rPr>
                <w:kern w:val="22"/>
                <w:lang w:val="fr-CA"/>
              </w:rPr>
            </w:pPr>
            <w:r w:rsidRPr="00985E75">
              <w:rPr>
                <w:kern w:val="22"/>
                <w:lang w:val="fr-CA"/>
              </w:rPr>
              <w:t xml:space="preserve">30 </w:t>
            </w:r>
            <w:r w:rsidR="00985E75">
              <w:rPr>
                <w:kern w:val="22"/>
                <w:lang w:val="fr-CA"/>
              </w:rPr>
              <w:t>novembre</w:t>
            </w:r>
            <w:r w:rsidRPr="00985E75">
              <w:rPr>
                <w:kern w:val="22"/>
                <w:lang w:val="fr-CA"/>
              </w:rPr>
              <w:t xml:space="preserve"> 2018</w:t>
            </w:r>
          </w:p>
          <w:p w:rsidR="001D28E2" w:rsidRPr="00985E75" w:rsidRDefault="001D28E2" w:rsidP="001F488A">
            <w:pPr>
              <w:ind w:left="1215"/>
              <w:jc w:val="left"/>
              <w:rPr>
                <w:kern w:val="22"/>
                <w:lang w:val="fr-CA"/>
              </w:rPr>
            </w:pPr>
          </w:p>
          <w:p w:rsidR="007B6194" w:rsidRDefault="007B6194" w:rsidP="001F488A">
            <w:pPr>
              <w:ind w:left="1215"/>
              <w:jc w:val="left"/>
              <w:rPr>
                <w:kern w:val="22"/>
                <w:lang w:val="fr-CA"/>
              </w:rPr>
            </w:pPr>
            <w:r>
              <w:rPr>
                <w:kern w:val="22"/>
                <w:lang w:val="fr-CA"/>
              </w:rPr>
              <w:t>FRANÇAIS</w:t>
            </w:r>
          </w:p>
          <w:p w:rsidR="001D28E2" w:rsidRPr="00985E75" w:rsidRDefault="001D28E2" w:rsidP="001F488A">
            <w:pPr>
              <w:ind w:left="1215"/>
              <w:jc w:val="left"/>
              <w:rPr>
                <w:kern w:val="22"/>
                <w:lang w:val="fr-CA"/>
              </w:rPr>
            </w:pPr>
            <w:r w:rsidRPr="00985E75">
              <w:rPr>
                <w:kern w:val="22"/>
                <w:lang w:val="fr-CA"/>
              </w:rPr>
              <w:t>ORIGINAL</w:t>
            </w:r>
            <w:r w:rsidR="007B6194">
              <w:rPr>
                <w:kern w:val="22"/>
                <w:lang w:val="fr-CA"/>
              </w:rPr>
              <w:t xml:space="preserve"> </w:t>
            </w:r>
            <w:r w:rsidRPr="00985E75">
              <w:rPr>
                <w:kern w:val="22"/>
                <w:lang w:val="fr-CA"/>
              </w:rPr>
              <w:t xml:space="preserve">: </w:t>
            </w:r>
            <w:r w:rsidR="007B6194">
              <w:rPr>
                <w:kern w:val="22"/>
                <w:lang w:val="fr-CA"/>
              </w:rPr>
              <w:t>ANGLAIS</w:t>
            </w:r>
          </w:p>
          <w:p w:rsidR="001D28E2" w:rsidRPr="00985E75" w:rsidRDefault="001D28E2" w:rsidP="001F488A">
            <w:pPr>
              <w:ind w:left="1215"/>
              <w:jc w:val="left"/>
              <w:rPr>
                <w:kern w:val="22"/>
                <w:lang w:val="fr-CA"/>
              </w:rPr>
            </w:pPr>
          </w:p>
        </w:tc>
      </w:tr>
    </w:tbl>
    <w:p w:rsidR="00985E75" w:rsidRPr="00985E75" w:rsidRDefault="00985E75" w:rsidP="00985E75">
      <w:pPr>
        <w:suppressLineNumbers/>
        <w:tabs>
          <w:tab w:val="left" w:pos="5580"/>
        </w:tabs>
        <w:suppressAutoHyphens/>
        <w:kinsoku w:val="0"/>
        <w:overflowPunct w:val="0"/>
        <w:autoSpaceDE w:val="0"/>
        <w:autoSpaceDN w:val="0"/>
        <w:ind w:left="170" w:right="3938" w:hanging="170"/>
        <w:jc w:val="left"/>
        <w:rPr>
          <w:rFonts w:eastAsia="Batang"/>
          <w:snapToGrid w:val="0"/>
          <w:kern w:val="22"/>
          <w:szCs w:val="22"/>
          <w:lang w:val="fr-CA"/>
        </w:rPr>
      </w:pPr>
      <w:r w:rsidRPr="00985E75">
        <w:rPr>
          <w:snapToGrid w:val="0"/>
          <w:kern w:val="22"/>
          <w:lang w:val="fr-CA"/>
        </w:rPr>
        <w:t>CONFÉRENCE DES PARTIES À LA CONVENTION SUR LA DIVERSITÉ BIOLOGIQUE SIÉGEANT EN TANT QUE RÉUNION DES PARTIES AU PROTOCOLE DE NAGOYA SUR L’ACCÈS AUX RESSOURCES GÉNÉTIQUES ET LE PARTAGE JUSTE ET ÉQUITABLE DES AVANTAGES DÉCOULANT DE LEUR UTILISATION</w:t>
      </w:r>
    </w:p>
    <w:p w:rsidR="00985E75" w:rsidRPr="00985E75" w:rsidRDefault="00985E75" w:rsidP="00985E75">
      <w:pPr>
        <w:suppressLineNumbers/>
        <w:suppressAutoHyphens/>
        <w:kinsoku w:val="0"/>
        <w:overflowPunct w:val="0"/>
        <w:autoSpaceDE w:val="0"/>
        <w:autoSpaceDN w:val="0"/>
        <w:ind w:left="170" w:right="3119" w:hanging="170"/>
        <w:jc w:val="left"/>
        <w:rPr>
          <w:rFonts w:eastAsia="Batang"/>
          <w:snapToGrid w:val="0"/>
          <w:kern w:val="22"/>
          <w:szCs w:val="22"/>
          <w:lang w:val="fr-CA"/>
        </w:rPr>
      </w:pPr>
      <w:r w:rsidRPr="00985E75">
        <w:rPr>
          <w:snapToGrid w:val="0"/>
          <w:color w:val="000000"/>
          <w:kern w:val="22"/>
          <w:lang w:val="fr-CA"/>
        </w:rPr>
        <w:t>Troisième réunion</w:t>
      </w:r>
    </w:p>
    <w:p w:rsidR="00985E75" w:rsidRPr="00985E75" w:rsidRDefault="00A95A6B" w:rsidP="00985E75">
      <w:pPr>
        <w:suppressLineNumbers/>
        <w:suppressAutoHyphens/>
        <w:kinsoku w:val="0"/>
        <w:overflowPunct w:val="0"/>
        <w:autoSpaceDE w:val="0"/>
        <w:autoSpaceDN w:val="0"/>
        <w:rPr>
          <w:snapToGrid w:val="0"/>
          <w:kern w:val="22"/>
          <w:szCs w:val="22"/>
          <w:lang w:val="fr-CA" w:eastAsia="nb-NO"/>
        </w:rPr>
      </w:pPr>
      <w:bookmarkStart w:id="0" w:name="_Hlk505863673"/>
      <w:r>
        <w:rPr>
          <w:noProof/>
          <w:snapToGrid w:val="0"/>
          <w:kern w:val="22"/>
          <w:szCs w:val="22"/>
          <w:lang w:val="fr-CA" w:eastAsia="nb-NO"/>
        </w:rPr>
        <w:t>Charm e</w:t>
      </w:r>
      <w:bookmarkStart w:id="1" w:name="_GoBack"/>
      <w:bookmarkEnd w:id="1"/>
      <w:r>
        <w:rPr>
          <w:noProof/>
          <w:snapToGrid w:val="0"/>
          <w:kern w:val="22"/>
          <w:szCs w:val="22"/>
          <w:lang w:val="fr-CA" w:eastAsia="nb-NO"/>
        </w:rPr>
        <w:t>l</w:t>
      </w:r>
      <w:r>
        <w:rPr>
          <w:noProof/>
          <w:snapToGrid w:val="0"/>
          <w:kern w:val="22"/>
          <w:szCs w:val="22"/>
          <w:lang w:val="fr-CA" w:eastAsia="nb-NO"/>
        </w:rPr>
        <w:noBreakHyphen/>
        <w:t>C</w:t>
      </w:r>
      <w:r w:rsidR="00985E75" w:rsidRPr="00985E75">
        <w:rPr>
          <w:noProof/>
          <w:snapToGrid w:val="0"/>
          <w:kern w:val="22"/>
          <w:szCs w:val="22"/>
          <w:lang w:val="fr-CA" w:eastAsia="nb-NO"/>
        </w:rPr>
        <w:t>heikh (Égypt</w:t>
      </w:r>
      <w:bookmarkEnd w:id="0"/>
      <w:r w:rsidR="00985E75" w:rsidRPr="00985E75">
        <w:rPr>
          <w:noProof/>
          <w:snapToGrid w:val="0"/>
          <w:kern w:val="22"/>
          <w:szCs w:val="22"/>
          <w:lang w:val="fr-CA" w:eastAsia="nb-NO"/>
        </w:rPr>
        <w:t>e</w:t>
      </w:r>
      <w:r w:rsidR="00985E75" w:rsidRPr="00985E75">
        <w:rPr>
          <w:snapToGrid w:val="0"/>
          <w:kern w:val="22"/>
          <w:szCs w:val="22"/>
          <w:lang w:val="fr-CA" w:eastAsia="nb-NO"/>
        </w:rPr>
        <w:t>), 17</w:t>
      </w:r>
      <w:r w:rsidR="00985E75" w:rsidRPr="00985E75">
        <w:rPr>
          <w:snapToGrid w:val="0"/>
          <w:kern w:val="22"/>
          <w:szCs w:val="22"/>
          <w:lang w:val="fr-CA" w:eastAsia="nb-NO"/>
        </w:rPr>
        <w:noBreakHyphen/>
        <w:t>29 novembre 2018</w:t>
      </w:r>
    </w:p>
    <w:p w:rsidR="00C9161D" w:rsidRPr="00985E75" w:rsidRDefault="00985E75" w:rsidP="00985E75">
      <w:pPr>
        <w:rPr>
          <w:kern w:val="22"/>
          <w:szCs w:val="22"/>
          <w:lang w:val="fr-CA"/>
        </w:rPr>
      </w:pPr>
      <w:r w:rsidRPr="00985E75">
        <w:rPr>
          <w:snapToGrid w:val="0"/>
          <w:kern w:val="22"/>
          <w:szCs w:val="22"/>
          <w:lang w:val="fr-CA"/>
        </w:rPr>
        <w:t>Point 5 de l’ordre du jour</w:t>
      </w:r>
    </w:p>
    <w:p w:rsidR="00643DD4" w:rsidRPr="00985E75" w:rsidRDefault="007B6194" w:rsidP="00643DD4">
      <w:pPr>
        <w:pStyle w:val="Titre1"/>
        <w:rPr>
          <w:kern w:val="22"/>
          <w:szCs w:val="22"/>
          <w:lang w:val="fr-CA"/>
        </w:rPr>
      </w:pPr>
      <w:r>
        <w:rPr>
          <w:kern w:val="22"/>
          <w:szCs w:val="22"/>
          <w:lang w:val="fr-CA"/>
        </w:rPr>
        <w:t>DÉCISION ADOPTÉE PAR LES PARTIES AU PROTOCOLE DE NAGOYA SUR L’ACCÈS ET LE PARTAGE DES AVANTAGES</w:t>
      </w:r>
    </w:p>
    <w:p w:rsidR="00C9161D" w:rsidRPr="00985E75" w:rsidRDefault="006D205E" w:rsidP="001D28E2">
      <w:pPr>
        <w:pStyle w:val="recommendationheader"/>
        <w:rPr>
          <w:b w:val="0"/>
          <w:caps/>
          <w:kern w:val="22"/>
          <w:szCs w:val="22"/>
          <w:lang w:val="fr-CA"/>
        </w:rPr>
      </w:pPr>
      <w:sdt>
        <w:sdtPr>
          <w:rPr>
            <w:kern w:val="22"/>
            <w:szCs w:val="22"/>
            <w:lang w:val="fr-CA"/>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525513" w:rsidRPr="00985E75">
            <w:rPr>
              <w:kern w:val="22"/>
              <w:szCs w:val="22"/>
              <w:lang w:val="fr-CA"/>
            </w:rPr>
            <w:t>3/2.</w:t>
          </w:r>
          <w:r w:rsidR="00525513" w:rsidRPr="00985E75">
            <w:rPr>
              <w:kern w:val="22"/>
              <w:szCs w:val="22"/>
              <w:lang w:val="fr-CA"/>
            </w:rPr>
            <w:tab/>
          </w:r>
          <w:r w:rsidR="007B6194">
            <w:rPr>
              <w:kern w:val="22"/>
              <w:szCs w:val="22"/>
              <w:lang w:val="fr-CA"/>
            </w:rPr>
            <w:t>Conformité aux dispositions du Protocole</w:t>
          </w:r>
        </w:sdtContent>
      </w:sdt>
    </w:p>
    <w:p w:rsidR="007B6194" w:rsidRPr="00E96028" w:rsidRDefault="007B6194" w:rsidP="007B6194">
      <w:pPr>
        <w:shd w:val="clear" w:color="auto" w:fill="FFFFFF"/>
        <w:spacing w:before="120" w:after="120"/>
        <w:ind w:firstLine="720"/>
        <w:rPr>
          <w:rFonts w:eastAsia="Malgun Gothic"/>
          <w:i/>
          <w:kern w:val="22"/>
          <w:lang w:val="fr-FR"/>
        </w:rPr>
      </w:pPr>
      <w:r w:rsidRPr="00E96028">
        <w:rPr>
          <w:rFonts w:eastAsia="Malgun Gothic"/>
          <w:i/>
          <w:iCs/>
          <w:kern w:val="22"/>
          <w:lang w:val="fr-FR" w:eastAsia="ko-KR"/>
        </w:rPr>
        <w:t>La Conférence des Parties siégeant en tant que réunion des Parties au Protocole</w:t>
      </w:r>
      <w:r>
        <w:rPr>
          <w:rFonts w:eastAsia="Malgun Gothic"/>
          <w:i/>
          <w:iCs/>
          <w:kern w:val="22"/>
          <w:lang w:val="fr-FR" w:eastAsia="ko-KR"/>
        </w:rPr>
        <w:t xml:space="preserve"> de Nagoya sur l’accès et le partage des avantages</w:t>
      </w:r>
      <w:r w:rsidRPr="00E96028">
        <w:rPr>
          <w:rFonts w:eastAsia="Malgun Gothic"/>
          <w:i/>
          <w:kern w:val="22"/>
          <w:lang w:val="fr-FR"/>
        </w:rPr>
        <w:t>,</w:t>
      </w:r>
    </w:p>
    <w:p w:rsidR="007B6194" w:rsidRPr="00E96028" w:rsidRDefault="007B6194" w:rsidP="007B6194">
      <w:pPr>
        <w:pStyle w:val="Para1"/>
        <w:numPr>
          <w:ilvl w:val="0"/>
          <w:numId w:val="0"/>
        </w:numPr>
        <w:adjustRightInd w:val="0"/>
        <w:snapToGrid w:val="0"/>
        <w:ind w:firstLine="720"/>
        <w:rPr>
          <w:kern w:val="20"/>
          <w:szCs w:val="22"/>
          <w:lang w:val="fr-FR"/>
        </w:rPr>
      </w:pPr>
      <w:r w:rsidRPr="00E96028">
        <w:rPr>
          <w:snapToGrid/>
          <w:kern w:val="20"/>
          <w:szCs w:val="22"/>
          <w:lang w:val="fr-FR"/>
        </w:rPr>
        <w:t>Prenant acte du rapport de la deuxième réunion du Comité de conformi</w:t>
      </w:r>
      <w:r>
        <w:rPr>
          <w:snapToGrid/>
          <w:kern w:val="20"/>
          <w:szCs w:val="22"/>
          <w:lang w:val="fr-FR"/>
        </w:rPr>
        <w:t>té</w:t>
      </w:r>
      <w:r w:rsidRPr="00E96028">
        <w:rPr>
          <w:rStyle w:val="Appelnotedebasdep"/>
          <w:rFonts w:eastAsiaTheme="majorEastAsia"/>
          <w:snapToGrid/>
          <w:kern w:val="20"/>
          <w:szCs w:val="22"/>
          <w:lang w:val="fr-FR"/>
        </w:rPr>
        <w:footnoteReference w:id="1"/>
      </w:r>
      <w:r w:rsidRPr="00E96028">
        <w:rPr>
          <w:snapToGrid/>
          <w:kern w:val="20"/>
          <w:szCs w:val="22"/>
          <w:lang w:val="fr-FR"/>
        </w:rPr>
        <w:t>et de ses recommandations,</w:t>
      </w:r>
    </w:p>
    <w:p w:rsidR="007B6194" w:rsidRPr="00E96028" w:rsidRDefault="007B6194" w:rsidP="007B6194">
      <w:pPr>
        <w:suppressLineNumbers/>
        <w:shd w:val="clear" w:color="auto" w:fill="FFFFFF" w:themeFill="background1"/>
        <w:suppressAutoHyphens/>
        <w:kinsoku w:val="0"/>
        <w:overflowPunct w:val="0"/>
        <w:autoSpaceDE w:val="0"/>
        <w:autoSpaceDN w:val="0"/>
        <w:adjustRightInd w:val="0"/>
        <w:snapToGrid w:val="0"/>
        <w:spacing w:before="120" w:after="120" w:line="228" w:lineRule="auto"/>
        <w:ind w:firstLine="709"/>
        <w:rPr>
          <w:snapToGrid w:val="0"/>
          <w:kern w:val="22"/>
          <w:szCs w:val="22"/>
          <w:lang w:val="fr-FR"/>
        </w:rPr>
      </w:pPr>
      <w:r w:rsidRPr="00E96028">
        <w:rPr>
          <w:snapToGrid w:val="0"/>
          <w:kern w:val="22"/>
          <w:szCs w:val="22"/>
          <w:lang w:val="fr-FR"/>
        </w:rPr>
        <w:t>1.</w:t>
      </w:r>
      <w:r w:rsidRPr="00E96028">
        <w:rPr>
          <w:i/>
          <w:snapToGrid w:val="0"/>
          <w:kern w:val="22"/>
          <w:szCs w:val="22"/>
          <w:lang w:val="fr-FR"/>
        </w:rPr>
        <w:t xml:space="preserve"> </w:t>
      </w:r>
      <w:r w:rsidRPr="00E96028">
        <w:rPr>
          <w:i/>
          <w:snapToGrid w:val="0"/>
          <w:kern w:val="22"/>
          <w:szCs w:val="22"/>
          <w:lang w:val="fr-FR"/>
        </w:rPr>
        <w:tab/>
        <w:t>Accueille avec satisfaction</w:t>
      </w:r>
      <w:r w:rsidRPr="00E96028">
        <w:rPr>
          <w:snapToGrid w:val="0"/>
          <w:kern w:val="22"/>
          <w:szCs w:val="22"/>
          <w:lang w:val="fr-FR"/>
        </w:rPr>
        <w:t xml:space="preserve"> les progrès accomplis par les Parties dans l'application du Protocole et </w:t>
      </w:r>
      <w:r w:rsidRPr="00E96028">
        <w:rPr>
          <w:i/>
          <w:snapToGrid w:val="0"/>
          <w:kern w:val="22"/>
          <w:szCs w:val="22"/>
          <w:lang w:val="fr-FR"/>
        </w:rPr>
        <w:t xml:space="preserve">exhorte les </w:t>
      </w:r>
      <w:r w:rsidRPr="00E96028">
        <w:rPr>
          <w:snapToGrid w:val="0"/>
          <w:kern w:val="22"/>
          <w:szCs w:val="22"/>
          <w:lang w:val="fr-FR"/>
        </w:rPr>
        <w:t>Parties qui ne l'ont pas encore fait à mettre en place des mesures législatives, administratives et de politique générale, ainsi que des dispositifs institutionnels sur l'accès et le partage des avantages ;</w:t>
      </w:r>
    </w:p>
    <w:p w:rsidR="00EE7345" w:rsidRPr="00985E75" w:rsidRDefault="007B6194" w:rsidP="007B6194">
      <w:pPr>
        <w:suppressLineNumbers/>
        <w:shd w:val="clear" w:color="auto" w:fill="FFFFFF"/>
        <w:suppressAutoHyphens/>
        <w:kinsoku w:val="0"/>
        <w:overflowPunct w:val="0"/>
        <w:autoSpaceDE w:val="0"/>
        <w:autoSpaceDN w:val="0"/>
        <w:adjustRightInd w:val="0"/>
        <w:snapToGrid w:val="0"/>
        <w:spacing w:before="120" w:after="120" w:line="228" w:lineRule="auto"/>
        <w:ind w:firstLine="709"/>
        <w:rPr>
          <w:rFonts w:eastAsia="Malgun Gothic"/>
          <w:snapToGrid w:val="0"/>
          <w:kern w:val="22"/>
          <w:szCs w:val="22"/>
          <w:lang w:val="fr-CA"/>
        </w:rPr>
      </w:pPr>
      <w:r w:rsidRPr="00E96028">
        <w:rPr>
          <w:snapToGrid w:val="0"/>
          <w:kern w:val="22"/>
          <w:szCs w:val="22"/>
          <w:lang w:val="fr-FR"/>
        </w:rPr>
        <w:t>2.</w:t>
      </w:r>
      <w:r w:rsidRPr="00E96028">
        <w:rPr>
          <w:i/>
          <w:snapToGrid w:val="0"/>
          <w:kern w:val="22"/>
          <w:szCs w:val="22"/>
          <w:lang w:val="fr-FR"/>
        </w:rPr>
        <w:tab/>
        <w:t xml:space="preserve">Accueille </w:t>
      </w:r>
      <w:r>
        <w:rPr>
          <w:i/>
          <w:snapToGrid w:val="0"/>
          <w:kern w:val="22"/>
          <w:szCs w:val="22"/>
          <w:lang w:val="fr-FR"/>
        </w:rPr>
        <w:t xml:space="preserve">également </w:t>
      </w:r>
      <w:r w:rsidRPr="00E96028">
        <w:rPr>
          <w:i/>
          <w:snapToGrid w:val="0"/>
          <w:kern w:val="22"/>
          <w:szCs w:val="22"/>
          <w:lang w:val="fr-FR"/>
        </w:rPr>
        <w:t xml:space="preserve">avec satisfaction </w:t>
      </w:r>
      <w:r w:rsidRPr="00E96028">
        <w:rPr>
          <w:snapToGrid w:val="0"/>
          <w:kern w:val="22"/>
          <w:szCs w:val="22"/>
          <w:lang w:val="fr-FR"/>
        </w:rPr>
        <w:t>la contribution du Comité de conformité au premier exercice d’évaluation et d’examen du Protocole, sous forme d’informations et de conclusions portant sur des questions de nature générale relatives au respect des dispositions et des recommandations pour aider à surmonter les obstacles à l’application du Protocole</w:t>
      </w:r>
      <w:r w:rsidR="001B5C97" w:rsidRPr="00985E75">
        <w:rPr>
          <w:rFonts w:eastAsia="Malgun Gothic"/>
          <w:snapToGrid w:val="0"/>
          <w:kern w:val="22"/>
          <w:szCs w:val="22"/>
          <w:lang w:val="fr-CA"/>
        </w:rPr>
        <w:t>.</w:t>
      </w:r>
    </w:p>
    <w:p w:rsidR="00427D21" w:rsidRPr="00985E75" w:rsidRDefault="00427D21" w:rsidP="00405146">
      <w:pPr>
        <w:pStyle w:val="Para1"/>
        <w:numPr>
          <w:ilvl w:val="0"/>
          <w:numId w:val="0"/>
        </w:numPr>
        <w:rPr>
          <w:kern w:val="22"/>
          <w:szCs w:val="22"/>
          <w:lang w:val="fr-CA"/>
        </w:rPr>
      </w:pPr>
    </w:p>
    <w:p w:rsidR="00C9161D" w:rsidRPr="00985E75" w:rsidRDefault="00C9161D" w:rsidP="00C9161D">
      <w:pPr>
        <w:jc w:val="center"/>
        <w:rPr>
          <w:kern w:val="22"/>
          <w:szCs w:val="22"/>
          <w:lang w:val="fr-CA"/>
        </w:rPr>
      </w:pPr>
      <w:r w:rsidRPr="00985E75">
        <w:rPr>
          <w:kern w:val="22"/>
          <w:szCs w:val="22"/>
          <w:lang w:val="fr-CA"/>
        </w:rPr>
        <w:t>______</w:t>
      </w:r>
      <w:r w:rsidR="00816FEB" w:rsidRPr="00985E75">
        <w:rPr>
          <w:kern w:val="22"/>
          <w:szCs w:val="22"/>
          <w:lang w:val="fr-CA"/>
        </w:rPr>
        <w:t>____</w:t>
      </w:r>
    </w:p>
    <w:p w:rsidR="00B3369F" w:rsidRPr="00985E75" w:rsidRDefault="00B3369F" w:rsidP="00C9161D">
      <w:pPr>
        <w:rPr>
          <w:kern w:val="22"/>
          <w:szCs w:val="22"/>
          <w:lang w:val="fr-CA"/>
        </w:rPr>
      </w:pPr>
    </w:p>
    <w:sectPr w:rsidR="00B3369F" w:rsidRPr="00985E75"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05E" w:rsidRDefault="006D205E" w:rsidP="00CF1848">
      <w:r>
        <w:separator/>
      </w:r>
    </w:p>
  </w:endnote>
  <w:endnote w:type="continuationSeparator" w:id="0">
    <w:p w:rsidR="006D205E" w:rsidRDefault="006D205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panose1 w:val="020B0603020202030204"/>
    <w:charset w:val="00"/>
    <w:family w:val="swiss"/>
    <w:pitch w:val="variable"/>
    <w:sig w:usb0="00000007" w:usb1="00000000" w:usb2="00000000" w:usb3="00000000" w:csb0="00000093"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05E" w:rsidRDefault="006D205E" w:rsidP="00CF1848">
      <w:r>
        <w:separator/>
      </w:r>
    </w:p>
  </w:footnote>
  <w:footnote w:type="continuationSeparator" w:id="0">
    <w:p w:rsidR="006D205E" w:rsidRDefault="006D205E" w:rsidP="00CF1848">
      <w:r>
        <w:continuationSeparator/>
      </w:r>
    </w:p>
  </w:footnote>
  <w:footnote w:id="1">
    <w:p w:rsidR="007B6194" w:rsidRPr="00E96028" w:rsidRDefault="007B6194" w:rsidP="007B6194">
      <w:pPr>
        <w:pStyle w:val="Notedebasdepage"/>
        <w:keepLines w:val="0"/>
        <w:ind w:firstLine="0"/>
        <w:jc w:val="left"/>
        <w:rPr>
          <w:kern w:val="18"/>
          <w:lang w:val="fr-FR"/>
        </w:rPr>
      </w:pPr>
      <w:r w:rsidRPr="00E96028">
        <w:rPr>
          <w:rStyle w:val="Appelnotedebasdep"/>
          <w:rFonts w:eastAsiaTheme="majorEastAsia"/>
          <w:kern w:val="18"/>
          <w:lang w:val="fr-FR"/>
        </w:rPr>
        <w:footnoteRef/>
      </w:r>
      <w:r w:rsidRPr="00E96028">
        <w:rPr>
          <w:kern w:val="18"/>
          <w:lang w:val="fr-FR"/>
        </w:rPr>
        <w:t xml:space="preserve"> CBD/</w:t>
      </w:r>
      <w:proofErr w:type="spellStart"/>
      <w:r w:rsidRPr="00E96028">
        <w:rPr>
          <w:kern w:val="18"/>
          <w:lang w:val="fr-FR"/>
        </w:rPr>
        <w:t>NP</w:t>
      </w:r>
      <w:proofErr w:type="spellEnd"/>
      <w:r w:rsidRPr="00E96028">
        <w:rPr>
          <w:kern w:val="18"/>
          <w:lang w:val="fr-FR"/>
        </w:rPr>
        <w:t>/</w:t>
      </w:r>
      <w:proofErr w:type="spellStart"/>
      <w:r w:rsidRPr="00E96028">
        <w:rPr>
          <w:kern w:val="18"/>
          <w:lang w:val="fr-FR"/>
        </w:rPr>
        <w:t>MOP</w:t>
      </w:r>
      <w:proofErr w:type="spellEnd"/>
      <w:r w:rsidRPr="00E96028">
        <w:rPr>
          <w:kern w:val="18"/>
          <w:lang w:val="fr-FR"/>
        </w:rPr>
        <w:t>/3/2.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A92DF1" w:rsidRPr="00BD2161" w:rsidRDefault="00C72C77" w:rsidP="00534681">
        <w:pPr>
          <w:pStyle w:val="En-tte"/>
          <w:rPr>
            <w:lang w:val="fr-FR"/>
          </w:rPr>
        </w:pPr>
        <w:r>
          <w:rPr>
            <w:lang w:val="fr-FR"/>
          </w:rPr>
          <w:t>CBD/NP/MOP/DEC/3/2</w:t>
        </w:r>
      </w:p>
    </w:sdtContent>
  </w:sdt>
  <w:p w:rsidR="00A92DF1" w:rsidRPr="00000614" w:rsidRDefault="00A92DF1" w:rsidP="00534681">
    <w:pPr>
      <w:pStyle w:val="En-tte"/>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Pr="00000614">
      <w:rPr>
        <w:noProof/>
        <w:lang w:val="fr-FR"/>
      </w:rPr>
      <w:t>2</w:t>
    </w:r>
    <w:r>
      <w:rPr>
        <w:noProof/>
      </w:rPr>
      <w:fldChar w:fldCharType="end"/>
    </w:r>
  </w:p>
  <w:p w:rsidR="00A92DF1" w:rsidRPr="00000614" w:rsidRDefault="00A92DF1">
    <w:pPr>
      <w:pStyle w:val="En-tte"/>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A92DF1" w:rsidRPr="00BD2161" w:rsidRDefault="00C72C77" w:rsidP="009505C9">
        <w:pPr>
          <w:pStyle w:val="En-tte"/>
          <w:jc w:val="right"/>
          <w:rPr>
            <w:lang w:val="fr-FR"/>
          </w:rPr>
        </w:pPr>
        <w:r>
          <w:rPr>
            <w:lang w:val="fr-FR"/>
          </w:rPr>
          <w:t>CBD/NP/MOP/DEC/3/2</w:t>
        </w:r>
      </w:p>
    </w:sdtContent>
  </w:sdt>
  <w:p w:rsidR="00A92DF1" w:rsidRPr="00000614" w:rsidRDefault="00A92DF1" w:rsidP="009505C9">
    <w:pPr>
      <w:pStyle w:val="En-tte"/>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Pr="00000614">
      <w:rPr>
        <w:noProof/>
        <w:lang w:val="fr-FR"/>
      </w:rPr>
      <w:t>1</w:t>
    </w:r>
    <w:r>
      <w:rPr>
        <w:noProof/>
      </w:rPr>
      <w:fldChar w:fldCharType="end"/>
    </w:r>
  </w:p>
  <w:p w:rsidR="00A92DF1" w:rsidRPr="00000614" w:rsidRDefault="00A92DF1">
    <w:pPr>
      <w:pStyle w:val="En-tte"/>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27CBA"/>
    <w:rsid w:val="000B4780"/>
    <w:rsid w:val="000E673A"/>
    <w:rsid w:val="000F74F5"/>
    <w:rsid w:val="00105372"/>
    <w:rsid w:val="00131E7A"/>
    <w:rsid w:val="00172AF6"/>
    <w:rsid w:val="00176CEE"/>
    <w:rsid w:val="001B5C97"/>
    <w:rsid w:val="001D28E2"/>
    <w:rsid w:val="001F488A"/>
    <w:rsid w:val="002016DF"/>
    <w:rsid w:val="00247B2F"/>
    <w:rsid w:val="002B4F02"/>
    <w:rsid w:val="00322016"/>
    <w:rsid w:val="00372F74"/>
    <w:rsid w:val="003F0CB9"/>
    <w:rsid w:val="003F7224"/>
    <w:rsid w:val="00405146"/>
    <w:rsid w:val="0042412C"/>
    <w:rsid w:val="00427D21"/>
    <w:rsid w:val="004557C3"/>
    <w:rsid w:val="004644C2"/>
    <w:rsid w:val="00467F9C"/>
    <w:rsid w:val="00525513"/>
    <w:rsid w:val="005345E1"/>
    <w:rsid w:val="00534681"/>
    <w:rsid w:val="005D3120"/>
    <w:rsid w:val="006122BA"/>
    <w:rsid w:val="0061445E"/>
    <w:rsid w:val="00643DD4"/>
    <w:rsid w:val="00667AD0"/>
    <w:rsid w:val="0068308E"/>
    <w:rsid w:val="006B2290"/>
    <w:rsid w:val="006D205E"/>
    <w:rsid w:val="006F1189"/>
    <w:rsid w:val="00717D88"/>
    <w:rsid w:val="007942D3"/>
    <w:rsid w:val="007B6194"/>
    <w:rsid w:val="007B6C09"/>
    <w:rsid w:val="007E09DA"/>
    <w:rsid w:val="00816FEB"/>
    <w:rsid w:val="00817571"/>
    <w:rsid w:val="008178B6"/>
    <w:rsid w:val="00865B74"/>
    <w:rsid w:val="00930BA1"/>
    <w:rsid w:val="0093169E"/>
    <w:rsid w:val="00934EDE"/>
    <w:rsid w:val="009505C9"/>
    <w:rsid w:val="0097333C"/>
    <w:rsid w:val="00985E75"/>
    <w:rsid w:val="009C200D"/>
    <w:rsid w:val="00A92DF1"/>
    <w:rsid w:val="00A95A6B"/>
    <w:rsid w:val="00A95C2B"/>
    <w:rsid w:val="00B3369F"/>
    <w:rsid w:val="00B6456D"/>
    <w:rsid w:val="00B67F80"/>
    <w:rsid w:val="00BD2161"/>
    <w:rsid w:val="00C35537"/>
    <w:rsid w:val="00C72C77"/>
    <w:rsid w:val="00C9161D"/>
    <w:rsid w:val="00CB2D5F"/>
    <w:rsid w:val="00CB2FC7"/>
    <w:rsid w:val="00CF1848"/>
    <w:rsid w:val="00D12044"/>
    <w:rsid w:val="00D613CD"/>
    <w:rsid w:val="00D76666"/>
    <w:rsid w:val="00D76A18"/>
    <w:rsid w:val="00DB53AF"/>
    <w:rsid w:val="00DD118C"/>
    <w:rsid w:val="00E66235"/>
    <w:rsid w:val="00E83C24"/>
    <w:rsid w:val="00E9318D"/>
    <w:rsid w:val="00EE7345"/>
    <w:rsid w:val="00F31D81"/>
    <w:rsid w:val="00F94774"/>
    <w:rsid w:val="00FC53DB"/>
    <w:rsid w:val="00FD0CF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rsid w:val="00427D21"/>
    <w:rPr>
      <w:sz w:val="22"/>
      <w:u w:val="none"/>
      <w:vertAlign w:val="superscript"/>
    </w:rPr>
  </w:style>
  <w:style w:type="paragraph" w:styleId="Notedebasdepage">
    <w:name w:val="footnote text"/>
    <w:basedOn w:val="Normal"/>
    <w:link w:val="NotedebasdepageCar"/>
    <w:semiHidden/>
    <w:rsid w:val="007E09DA"/>
    <w:pPr>
      <w:keepLines/>
      <w:spacing w:after="60"/>
      <w:ind w:firstLine="720"/>
    </w:pPr>
    <w:rPr>
      <w:sz w:val="18"/>
    </w:rPr>
  </w:style>
  <w:style w:type="character" w:customStyle="1" w:styleId="NotedebasdepageCar">
    <w:name w:val="Note de bas de page Car"/>
    <w:basedOn w:val="Policepardfaut"/>
    <w:link w:val="Notedebasdepage"/>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styleId="Sansinterligne">
    <w:name w:val="No Spacing"/>
    <w:link w:val="SansinterligneCar"/>
    <w:uiPriority w:val="1"/>
    <w:qFormat/>
    <w:rsid w:val="0061445E"/>
    <w:rPr>
      <w:rFonts w:ascii="Calibri" w:eastAsia="Calibri" w:hAnsi="Calibri" w:cs="Times New Roman"/>
      <w:sz w:val="22"/>
      <w:szCs w:val="22"/>
      <w:lang w:val="en-US"/>
    </w:rPr>
  </w:style>
  <w:style w:type="character" w:customStyle="1" w:styleId="SansinterligneCar">
    <w:name w:val="Sans interligne Car"/>
    <w:basedOn w:val="Policepardfaut"/>
    <w:link w:val="Sansinterligne"/>
    <w:uiPriority w:val="1"/>
    <w:rsid w:val="0061445E"/>
    <w:rPr>
      <w:rFonts w:ascii="Calibri" w:eastAsia="Calibri" w:hAnsi="Calibri" w:cs="Times New Roman"/>
      <w:sz w:val="22"/>
      <w:szCs w:val="22"/>
      <w:lang w:val="en-US"/>
    </w:rPr>
  </w:style>
  <w:style w:type="character" w:styleId="Accentuation">
    <w:name w:val="Emphasis"/>
    <w:basedOn w:val="Policepardfaut"/>
    <w:uiPriority w:val="20"/>
    <w:qFormat/>
    <w:rsid w:val="00934E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0FFB900D370D4AD8B74252B8A8A8AB44"/>
        <w:category>
          <w:name w:val="General"/>
          <w:gallery w:val="placeholder"/>
        </w:category>
        <w:types>
          <w:type w:val="bbPlcHdr"/>
        </w:types>
        <w:behaviors>
          <w:behavior w:val="content"/>
        </w:behaviors>
        <w:guid w:val="{B13ECA34-3109-418E-B338-F6BDF2868BD0}"/>
      </w:docPartPr>
      <w:docPartBody>
        <w:p w:rsidR="000A0190" w:rsidRDefault="00377A12" w:rsidP="00377A12">
          <w:pPr>
            <w:pStyle w:val="0FFB900D370D4AD8B74252B8A8A8AB44"/>
          </w:pPr>
          <w:r w:rsidRPr="007E02EB">
            <w:rPr>
              <w:rStyle w:val="Textedelespacerserv"/>
            </w:rPr>
            <w:t>[Status]</w:t>
          </w:r>
        </w:p>
      </w:docPartBody>
    </w:docPart>
    <w:docPart>
      <w:docPartPr>
        <w:name w:val="747C16E8C9F047398CDAF08070DC6665"/>
        <w:category>
          <w:name w:val="General"/>
          <w:gallery w:val="placeholder"/>
        </w:category>
        <w:types>
          <w:type w:val="bbPlcHdr"/>
        </w:types>
        <w:behaviors>
          <w:behavior w:val="content"/>
        </w:behaviors>
        <w:guid w:val="{0E344334-200F-4131-9B9C-2414B291F5F7}"/>
      </w:docPartPr>
      <w:docPartBody>
        <w:p w:rsidR="000A0190" w:rsidRDefault="00377A12" w:rsidP="00377A12">
          <w:pPr>
            <w:pStyle w:val="747C16E8C9F047398CDAF08070DC6665"/>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panose1 w:val="020B0603020202030204"/>
    <w:charset w:val="00"/>
    <w:family w:val="swiss"/>
    <w:pitch w:val="variable"/>
    <w:sig w:usb0="00000007" w:usb1="00000000" w:usb2="00000000" w:usb3="00000000" w:csb0="00000093"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A0190"/>
    <w:rsid w:val="00235B95"/>
    <w:rsid w:val="00261E9A"/>
    <w:rsid w:val="00377A12"/>
    <w:rsid w:val="00500A2B"/>
    <w:rsid w:val="0058288D"/>
    <w:rsid w:val="006801B3"/>
    <w:rsid w:val="00720F63"/>
    <w:rsid w:val="007B5457"/>
    <w:rsid w:val="007F1B76"/>
    <w:rsid w:val="00810A55"/>
    <w:rsid w:val="008C6619"/>
    <w:rsid w:val="008D4163"/>
    <w:rsid w:val="008D420E"/>
    <w:rsid w:val="00913E69"/>
    <w:rsid w:val="0098642F"/>
    <w:rsid w:val="00BA62F9"/>
    <w:rsid w:val="00CE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77A12"/>
    <w:rPr>
      <w:color w:val="808080"/>
    </w:rPr>
  </w:style>
  <w:style w:type="paragraph" w:customStyle="1" w:styleId="C444DEE40D7C456B82AF1A09CD132ABF">
    <w:name w:val="C444DEE40D7C456B82AF1A09CD132ABF"/>
    <w:rsid w:val="00CE6602"/>
    <w:pPr>
      <w:spacing w:after="160" w:line="259" w:lineRule="auto"/>
    </w:pPr>
  </w:style>
  <w:style w:type="paragraph" w:customStyle="1" w:styleId="0FFB900D370D4AD8B74252B8A8A8AB44">
    <w:name w:val="0FFB900D370D4AD8B74252B8A8A8AB44"/>
    <w:rsid w:val="00377A12"/>
    <w:pPr>
      <w:spacing w:after="160" w:line="259" w:lineRule="auto"/>
    </w:pPr>
    <w:rPr>
      <w:lang w:val="en-CA" w:eastAsia="en-CA"/>
    </w:rPr>
  </w:style>
  <w:style w:type="paragraph" w:customStyle="1" w:styleId="747C16E8C9F047398CDAF08070DC6665">
    <w:name w:val="747C16E8C9F047398CDAF08070DC6665"/>
    <w:rsid w:val="00377A12"/>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83B23C-EF89-491D-869F-4660846D6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231</Words>
  <Characters>1272</Characters>
  <Application>Microsoft Office Word</Application>
  <DocSecurity>0</DocSecurity>
  <Lines>10</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3/2.	Compliance with the Protocol</vt:lpstr>
      <vt:lpstr>3/2.	Compliance with the Protocol</vt:lpstr>
    </vt:vector>
  </TitlesOfParts>
  <Company>SCBD</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	Conformité aux dispositions du Protocole</dc:title>
  <dc:subject>CBD/NP/MOP/DEC/3/2</dc:subject>
  <dc:creator>NP COP 3</dc:creator>
  <cp:keywords>Compliance with the Protocol, Nagoya Protocol on Access to Genetic Resources and the Fair and Equitable Sharing of Benefits Arising from their Utilization, Convention on Biological Diversity</cp:keywords>
  <cp:lastModifiedBy>Louise</cp:lastModifiedBy>
  <cp:revision>4</cp:revision>
  <dcterms:created xsi:type="dcterms:W3CDTF">2019-02-06T13:14:00Z</dcterms:created>
  <dcterms:modified xsi:type="dcterms:W3CDTF">2019-02-06T15:49:00Z</dcterms:modified>
  <cp:contentStatus>GÉNÉRALE</cp:contentStatus>
</cp:coreProperties>
</file>