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lledutableau"/>
        <w:tblW w:w="9824"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707"/>
      </w:tblGrid>
      <w:tr w:rsidR="00AA3788" w14:paraId="7B8BA756" w14:textId="77777777" w:rsidTr="00F4785D">
        <w:trPr>
          <w:trHeight w:val="709"/>
        </w:trPr>
        <w:tc>
          <w:tcPr>
            <w:tcW w:w="976" w:type="dxa"/>
            <w:tcBorders>
              <w:bottom w:val="single" w:sz="12" w:space="0" w:color="auto"/>
            </w:tcBorders>
          </w:tcPr>
          <w:p w14:paraId="4E1099DD" w14:textId="77777777" w:rsidR="00AA3788" w:rsidRDefault="00AA3788" w:rsidP="00E1711C">
            <w:r w:rsidRPr="008614FB">
              <w:rPr>
                <w:rFonts w:eastAsia="Malgun Gothic"/>
                <w:noProof/>
                <w:lang w:eastAsia="en-GB"/>
              </w:rPr>
              <w:drawing>
                <wp:inline distT="0" distB="0" distL="0" distR="0" wp14:anchorId="195A892C" wp14:editId="414D2417">
                  <wp:extent cx="361950" cy="404467"/>
                  <wp:effectExtent l="0" t="0" r="0" b="0"/>
                  <wp:docPr id="2" name="Image 1" descr="nr UNEP bw (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nr UNEP bw (R) "/>
                          <pic:cNvPicPr>
                            <a:picLocks noChangeAspect="1" noChangeArrowheads="1"/>
                          </pic:cNvPicPr>
                        </pic:nvPicPr>
                        <pic:blipFill>
                          <a:blip r:embed="rId9" cstate="print"/>
                          <a:srcRect/>
                          <a:stretch>
                            <a:fillRect/>
                          </a:stretch>
                        </pic:blipFill>
                        <pic:spPr bwMode="auto">
                          <a:xfrm>
                            <a:off x="0" y="0"/>
                            <a:ext cx="366187" cy="409202"/>
                          </a:xfrm>
                          <a:prstGeom prst="rect">
                            <a:avLst/>
                          </a:prstGeom>
                          <a:noFill/>
                          <a:ln w="9525">
                            <a:noFill/>
                            <a:miter lim="800000"/>
                            <a:headEnd/>
                            <a:tailEnd/>
                          </a:ln>
                        </pic:spPr>
                      </pic:pic>
                    </a:graphicData>
                  </a:graphic>
                </wp:inline>
              </w:drawing>
            </w:r>
          </w:p>
        </w:tc>
        <w:tc>
          <w:tcPr>
            <w:tcW w:w="5141" w:type="dxa"/>
            <w:tcBorders>
              <w:bottom w:val="single" w:sz="12" w:space="0" w:color="auto"/>
            </w:tcBorders>
          </w:tcPr>
          <w:p w14:paraId="6DEB9537" w14:textId="77777777" w:rsidR="00AA3788" w:rsidRDefault="00AA3788" w:rsidP="00E1711C">
            <w:r>
              <w:rPr>
                <w:noProof/>
                <w:lang w:eastAsia="en-GB"/>
              </w:rPr>
              <w:drawing>
                <wp:inline distT="0" distB="0" distL="0" distR="0" wp14:anchorId="476E6EA8" wp14:editId="7297F6E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707" w:type="dxa"/>
            <w:tcBorders>
              <w:bottom w:val="single" w:sz="12" w:space="0" w:color="auto"/>
            </w:tcBorders>
          </w:tcPr>
          <w:p w14:paraId="01C84855" w14:textId="77777777" w:rsidR="00AA3788" w:rsidRPr="00C9161D" w:rsidRDefault="00AA3788" w:rsidP="00E1711C">
            <w:pPr>
              <w:jc w:val="right"/>
              <w:rPr>
                <w:rFonts w:ascii="Arial" w:hAnsi="Arial" w:cs="Arial"/>
                <w:b/>
                <w:sz w:val="32"/>
                <w:szCs w:val="32"/>
              </w:rPr>
            </w:pPr>
            <w:r w:rsidRPr="00C9161D">
              <w:rPr>
                <w:rFonts w:ascii="Arial" w:hAnsi="Arial" w:cs="Arial"/>
                <w:b/>
                <w:sz w:val="32"/>
                <w:szCs w:val="32"/>
              </w:rPr>
              <w:t>CBD</w:t>
            </w:r>
          </w:p>
        </w:tc>
      </w:tr>
      <w:tr w:rsidR="00AA3788" w14:paraId="6A2F9AF4" w14:textId="77777777" w:rsidTr="00F4785D">
        <w:tc>
          <w:tcPr>
            <w:tcW w:w="6117" w:type="dxa"/>
            <w:gridSpan w:val="2"/>
            <w:tcBorders>
              <w:top w:val="single" w:sz="12" w:space="0" w:color="auto"/>
              <w:bottom w:val="single" w:sz="36" w:space="0" w:color="auto"/>
            </w:tcBorders>
            <w:vAlign w:val="center"/>
          </w:tcPr>
          <w:p w14:paraId="379F92DE" w14:textId="77777777" w:rsidR="00AA3788" w:rsidRDefault="00AA3788" w:rsidP="00E1711C">
            <w:r w:rsidRPr="008614FB">
              <w:rPr>
                <w:rFonts w:eastAsia="Malgun Gothic"/>
                <w:noProof/>
                <w:lang w:eastAsia="en-GB"/>
              </w:rPr>
              <w:drawing>
                <wp:inline distT="0" distB="0" distL="0" distR="0" wp14:anchorId="4AE6D308" wp14:editId="143AA3DD">
                  <wp:extent cx="2618740" cy="1082675"/>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1" cstate="print"/>
                          <a:srcRect/>
                          <a:stretch>
                            <a:fillRect/>
                          </a:stretch>
                        </pic:blipFill>
                        <pic:spPr bwMode="auto">
                          <a:xfrm>
                            <a:off x="0" y="0"/>
                            <a:ext cx="2618740" cy="1082675"/>
                          </a:xfrm>
                          <a:prstGeom prst="rect">
                            <a:avLst/>
                          </a:prstGeom>
                          <a:noFill/>
                          <a:ln w="9525">
                            <a:noFill/>
                            <a:miter lim="800000"/>
                            <a:headEnd/>
                            <a:tailEnd/>
                          </a:ln>
                        </pic:spPr>
                      </pic:pic>
                    </a:graphicData>
                  </a:graphic>
                </wp:inline>
              </w:drawing>
            </w:r>
          </w:p>
        </w:tc>
        <w:tc>
          <w:tcPr>
            <w:tcW w:w="3707" w:type="dxa"/>
            <w:tcBorders>
              <w:top w:val="single" w:sz="12" w:space="0" w:color="auto"/>
              <w:bottom w:val="single" w:sz="36" w:space="0" w:color="auto"/>
            </w:tcBorders>
          </w:tcPr>
          <w:p w14:paraId="7FD22C88" w14:textId="77777777" w:rsidR="00AA3788" w:rsidRPr="00164138" w:rsidRDefault="00AA3788" w:rsidP="00E1711C">
            <w:pPr>
              <w:ind w:left="1215"/>
            </w:pPr>
            <w:r w:rsidRPr="00164138">
              <w:t>Distr.</w:t>
            </w:r>
          </w:p>
          <w:p w14:paraId="3D034E19" w14:textId="77777777" w:rsidR="00AA3788" w:rsidRPr="00164138" w:rsidRDefault="005D5BB2" w:rsidP="00E1711C">
            <w:pPr>
              <w:ind w:left="1215"/>
            </w:pPr>
            <w:sdt>
              <w:sdtPr>
                <w:rPr>
                  <w:kern w:val="22"/>
                </w:rPr>
                <w:alias w:val="Status"/>
                <w:tag w:val=""/>
                <w:id w:val="307985777"/>
                <w:placeholder>
                  <w:docPart w:val="11AE8B5CE62C4F82AAA724CD34C19A29"/>
                </w:placeholder>
                <w:dataBinding w:prefixMappings="xmlns:ns0='http://purl.org/dc/elements/1.1/' xmlns:ns1='http://schemas.openxmlformats.org/package/2006/metadata/core-properties' " w:xpath="/ns1:coreProperties[1]/ns1:contentStatus[1]" w:storeItemID="{6C3C8BC8-F283-45AE-878A-BAB7291924A1}"/>
                <w:text/>
              </w:sdtPr>
              <w:sdtEndPr/>
              <w:sdtContent>
                <w:r w:rsidR="00AA3788" w:rsidRPr="000A6979">
                  <w:rPr>
                    <w:kern w:val="22"/>
                  </w:rPr>
                  <w:t>GENERAL</w:t>
                </w:r>
              </w:sdtContent>
            </w:sdt>
          </w:p>
          <w:p w14:paraId="42D7F61D" w14:textId="77777777" w:rsidR="00AA3788" w:rsidRPr="00164138" w:rsidRDefault="00AA3788" w:rsidP="00E1711C">
            <w:pPr>
              <w:ind w:left="1215"/>
            </w:pPr>
          </w:p>
          <w:p w14:paraId="720998FD" w14:textId="3314D93F" w:rsidR="00AA3788" w:rsidRPr="000346A8" w:rsidRDefault="005D5BB2" w:rsidP="00E1711C">
            <w:pPr>
              <w:ind w:left="1215"/>
              <w:jc w:val="left"/>
              <w:rPr>
                <w:kern w:val="22"/>
              </w:rPr>
            </w:pPr>
            <w:sdt>
              <w:sdtPr>
                <w:rPr>
                  <w:kern w:val="22"/>
                </w:rPr>
                <w:alias w:val="Subject"/>
                <w:tag w:val=""/>
                <w:id w:val="-1671783615"/>
                <w:placeholder>
                  <w:docPart w:val="DF0DE44DB4FC4141AC8F99D78995AF33"/>
                </w:placeholder>
                <w:dataBinding w:prefixMappings="xmlns:ns0='http://purl.org/dc/elements/1.1/' xmlns:ns1='http://schemas.openxmlformats.org/package/2006/metadata/core-properties' " w:xpath="/ns1:coreProperties[1]/ns0:subject[1]" w:storeItemID="{6C3C8BC8-F283-45AE-878A-BAB7291924A1}"/>
                <w:text/>
              </w:sdtPr>
              <w:sdtEndPr/>
              <w:sdtContent>
                <w:r w:rsidR="00103E7C" w:rsidRPr="006D4850">
                  <w:rPr>
                    <w:kern w:val="22"/>
                  </w:rPr>
                  <w:t>CBD/NP/MOP/DEC/3/2</w:t>
                </w:r>
              </w:sdtContent>
            </w:sdt>
          </w:p>
          <w:p w14:paraId="753F15AC" w14:textId="77777777" w:rsidR="00AA3788" w:rsidRPr="000346A8" w:rsidRDefault="00AA3788" w:rsidP="00E1711C">
            <w:pPr>
              <w:ind w:left="1215"/>
              <w:jc w:val="left"/>
              <w:rPr>
                <w:kern w:val="22"/>
              </w:rPr>
            </w:pPr>
            <w:r w:rsidRPr="000346A8">
              <w:rPr>
                <w:kern w:val="22"/>
              </w:rPr>
              <w:t>30 November 2018</w:t>
            </w:r>
          </w:p>
          <w:p w14:paraId="102F59C1" w14:textId="77777777" w:rsidR="00AA3788" w:rsidRDefault="00AA3788" w:rsidP="00E1711C">
            <w:pPr>
              <w:ind w:left="1215"/>
            </w:pPr>
          </w:p>
          <w:p w14:paraId="0392F4BE" w14:textId="77777777" w:rsidR="00AA3788" w:rsidRPr="00164138" w:rsidRDefault="00AA3788" w:rsidP="00E1711C">
            <w:pPr>
              <w:ind w:left="1215"/>
            </w:pPr>
            <w:r>
              <w:t>RUSSIAN</w:t>
            </w:r>
          </w:p>
          <w:p w14:paraId="37C3D645" w14:textId="77777777" w:rsidR="00AA3788" w:rsidRPr="00164138" w:rsidRDefault="00AA3788" w:rsidP="00E1711C">
            <w:pPr>
              <w:ind w:left="1215"/>
            </w:pPr>
            <w:r w:rsidRPr="00164138">
              <w:t>ORIGINAL: ENGLISH</w:t>
            </w:r>
          </w:p>
          <w:p w14:paraId="6EFFE636" w14:textId="77777777" w:rsidR="00AA3788" w:rsidRDefault="00AA3788" w:rsidP="00E1711C">
            <w:pPr>
              <w:ind w:left="1215"/>
            </w:pPr>
          </w:p>
        </w:tc>
      </w:tr>
    </w:tbl>
    <w:p w14:paraId="3F586DDD" w14:textId="77777777" w:rsidR="00AA3788" w:rsidRPr="00EE7324" w:rsidRDefault="00AA3788" w:rsidP="00AA3788">
      <w:pPr>
        <w:tabs>
          <w:tab w:val="left" w:pos="5580"/>
        </w:tabs>
        <w:ind w:left="170" w:right="3938" w:hanging="170"/>
        <w:jc w:val="left"/>
        <w:rPr>
          <w:rFonts w:eastAsia="Batang"/>
          <w:lang w:val="ru-RU"/>
        </w:rPr>
      </w:pPr>
      <w:r w:rsidRPr="00EE7324">
        <w:rPr>
          <w:lang w:val="ru-RU" w:bidi="he-IL"/>
        </w:rPr>
        <w:t>КОНФЕРЕНЦИЯ СТОРОН КОНВЕНЦИИ О БИОЛОГИЧЕСКОМ РАЗНООБРАЗИИ, ВЫСТУПАЮЩАЯ В КАЧЕСТВЕ СОВЕЩАНИЯ СТОРОН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14:paraId="3E7B8E5A" w14:textId="77777777" w:rsidR="00AA3788" w:rsidRPr="00EE7324" w:rsidRDefault="00AA3788" w:rsidP="00AA3788">
      <w:pPr>
        <w:pStyle w:val="Cornernotation"/>
        <w:ind w:right="3973"/>
        <w:rPr>
          <w:rFonts w:eastAsia="Batang"/>
          <w:lang w:val="ru-RU"/>
        </w:rPr>
      </w:pPr>
      <w:r>
        <w:rPr>
          <w:rFonts w:eastAsia="Batang"/>
          <w:lang w:val="ru-RU"/>
        </w:rPr>
        <w:t>Третье</w:t>
      </w:r>
      <w:r w:rsidRPr="00EE7324">
        <w:rPr>
          <w:rFonts w:eastAsia="Batang"/>
          <w:lang w:val="ru-RU"/>
        </w:rPr>
        <w:t xml:space="preserve"> совещание</w:t>
      </w:r>
    </w:p>
    <w:p w14:paraId="2510EF15" w14:textId="77777777" w:rsidR="00AA3788" w:rsidRPr="008614FB" w:rsidRDefault="00AA3788" w:rsidP="00AA3788">
      <w:pPr>
        <w:suppressLineNumbers/>
        <w:suppressAutoHyphens/>
        <w:kinsoku w:val="0"/>
        <w:overflowPunct w:val="0"/>
        <w:autoSpaceDE w:val="0"/>
        <w:autoSpaceDN w:val="0"/>
        <w:rPr>
          <w:snapToGrid w:val="0"/>
          <w:kern w:val="22"/>
          <w:szCs w:val="22"/>
          <w:lang w:val="ru-RU" w:eastAsia="nb-NO"/>
        </w:rPr>
      </w:pPr>
      <w:r>
        <w:rPr>
          <w:lang w:val="ru-RU"/>
        </w:rPr>
        <w:t>Шарм-эш-Шейх</w:t>
      </w:r>
      <w:r w:rsidRPr="00ED0C36">
        <w:rPr>
          <w:lang w:val="ru-RU"/>
        </w:rPr>
        <w:t xml:space="preserve">, </w:t>
      </w:r>
      <w:r>
        <w:rPr>
          <w:lang w:val="ru-RU"/>
        </w:rPr>
        <w:t>Египет, 17-29</w:t>
      </w:r>
      <w:r w:rsidRPr="00ED0C36">
        <w:rPr>
          <w:lang w:val="ru-RU"/>
        </w:rPr>
        <w:t xml:space="preserve"> </w:t>
      </w:r>
      <w:r>
        <w:rPr>
          <w:lang w:val="ru-RU"/>
        </w:rPr>
        <w:t>ноября</w:t>
      </w:r>
      <w:r w:rsidRPr="00ED0C36">
        <w:rPr>
          <w:lang w:val="ru-RU"/>
        </w:rPr>
        <w:t xml:space="preserve"> 201</w:t>
      </w:r>
      <w:r>
        <w:rPr>
          <w:lang w:val="ru-RU"/>
        </w:rPr>
        <w:t>8</w:t>
      </w:r>
      <w:r w:rsidRPr="00ED0C36">
        <w:rPr>
          <w:lang w:val="ru-RU"/>
        </w:rPr>
        <w:t xml:space="preserve"> года</w:t>
      </w:r>
    </w:p>
    <w:p w14:paraId="15B0D10C" w14:textId="67FC401A" w:rsidR="00AA3788" w:rsidRPr="008614FB" w:rsidRDefault="00AA3788" w:rsidP="00AA3788">
      <w:pPr>
        <w:rPr>
          <w:szCs w:val="22"/>
          <w:lang w:val="ru-RU"/>
        </w:rPr>
      </w:pPr>
      <w:r>
        <w:rPr>
          <w:szCs w:val="22"/>
          <w:lang w:val="ru-RU"/>
        </w:rPr>
        <w:t xml:space="preserve">Пункт </w:t>
      </w:r>
      <w:r w:rsidR="00833E79">
        <w:rPr>
          <w:szCs w:val="22"/>
          <w:lang w:val="ru-RU"/>
        </w:rPr>
        <w:t>5</w:t>
      </w:r>
      <w:r>
        <w:rPr>
          <w:szCs w:val="22"/>
          <w:lang w:val="ru-RU"/>
        </w:rPr>
        <w:t xml:space="preserve"> повестки дня</w:t>
      </w:r>
    </w:p>
    <w:p w14:paraId="3B5079B9" w14:textId="77777777" w:rsidR="00AA3788" w:rsidRDefault="00AA3788" w:rsidP="00AA3788">
      <w:pPr>
        <w:spacing w:before="240" w:after="120"/>
        <w:jc w:val="center"/>
        <w:rPr>
          <w:rFonts w:eastAsia="Malgun Gothic"/>
          <w:b/>
          <w:bCs/>
          <w:caps/>
          <w:snapToGrid w:val="0"/>
          <w:kern w:val="22"/>
          <w:lang w:val="ru-RU"/>
        </w:rPr>
      </w:pPr>
      <w:r w:rsidRPr="001D1BEB">
        <w:rPr>
          <w:rFonts w:eastAsia="Malgun Gothic"/>
          <w:b/>
          <w:bCs/>
          <w:caps/>
          <w:snapToGrid w:val="0"/>
          <w:kern w:val="22"/>
          <w:lang w:val="ru-RU"/>
        </w:rPr>
        <w:t>РЕШЕНИЕ, ПРИНЯТОЕ СТОРОНАМИ НАГОЙСКОГО ПРОТОКОЛА РЕГУЛИРОВАНИЯ ДОСТУПА К ГЕНЕТИЧЕСКИМ РЕСУРСАМ И СОВМЕСТНОГО ИСПОЛЬЗОВАНИЯ ВЫГОД</w:t>
      </w:r>
    </w:p>
    <w:p w14:paraId="3DD587B4" w14:textId="2A7AB20B" w:rsidR="00370A16" w:rsidRPr="00AC48CE" w:rsidRDefault="00AC48CE" w:rsidP="00370A16">
      <w:pPr>
        <w:spacing w:before="120" w:after="240"/>
        <w:jc w:val="center"/>
        <w:rPr>
          <w:b/>
          <w:lang w:val="ru-RU"/>
        </w:rPr>
      </w:pPr>
      <w:r>
        <w:rPr>
          <w:b/>
          <w:caps/>
          <w:lang w:val="fr-FR"/>
        </w:rPr>
        <w:t>3/2.</w:t>
      </w:r>
      <w:r>
        <w:rPr>
          <w:b/>
          <w:caps/>
          <w:lang w:val="fr-FR"/>
        </w:rPr>
        <w:tab/>
      </w:r>
      <w:r>
        <w:rPr>
          <w:b/>
          <w:lang w:val="ru-RU"/>
        </w:rPr>
        <w:t>Соблюдение Протокола</w:t>
      </w:r>
    </w:p>
    <w:p w14:paraId="3DD587B5" w14:textId="542B88CB" w:rsidR="00D323CC" w:rsidRDefault="00D323CC" w:rsidP="00D323CC">
      <w:pPr>
        <w:spacing w:before="120" w:after="120"/>
        <w:ind w:firstLine="709"/>
        <w:rPr>
          <w:i/>
          <w:lang w:val="ru-RU"/>
        </w:rPr>
      </w:pPr>
      <w:r w:rsidRPr="00436F4B">
        <w:rPr>
          <w:i/>
          <w:iCs/>
          <w:lang w:val="ru-RU"/>
        </w:rPr>
        <w:t>Конференция Сторон, выступающая в качестве совещания Сторон Нагойского протокола</w:t>
      </w:r>
      <w:r w:rsidR="00E8083D" w:rsidRPr="00E8083D">
        <w:rPr>
          <w:rFonts w:eastAsia="Malgun Gothic"/>
          <w:b/>
          <w:bCs/>
          <w:caps/>
          <w:snapToGrid w:val="0"/>
          <w:kern w:val="22"/>
          <w:lang w:val="ru-RU"/>
        </w:rPr>
        <w:t xml:space="preserve"> </w:t>
      </w:r>
      <w:r w:rsidR="00E8083D" w:rsidRPr="00E8083D">
        <w:rPr>
          <w:i/>
          <w:iCs/>
          <w:lang w:val="ru-RU"/>
        </w:rPr>
        <w:t>регулирования доступа к генетическим ресурсам и совместного использования выгод</w:t>
      </w:r>
      <w:r w:rsidR="005250B4">
        <w:rPr>
          <w:i/>
          <w:iCs/>
          <w:lang w:val="ru-RU"/>
        </w:rPr>
        <w:t>,</w:t>
      </w:r>
    </w:p>
    <w:p w14:paraId="3DD587B6" w14:textId="050593F3" w:rsidR="004538C8" w:rsidRPr="00AF7525" w:rsidRDefault="00AF7525" w:rsidP="004538C8">
      <w:pPr>
        <w:pStyle w:val="Para1"/>
        <w:numPr>
          <w:ilvl w:val="0"/>
          <w:numId w:val="0"/>
        </w:numPr>
        <w:adjustRightInd w:val="0"/>
        <w:snapToGrid w:val="0"/>
        <w:ind w:firstLine="720"/>
        <w:rPr>
          <w:kern w:val="20"/>
          <w:szCs w:val="22"/>
          <w:lang w:val="ru-RU"/>
        </w:rPr>
      </w:pPr>
      <w:r w:rsidRPr="005250B4">
        <w:rPr>
          <w:i/>
          <w:kern w:val="20"/>
          <w:szCs w:val="22"/>
          <w:lang w:val="ru-RU"/>
        </w:rPr>
        <w:t>п</w:t>
      </w:r>
      <w:r w:rsidR="004538C8" w:rsidRPr="005250B4">
        <w:rPr>
          <w:i/>
          <w:kern w:val="20"/>
          <w:szCs w:val="22"/>
          <w:lang w:val="ru-RU"/>
        </w:rPr>
        <w:t>ринимая к сведению</w:t>
      </w:r>
      <w:r w:rsidR="004538C8" w:rsidRPr="004538C8">
        <w:rPr>
          <w:kern w:val="20"/>
          <w:szCs w:val="22"/>
          <w:lang w:val="ru-RU"/>
        </w:rPr>
        <w:t xml:space="preserve"> </w:t>
      </w:r>
      <w:r w:rsidR="004538C8">
        <w:rPr>
          <w:kern w:val="20"/>
          <w:szCs w:val="22"/>
          <w:lang w:val="ru-RU"/>
        </w:rPr>
        <w:t>доклад</w:t>
      </w:r>
      <w:r w:rsidR="004538C8" w:rsidRPr="004538C8">
        <w:rPr>
          <w:kern w:val="20"/>
          <w:szCs w:val="22"/>
          <w:lang w:val="ru-RU"/>
        </w:rPr>
        <w:t xml:space="preserve"> </w:t>
      </w:r>
      <w:r w:rsidR="00E43705">
        <w:rPr>
          <w:kern w:val="20"/>
          <w:szCs w:val="22"/>
          <w:lang w:val="ru-RU"/>
        </w:rPr>
        <w:t xml:space="preserve">о работе </w:t>
      </w:r>
      <w:r w:rsidR="004538C8">
        <w:rPr>
          <w:kern w:val="20"/>
          <w:szCs w:val="22"/>
          <w:lang w:val="ru-RU"/>
        </w:rPr>
        <w:t>второго</w:t>
      </w:r>
      <w:r w:rsidR="004538C8" w:rsidRPr="004538C8">
        <w:rPr>
          <w:kern w:val="20"/>
          <w:szCs w:val="22"/>
          <w:lang w:val="ru-RU"/>
        </w:rPr>
        <w:t xml:space="preserve"> </w:t>
      </w:r>
      <w:r w:rsidR="004538C8">
        <w:rPr>
          <w:kern w:val="20"/>
          <w:szCs w:val="22"/>
          <w:lang w:val="ru-RU"/>
        </w:rPr>
        <w:t>совещания</w:t>
      </w:r>
      <w:r w:rsidR="004538C8" w:rsidRPr="004538C8">
        <w:rPr>
          <w:kern w:val="20"/>
          <w:szCs w:val="22"/>
          <w:lang w:val="ru-RU"/>
        </w:rPr>
        <w:t xml:space="preserve"> </w:t>
      </w:r>
      <w:r w:rsidR="004538C8">
        <w:rPr>
          <w:kern w:val="20"/>
          <w:szCs w:val="22"/>
          <w:lang w:val="ru-RU"/>
        </w:rPr>
        <w:t>Комитета</w:t>
      </w:r>
      <w:r w:rsidR="004538C8" w:rsidRPr="004538C8">
        <w:rPr>
          <w:kern w:val="20"/>
          <w:szCs w:val="22"/>
          <w:lang w:val="ru-RU"/>
        </w:rPr>
        <w:t xml:space="preserve"> </w:t>
      </w:r>
      <w:r w:rsidR="004538C8">
        <w:rPr>
          <w:kern w:val="20"/>
          <w:szCs w:val="22"/>
          <w:lang w:val="ru-RU"/>
        </w:rPr>
        <w:t>по</w:t>
      </w:r>
      <w:r w:rsidR="004538C8" w:rsidRPr="004538C8">
        <w:rPr>
          <w:kern w:val="20"/>
          <w:szCs w:val="22"/>
          <w:lang w:val="ru-RU"/>
        </w:rPr>
        <w:t xml:space="preserve"> </w:t>
      </w:r>
      <w:r w:rsidR="004538C8">
        <w:rPr>
          <w:kern w:val="20"/>
          <w:szCs w:val="22"/>
          <w:lang w:val="ru-RU"/>
        </w:rPr>
        <w:t>соблюдению</w:t>
      </w:r>
      <w:r w:rsidR="004538C8" w:rsidRPr="00083BE2">
        <w:rPr>
          <w:rStyle w:val="Appelnotedebasdep"/>
          <w:rFonts w:eastAsiaTheme="majorEastAsia"/>
          <w:snapToGrid/>
          <w:kern w:val="20"/>
          <w:szCs w:val="22"/>
        </w:rPr>
        <w:footnoteReference w:id="2"/>
      </w:r>
      <w:r w:rsidR="0047540A">
        <w:rPr>
          <w:snapToGrid/>
          <w:kern w:val="20"/>
          <w:szCs w:val="22"/>
          <w:lang w:val="ru-RU"/>
        </w:rPr>
        <w:t xml:space="preserve"> </w:t>
      </w:r>
      <w:r w:rsidR="004538C8">
        <w:rPr>
          <w:snapToGrid/>
          <w:kern w:val="20"/>
          <w:szCs w:val="22"/>
          <w:lang w:val="ru-RU"/>
        </w:rPr>
        <w:t>и его рекомендации</w:t>
      </w:r>
      <w:r w:rsidR="004538C8" w:rsidRPr="00AF7525">
        <w:rPr>
          <w:snapToGrid/>
          <w:kern w:val="20"/>
          <w:szCs w:val="22"/>
          <w:lang w:val="ru-RU"/>
        </w:rPr>
        <w:t>,</w:t>
      </w:r>
    </w:p>
    <w:p w14:paraId="3DD587B7" w14:textId="30214E4A" w:rsidR="004538C8" w:rsidRPr="004538C8" w:rsidRDefault="004538C8" w:rsidP="004538C8">
      <w:pPr>
        <w:suppressLineNumbers/>
        <w:shd w:val="clear" w:color="auto" w:fill="FFFFFF"/>
        <w:suppressAutoHyphens/>
        <w:kinsoku w:val="0"/>
        <w:overflowPunct w:val="0"/>
        <w:autoSpaceDE w:val="0"/>
        <w:autoSpaceDN w:val="0"/>
        <w:adjustRightInd w:val="0"/>
        <w:snapToGrid w:val="0"/>
        <w:spacing w:before="120" w:after="120" w:line="228" w:lineRule="auto"/>
        <w:ind w:firstLine="709"/>
        <w:rPr>
          <w:rFonts w:eastAsia="Malgun Gothic"/>
          <w:snapToGrid w:val="0"/>
          <w:kern w:val="22"/>
          <w:szCs w:val="22"/>
          <w:lang w:val="ru-RU"/>
        </w:rPr>
      </w:pPr>
      <w:r w:rsidRPr="00EE7345">
        <w:rPr>
          <w:rFonts w:eastAsia="Malgun Gothic"/>
          <w:snapToGrid w:val="0"/>
          <w:kern w:val="22"/>
          <w:szCs w:val="22"/>
        </w:rPr>
        <w:t>1.</w:t>
      </w:r>
      <w:r>
        <w:rPr>
          <w:rFonts w:eastAsia="Malgun Gothic"/>
          <w:i/>
          <w:snapToGrid w:val="0"/>
          <w:kern w:val="22"/>
          <w:szCs w:val="22"/>
        </w:rPr>
        <w:tab/>
      </w:r>
      <w:r>
        <w:rPr>
          <w:rFonts w:eastAsia="Malgun Gothic"/>
          <w:i/>
          <w:snapToGrid w:val="0"/>
          <w:kern w:val="22"/>
          <w:szCs w:val="22"/>
          <w:lang w:val="ru-RU"/>
        </w:rPr>
        <w:t>приветствует</w:t>
      </w:r>
      <w:r w:rsidRPr="004538C8">
        <w:rPr>
          <w:rFonts w:eastAsia="Malgun Gothic"/>
          <w:snapToGrid w:val="0"/>
          <w:kern w:val="22"/>
          <w:szCs w:val="22"/>
          <w:lang w:val="ru-RU"/>
        </w:rPr>
        <w:t xml:space="preserve"> </w:t>
      </w:r>
      <w:r>
        <w:rPr>
          <w:rFonts w:eastAsia="Malgun Gothic"/>
          <w:snapToGrid w:val="0"/>
          <w:kern w:val="22"/>
          <w:szCs w:val="22"/>
          <w:lang w:val="ru-RU"/>
        </w:rPr>
        <w:t>прогресс</w:t>
      </w:r>
      <w:r w:rsidRPr="004538C8">
        <w:rPr>
          <w:rFonts w:eastAsia="Malgun Gothic"/>
          <w:snapToGrid w:val="0"/>
          <w:kern w:val="22"/>
          <w:szCs w:val="22"/>
          <w:lang w:val="ru-RU"/>
        </w:rPr>
        <w:t xml:space="preserve">, </w:t>
      </w:r>
      <w:r>
        <w:rPr>
          <w:rFonts w:eastAsia="Malgun Gothic"/>
          <w:snapToGrid w:val="0"/>
          <w:kern w:val="22"/>
          <w:szCs w:val="22"/>
          <w:lang w:val="ru-RU"/>
        </w:rPr>
        <w:t>достигнутый</w:t>
      </w:r>
      <w:r w:rsidRPr="004538C8">
        <w:rPr>
          <w:rFonts w:eastAsia="Malgun Gothic"/>
          <w:snapToGrid w:val="0"/>
          <w:kern w:val="22"/>
          <w:szCs w:val="22"/>
          <w:lang w:val="ru-RU"/>
        </w:rPr>
        <w:t xml:space="preserve"> </w:t>
      </w:r>
      <w:r>
        <w:rPr>
          <w:rFonts w:eastAsia="Malgun Gothic"/>
          <w:snapToGrid w:val="0"/>
          <w:kern w:val="22"/>
          <w:szCs w:val="22"/>
          <w:lang w:val="ru-RU"/>
        </w:rPr>
        <w:t>Сторонами</w:t>
      </w:r>
      <w:r w:rsidRPr="004538C8">
        <w:rPr>
          <w:rFonts w:eastAsia="Malgun Gothic"/>
          <w:snapToGrid w:val="0"/>
          <w:kern w:val="22"/>
          <w:szCs w:val="22"/>
          <w:lang w:val="ru-RU"/>
        </w:rPr>
        <w:t xml:space="preserve"> </w:t>
      </w:r>
      <w:r>
        <w:rPr>
          <w:rFonts w:eastAsia="Malgun Gothic"/>
          <w:snapToGrid w:val="0"/>
          <w:kern w:val="22"/>
          <w:szCs w:val="22"/>
          <w:lang w:val="ru-RU"/>
        </w:rPr>
        <w:t>в</w:t>
      </w:r>
      <w:r w:rsidRPr="004538C8">
        <w:rPr>
          <w:rFonts w:eastAsia="Malgun Gothic"/>
          <w:snapToGrid w:val="0"/>
          <w:kern w:val="22"/>
          <w:szCs w:val="22"/>
          <w:lang w:val="ru-RU"/>
        </w:rPr>
        <w:t xml:space="preserve"> </w:t>
      </w:r>
      <w:r>
        <w:rPr>
          <w:rFonts w:eastAsia="Malgun Gothic"/>
          <w:snapToGrid w:val="0"/>
          <w:kern w:val="22"/>
          <w:szCs w:val="22"/>
          <w:lang w:val="ru-RU"/>
        </w:rPr>
        <w:t>осуществлении</w:t>
      </w:r>
      <w:r w:rsidRPr="004538C8">
        <w:rPr>
          <w:rFonts w:eastAsia="Malgun Gothic"/>
          <w:snapToGrid w:val="0"/>
          <w:kern w:val="22"/>
          <w:szCs w:val="22"/>
          <w:lang w:val="ru-RU"/>
        </w:rPr>
        <w:t xml:space="preserve"> </w:t>
      </w:r>
      <w:r>
        <w:rPr>
          <w:rFonts w:eastAsia="Malgun Gothic"/>
          <w:snapToGrid w:val="0"/>
          <w:kern w:val="22"/>
          <w:szCs w:val="22"/>
          <w:lang w:val="ru-RU"/>
        </w:rPr>
        <w:t>Протокола</w:t>
      </w:r>
      <w:r w:rsidRPr="004538C8">
        <w:rPr>
          <w:rFonts w:eastAsia="Malgun Gothic"/>
          <w:snapToGrid w:val="0"/>
          <w:kern w:val="22"/>
          <w:szCs w:val="22"/>
          <w:lang w:val="ru-RU"/>
        </w:rPr>
        <w:t xml:space="preserve"> </w:t>
      </w:r>
      <w:r>
        <w:rPr>
          <w:rFonts w:eastAsia="Malgun Gothic"/>
          <w:snapToGrid w:val="0"/>
          <w:kern w:val="22"/>
          <w:szCs w:val="22"/>
          <w:lang w:val="ru-RU"/>
        </w:rPr>
        <w:t>и</w:t>
      </w:r>
      <w:r w:rsidRPr="004538C8">
        <w:rPr>
          <w:rFonts w:eastAsia="Malgun Gothic"/>
          <w:snapToGrid w:val="0"/>
          <w:kern w:val="22"/>
          <w:szCs w:val="22"/>
          <w:lang w:val="ru-RU"/>
        </w:rPr>
        <w:t xml:space="preserve"> </w:t>
      </w:r>
      <w:r w:rsidR="00F635C3" w:rsidRPr="00F635C3">
        <w:rPr>
          <w:rFonts w:eastAsia="Malgun Gothic"/>
          <w:i/>
          <w:snapToGrid w:val="0"/>
          <w:kern w:val="22"/>
          <w:szCs w:val="22"/>
          <w:lang w:val="ru-RU"/>
        </w:rPr>
        <w:t>настоятельно</w:t>
      </w:r>
      <w:r w:rsidR="00F635C3">
        <w:rPr>
          <w:rFonts w:eastAsia="Malgun Gothic"/>
          <w:snapToGrid w:val="0"/>
          <w:kern w:val="22"/>
          <w:szCs w:val="22"/>
          <w:lang w:val="ru-RU"/>
        </w:rPr>
        <w:t xml:space="preserve"> </w:t>
      </w:r>
      <w:r w:rsidRPr="004538C8">
        <w:rPr>
          <w:rFonts w:eastAsia="Malgun Gothic"/>
          <w:i/>
          <w:snapToGrid w:val="0"/>
          <w:kern w:val="22"/>
          <w:szCs w:val="22"/>
          <w:lang w:val="ru-RU"/>
        </w:rPr>
        <w:t xml:space="preserve">призывает </w:t>
      </w:r>
      <w:r w:rsidRPr="004538C8">
        <w:rPr>
          <w:rFonts w:eastAsia="Malgun Gothic"/>
          <w:snapToGrid w:val="0"/>
          <w:kern w:val="22"/>
          <w:szCs w:val="22"/>
          <w:lang w:val="ru-RU"/>
        </w:rPr>
        <w:t>Стороны</w:t>
      </w:r>
      <w:r w:rsidRPr="004538C8">
        <w:rPr>
          <w:rStyle w:val="RetraitcorpsdetexteCar"/>
          <w:kern w:val="22"/>
          <w:lang w:val="ru-RU"/>
        </w:rPr>
        <w:t xml:space="preserve">, </w:t>
      </w:r>
      <w:r w:rsidR="00322DC1">
        <w:rPr>
          <w:rStyle w:val="RetraitcorpsdetexteCar"/>
          <w:kern w:val="22"/>
          <w:lang w:val="ru-RU"/>
        </w:rPr>
        <w:t>которые</w:t>
      </w:r>
      <w:r w:rsidRPr="004538C8">
        <w:rPr>
          <w:rStyle w:val="RetraitcorpsdetexteCar"/>
          <w:kern w:val="22"/>
          <w:lang w:val="ru-RU"/>
        </w:rPr>
        <w:t xml:space="preserve"> еще </w:t>
      </w:r>
      <w:r w:rsidR="00322DC1">
        <w:rPr>
          <w:rStyle w:val="RetraitcorpsdetexteCar"/>
          <w:kern w:val="22"/>
          <w:lang w:val="ru-RU"/>
        </w:rPr>
        <w:t xml:space="preserve">этого </w:t>
      </w:r>
      <w:r>
        <w:rPr>
          <w:rStyle w:val="RetraitcorpsdetexteCar"/>
          <w:kern w:val="22"/>
          <w:lang w:val="ru-RU"/>
        </w:rPr>
        <w:t>н</w:t>
      </w:r>
      <w:r w:rsidRPr="004538C8">
        <w:rPr>
          <w:rStyle w:val="RetraitcorpsdetexteCar"/>
          <w:kern w:val="22"/>
          <w:lang w:val="ru-RU"/>
        </w:rPr>
        <w:t xml:space="preserve">е сделали, </w:t>
      </w:r>
      <w:r w:rsidR="008E1E4D">
        <w:rPr>
          <w:szCs w:val="22"/>
          <w:lang w:val="ru-RU"/>
        </w:rPr>
        <w:t>разработать</w:t>
      </w:r>
      <w:r w:rsidR="00322DC1" w:rsidRPr="005574F5">
        <w:rPr>
          <w:szCs w:val="22"/>
          <w:lang w:val="ru-RU"/>
        </w:rPr>
        <w:t xml:space="preserve"> законодательные, административные и политические меры</w:t>
      </w:r>
      <w:r w:rsidR="00322DC1">
        <w:rPr>
          <w:szCs w:val="22"/>
          <w:lang w:val="ru-RU"/>
        </w:rPr>
        <w:t xml:space="preserve"> </w:t>
      </w:r>
      <w:r w:rsidR="00322DC1" w:rsidRPr="005574F5">
        <w:rPr>
          <w:szCs w:val="22"/>
          <w:lang w:val="ru-RU"/>
        </w:rPr>
        <w:t>регулир</w:t>
      </w:r>
      <w:r w:rsidR="00322DC1">
        <w:rPr>
          <w:szCs w:val="22"/>
          <w:lang w:val="ru-RU"/>
        </w:rPr>
        <w:t>ования</w:t>
      </w:r>
      <w:r w:rsidR="00322DC1" w:rsidRPr="005574F5">
        <w:rPr>
          <w:szCs w:val="22"/>
          <w:lang w:val="ru-RU"/>
        </w:rPr>
        <w:t xml:space="preserve"> доступ</w:t>
      </w:r>
      <w:r w:rsidR="00322DC1">
        <w:rPr>
          <w:szCs w:val="22"/>
          <w:lang w:val="ru-RU"/>
        </w:rPr>
        <w:t>а</w:t>
      </w:r>
      <w:r w:rsidR="00322DC1" w:rsidRPr="005574F5">
        <w:rPr>
          <w:szCs w:val="22"/>
          <w:lang w:val="ru-RU"/>
        </w:rPr>
        <w:t xml:space="preserve"> к генетическим ресурсам и совместно</w:t>
      </w:r>
      <w:r w:rsidR="00322DC1">
        <w:rPr>
          <w:szCs w:val="22"/>
          <w:lang w:val="ru-RU"/>
        </w:rPr>
        <w:t>го</w:t>
      </w:r>
      <w:r w:rsidR="00322DC1" w:rsidRPr="005574F5">
        <w:rPr>
          <w:szCs w:val="22"/>
          <w:lang w:val="ru-RU"/>
        </w:rPr>
        <w:t xml:space="preserve"> использовани</w:t>
      </w:r>
      <w:r w:rsidR="00322DC1">
        <w:rPr>
          <w:szCs w:val="22"/>
          <w:lang w:val="ru-RU"/>
        </w:rPr>
        <w:t>я</w:t>
      </w:r>
      <w:r w:rsidR="00322DC1" w:rsidRPr="005574F5">
        <w:rPr>
          <w:szCs w:val="22"/>
          <w:lang w:val="ru-RU"/>
        </w:rPr>
        <w:t xml:space="preserve"> выгод и создать</w:t>
      </w:r>
      <w:r w:rsidR="003564F2">
        <w:rPr>
          <w:szCs w:val="22"/>
          <w:lang w:val="ru-RU"/>
        </w:rPr>
        <w:t xml:space="preserve"> соответствующие</w:t>
      </w:r>
      <w:r w:rsidR="00322DC1" w:rsidRPr="005574F5">
        <w:rPr>
          <w:szCs w:val="22"/>
          <w:lang w:val="ru-RU"/>
        </w:rPr>
        <w:t xml:space="preserve"> институциональные механизмы</w:t>
      </w:r>
      <w:r w:rsidRPr="004538C8">
        <w:rPr>
          <w:rFonts w:eastAsia="Malgun Gothic"/>
          <w:snapToGrid w:val="0"/>
          <w:kern w:val="22"/>
          <w:szCs w:val="22"/>
          <w:lang w:val="ru-RU"/>
        </w:rPr>
        <w:t>;</w:t>
      </w:r>
    </w:p>
    <w:p w14:paraId="3DD587B8" w14:textId="21AFD61E" w:rsidR="00464FF7" w:rsidRDefault="004538C8" w:rsidP="000B4F5F">
      <w:pPr>
        <w:ind w:firstLine="709"/>
        <w:rPr>
          <w:szCs w:val="22"/>
          <w:lang w:val="ru-RU"/>
        </w:rPr>
      </w:pPr>
      <w:r w:rsidRPr="004538C8">
        <w:rPr>
          <w:rFonts w:eastAsia="Malgun Gothic"/>
          <w:snapToGrid w:val="0"/>
          <w:kern w:val="22"/>
          <w:szCs w:val="22"/>
          <w:lang w:val="ru-RU"/>
        </w:rPr>
        <w:t>2.</w:t>
      </w:r>
      <w:r w:rsidRPr="004538C8">
        <w:rPr>
          <w:rFonts w:eastAsia="Malgun Gothic"/>
          <w:i/>
          <w:snapToGrid w:val="0"/>
          <w:kern w:val="22"/>
          <w:szCs w:val="22"/>
          <w:lang w:val="ru-RU"/>
        </w:rPr>
        <w:tab/>
      </w:r>
      <w:r>
        <w:rPr>
          <w:rFonts w:eastAsia="Malgun Gothic"/>
          <w:i/>
          <w:snapToGrid w:val="0"/>
          <w:kern w:val="22"/>
          <w:szCs w:val="22"/>
          <w:lang w:val="ru-RU"/>
        </w:rPr>
        <w:t>приветствует</w:t>
      </w:r>
      <w:r w:rsidRPr="004538C8">
        <w:rPr>
          <w:rFonts w:eastAsia="Malgun Gothic"/>
          <w:snapToGrid w:val="0"/>
          <w:kern w:val="22"/>
          <w:szCs w:val="22"/>
          <w:lang w:val="ru-RU"/>
        </w:rPr>
        <w:t xml:space="preserve"> </w:t>
      </w:r>
      <w:r w:rsidR="008834B0">
        <w:rPr>
          <w:rFonts w:eastAsia="Malgun Gothic"/>
          <w:snapToGrid w:val="0"/>
          <w:kern w:val="22"/>
          <w:szCs w:val="22"/>
          <w:lang w:val="ru-RU"/>
        </w:rPr>
        <w:t xml:space="preserve">также </w:t>
      </w:r>
      <w:r>
        <w:rPr>
          <w:rFonts w:eastAsia="Malgun Gothic"/>
          <w:snapToGrid w:val="0"/>
          <w:kern w:val="22"/>
          <w:szCs w:val="22"/>
          <w:lang w:val="ru-RU"/>
        </w:rPr>
        <w:t>вклад</w:t>
      </w:r>
      <w:r w:rsidRPr="004538C8">
        <w:rPr>
          <w:rFonts w:eastAsia="Malgun Gothic"/>
          <w:snapToGrid w:val="0"/>
          <w:kern w:val="22"/>
          <w:szCs w:val="22"/>
          <w:lang w:val="ru-RU"/>
        </w:rPr>
        <w:t xml:space="preserve"> </w:t>
      </w:r>
      <w:r>
        <w:rPr>
          <w:rFonts w:eastAsia="Malgun Gothic"/>
          <w:snapToGrid w:val="0"/>
          <w:kern w:val="22"/>
          <w:szCs w:val="22"/>
          <w:lang w:val="ru-RU"/>
        </w:rPr>
        <w:t>Комитета</w:t>
      </w:r>
      <w:r w:rsidRPr="004538C8">
        <w:rPr>
          <w:rFonts w:eastAsia="Malgun Gothic"/>
          <w:snapToGrid w:val="0"/>
          <w:kern w:val="22"/>
          <w:szCs w:val="22"/>
          <w:lang w:val="ru-RU"/>
        </w:rPr>
        <w:t xml:space="preserve"> </w:t>
      </w:r>
      <w:r>
        <w:rPr>
          <w:rFonts w:eastAsia="Malgun Gothic"/>
          <w:snapToGrid w:val="0"/>
          <w:kern w:val="22"/>
          <w:szCs w:val="22"/>
          <w:lang w:val="ru-RU"/>
        </w:rPr>
        <w:t>по</w:t>
      </w:r>
      <w:r w:rsidRPr="004538C8">
        <w:rPr>
          <w:rFonts w:eastAsia="Malgun Gothic"/>
          <w:snapToGrid w:val="0"/>
          <w:kern w:val="22"/>
          <w:szCs w:val="22"/>
          <w:lang w:val="ru-RU"/>
        </w:rPr>
        <w:t xml:space="preserve"> </w:t>
      </w:r>
      <w:r>
        <w:rPr>
          <w:rFonts w:eastAsia="Malgun Gothic"/>
          <w:snapToGrid w:val="0"/>
          <w:kern w:val="22"/>
          <w:szCs w:val="22"/>
          <w:lang w:val="ru-RU"/>
        </w:rPr>
        <w:t>соблюдению</w:t>
      </w:r>
      <w:r w:rsidRPr="004538C8">
        <w:rPr>
          <w:rFonts w:eastAsia="Malgun Gothic"/>
          <w:snapToGrid w:val="0"/>
          <w:kern w:val="22"/>
          <w:szCs w:val="22"/>
          <w:lang w:val="ru-RU"/>
        </w:rPr>
        <w:t xml:space="preserve"> </w:t>
      </w:r>
      <w:r>
        <w:rPr>
          <w:rFonts w:eastAsia="Malgun Gothic"/>
          <w:snapToGrid w:val="0"/>
          <w:kern w:val="22"/>
          <w:szCs w:val="22"/>
          <w:lang w:val="ru-RU"/>
        </w:rPr>
        <w:t>в</w:t>
      </w:r>
      <w:r w:rsidRPr="004538C8">
        <w:rPr>
          <w:rFonts w:eastAsia="Malgun Gothic"/>
          <w:snapToGrid w:val="0"/>
          <w:kern w:val="22"/>
          <w:szCs w:val="22"/>
          <w:lang w:val="ru-RU"/>
        </w:rPr>
        <w:t xml:space="preserve"> </w:t>
      </w:r>
      <w:r>
        <w:rPr>
          <w:rFonts w:eastAsia="Malgun Gothic"/>
          <w:snapToGrid w:val="0"/>
          <w:kern w:val="22"/>
          <w:szCs w:val="22"/>
          <w:lang w:val="ru-RU"/>
        </w:rPr>
        <w:t>первую</w:t>
      </w:r>
      <w:r w:rsidRPr="004538C8">
        <w:rPr>
          <w:rFonts w:eastAsia="Malgun Gothic"/>
          <w:snapToGrid w:val="0"/>
          <w:kern w:val="22"/>
          <w:szCs w:val="22"/>
          <w:lang w:val="ru-RU"/>
        </w:rPr>
        <w:t xml:space="preserve"> </w:t>
      </w:r>
      <w:r>
        <w:rPr>
          <w:rFonts w:eastAsia="Malgun Gothic"/>
          <w:snapToGrid w:val="0"/>
          <w:kern w:val="22"/>
          <w:szCs w:val="22"/>
          <w:lang w:val="ru-RU"/>
        </w:rPr>
        <w:t>оценку</w:t>
      </w:r>
      <w:r w:rsidRPr="004538C8">
        <w:rPr>
          <w:rFonts w:eastAsia="Malgun Gothic"/>
          <w:snapToGrid w:val="0"/>
          <w:kern w:val="22"/>
          <w:szCs w:val="22"/>
          <w:lang w:val="ru-RU"/>
        </w:rPr>
        <w:t xml:space="preserve"> </w:t>
      </w:r>
      <w:r>
        <w:rPr>
          <w:rFonts w:eastAsia="Malgun Gothic"/>
          <w:snapToGrid w:val="0"/>
          <w:kern w:val="22"/>
          <w:szCs w:val="22"/>
          <w:lang w:val="ru-RU"/>
        </w:rPr>
        <w:t>и</w:t>
      </w:r>
      <w:r w:rsidRPr="004538C8">
        <w:rPr>
          <w:rFonts w:eastAsia="Malgun Gothic"/>
          <w:snapToGrid w:val="0"/>
          <w:kern w:val="22"/>
          <w:szCs w:val="22"/>
          <w:lang w:val="ru-RU"/>
        </w:rPr>
        <w:t xml:space="preserve"> </w:t>
      </w:r>
      <w:r>
        <w:rPr>
          <w:rFonts w:eastAsia="Malgun Gothic"/>
          <w:snapToGrid w:val="0"/>
          <w:kern w:val="22"/>
          <w:szCs w:val="22"/>
          <w:lang w:val="ru-RU"/>
        </w:rPr>
        <w:t>обзор</w:t>
      </w:r>
      <w:r w:rsidRPr="004538C8">
        <w:rPr>
          <w:rFonts w:eastAsia="Malgun Gothic"/>
          <w:snapToGrid w:val="0"/>
          <w:kern w:val="22"/>
          <w:szCs w:val="22"/>
          <w:lang w:val="ru-RU"/>
        </w:rPr>
        <w:t xml:space="preserve"> </w:t>
      </w:r>
      <w:r>
        <w:rPr>
          <w:rFonts w:eastAsia="Malgun Gothic"/>
          <w:snapToGrid w:val="0"/>
          <w:kern w:val="22"/>
          <w:szCs w:val="22"/>
          <w:lang w:val="ru-RU"/>
        </w:rPr>
        <w:t>Протокола</w:t>
      </w:r>
      <w:r w:rsidRPr="004538C8">
        <w:rPr>
          <w:rFonts w:eastAsia="Malgun Gothic"/>
          <w:snapToGrid w:val="0"/>
          <w:kern w:val="22"/>
          <w:szCs w:val="22"/>
          <w:lang w:val="ru-RU"/>
        </w:rPr>
        <w:t xml:space="preserve"> </w:t>
      </w:r>
      <w:r>
        <w:rPr>
          <w:rFonts w:eastAsia="Malgun Gothic"/>
          <w:snapToGrid w:val="0"/>
          <w:kern w:val="22"/>
          <w:szCs w:val="22"/>
          <w:lang w:val="ru-RU"/>
        </w:rPr>
        <w:t xml:space="preserve">в форме информации и выводов по общим вопросам соблюдения, а также рекомендации по оказанию помощи в преодолении проблем в </w:t>
      </w:r>
      <w:r w:rsidR="003A5C08">
        <w:rPr>
          <w:rFonts w:eastAsia="Malgun Gothic"/>
          <w:snapToGrid w:val="0"/>
          <w:kern w:val="22"/>
          <w:szCs w:val="22"/>
          <w:lang w:val="ru-RU"/>
        </w:rPr>
        <w:t>осуществлении</w:t>
      </w:r>
      <w:r>
        <w:rPr>
          <w:rFonts w:eastAsia="Malgun Gothic"/>
          <w:snapToGrid w:val="0"/>
          <w:kern w:val="22"/>
          <w:szCs w:val="22"/>
          <w:lang w:val="ru-RU"/>
        </w:rPr>
        <w:t xml:space="preserve"> Протокола.</w:t>
      </w:r>
      <w:r w:rsidR="00A40F86" w:rsidRPr="004538C8">
        <w:rPr>
          <w:szCs w:val="22"/>
          <w:lang w:val="ru-RU"/>
        </w:rPr>
        <w:t xml:space="preserve"> </w:t>
      </w:r>
    </w:p>
    <w:p w14:paraId="3DD587B9" w14:textId="58E25813" w:rsidR="000B4F5F" w:rsidRPr="004538C8" w:rsidRDefault="000B4F5F" w:rsidP="000B4F5F">
      <w:pPr>
        <w:ind w:firstLine="709"/>
        <w:rPr>
          <w:szCs w:val="22"/>
          <w:lang w:val="ru-RU"/>
        </w:rPr>
      </w:pPr>
      <w:bookmarkStart w:id="0" w:name="_GoBack"/>
      <w:bookmarkEnd w:id="0"/>
    </w:p>
    <w:p w14:paraId="3DD587BA" w14:textId="77777777" w:rsidR="00FA7CB3" w:rsidRPr="00541921" w:rsidRDefault="00FA7CB3" w:rsidP="00E86291">
      <w:pPr>
        <w:jc w:val="center"/>
        <w:rPr>
          <w:szCs w:val="22"/>
        </w:rPr>
      </w:pPr>
      <w:r w:rsidRPr="00541921">
        <w:rPr>
          <w:szCs w:val="22"/>
        </w:rPr>
        <w:t>__________</w:t>
      </w:r>
    </w:p>
    <w:p w14:paraId="3DD587BB" w14:textId="77777777" w:rsidR="00FA7CB3" w:rsidRPr="00E86291" w:rsidRDefault="00FA7CB3" w:rsidP="00FA7CB3">
      <w:pPr>
        <w:keepNext/>
        <w:spacing w:after="120"/>
        <w:ind w:left="4320"/>
        <w:jc w:val="left"/>
        <w:rPr>
          <w:szCs w:val="22"/>
        </w:rPr>
      </w:pPr>
    </w:p>
    <w:sectPr w:rsidR="00FA7CB3" w:rsidRPr="00E86291" w:rsidSect="009C200D">
      <w:headerReference w:type="even" r:id="rId12"/>
      <w:headerReference w:type="default" r:id="rId13"/>
      <w:pgSz w:w="12240" w:h="15840"/>
      <w:pgMar w:top="567" w:right="1389" w:bottom="1134" w:left="1389"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647043" w14:textId="77777777" w:rsidR="005D5BB2" w:rsidRDefault="005D5BB2" w:rsidP="00CF1848">
      <w:r>
        <w:separator/>
      </w:r>
    </w:p>
  </w:endnote>
  <w:endnote w:type="continuationSeparator" w:id="0">
    <w:p w14:paraId="3067EF5A" w14:textId="77777777" w:rsidR="005D5BB2" w:rsidRDefault="005D5BB2" w:rsidP="00CF1848">
      <w:r>
        <w:continuationSeparator/>
      </w:r>
    </w:p>
  </w:endnote>
  <w:endnote w:type="continuationNotice" w:id="1">
    <w:p w14:paraId="68033B47" w14:textId="77777777" w:rsidR="005D5BB2" w:rsidRDefault="005D5BB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F96F39" w14:textId="77777777" w:rsidR="005D5BB2" w:rsidRDefault="005D5BB2" w:rsidP="00CF1848">
      <w:r>
        <w:separator/>
      </w:r>
    </w:p>
  </w:footnote>
  <w:footnote w:type="continuationSeparator" w:id="0">
    <w:p w14:paraId="5399ABF2" w14:textId="77777777" w:rsidR="005D5BB2" w:rsidRDefault="005D5BB2" w:rsidP="00CF1848">
      <w:r>
        <w:continuationSeparator/>
      </w:r>
    </w:p>
  </w:footnote>
  <w:footnote w:type="continuationNotice" w:id="1">
    <w:p w14:paraId="71247612" w14:textId="77777777" w:rsidR="005D5BB2" w:rsidRDefault="005D5BB2"/>
  </w:footnote>
  <w:footnote w:id="2">
    <w:p w14:paraId="3DD587C8" w14:textId="77777777" w:rsidR="004538C8" w:rsidRPr="00A417AB" w:rsidRDefault="004538C8" w:rsidP="004538C8">
      <w:pPr>
        <w:pStyle w:val="Notedebasdepage"/>
        <w:keepLines w:val="0"/>
        <w:ind w:firstLine="0"/>
        <w:jc w:val="left"/>
        <w:rPr>
          <w:kern w:val="18"/>
        </w:rPr>
      </w:pPr>
      <w:r w:rsidRPr="00A417AB">
        <w:rPr>
          <w:rStyle w:val="Appelnotedebasdep"/>
          <w:rFonts w:eastAsiaTheme="majorEastAsia"/>
          <w:kern w:val="18"/>
        </w:rPr>
        <w:footnoteRef/>
      </w:r>
      <w:r>
        <w:rPr>
          <w:kern w:val="18"/>
        </w:rPr>
        <w:t xml:space="preserve"> CBD/NP/MOP/3/2</w:t>
      </w:r>
      <w:r w:rsidRPr="00A417AB">
        <w:rPr>
          <w:kern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noProof/>
        <w:kern w:val="22"/>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DD587C2" w14:textId="4FCF482D" w:rsidR="00A00BE5" w:rsidRPr="00E86291" w:rsidRDefault="00103E7C" w:rsidP="00E86291">
        <w:pPr>
          <w:pStyle w:val="En-tte"/>
          <w:tabs>
            <w:tab w:val="clear" w:pos="4320"/>
            <w:tab w:val="clear" w:pos="8640"/>
          </w:tabs>
          <w:jc w:val="left"/>
          <w:rPr>
            <w:noProof/>
            <w:kern w:val="22"/>
          </w:rPr>
        </w:pPr>
        <w:r>
          <w:rPr>
            <w:noProof/>
            <w:kern w:val="22"/>
          </w:rPr>
          <w:t>CBD/NP/MOP/DEC/3/2</w:t>
        </w:r>
      </w:p>
    </w:sdtContent>
  </w:sdt>
  <w:p w14:paraId="3DD587C3" w14:textId="77777777" w:rsidR="00A00BE5" w:rsidRPr="00E86291" w:rsidRDefault="004E5615" w:rsidP="00E86291">
    <w:pPr>
      <w:pStyle w:val="En-tte"/>
      <w:tabs>
        <w:tab w:val="clear" w:pos="4320"/>
        <w:tab w:val="clear" w:pos="8640"/>
      </w:tabs>
      <w:jc w:val="left"/>
      <w:rPr>
        <w:noProof/>
        <w:kern w:val="22"/>
      </w:rPr>
    </w:pPr>
    <w:r>
      <w:rPr>
        <w:noProof/>
        <w:kern w:val="22"/>
        <w:lang w:val="ru-RU"/>
      </w:rPr>
      <w:t>Страница</w:t>
    </w:r>
    <w:r w:rsidR="00A00BE5" w:rsidRPr="00E86291">
      <w:rPr>
        <w:noProof/>
        <w:kern w:val="22"/>
      </w:rPr>
      <w:t xml:space="preserve"> </w:t>
    </w:r>
    <w:r w:rsidR="00CF4564" w:rsidRPr="00E86291">
      <w:rPr>
        <w:noProof/>
        <w:kern w:val="22"/>
      </w:rPr>
      <w:fldChar w:fldCharType="begin"/>
    </w:r>
    <w:r w:rsidR="00A00BE5" w:rsidRPr="00E86291">
      <w:rPr>
        <w:noProof/>
        <w:kern w:val="22"/>
      </w:rPr>
      <w:instrText xml:space="preserve"> PAGE   \* MERGEFORMAT </w:instrText>
    </w:r>
    <w:r w:rsidR="00CF4564" w:rsidRPr="00E86291">
      <w:rPr>
        <w:noProof/>
        <w:kern w:val="22"/>
      </w:rPr>
      <w:fldChar w:fldCharType="separate"/>
    </w:r>
    <w:r w:rsidR="004538C8">
      <w:rPr>
        <w:noProof/>
        <w:kern w:val="22"/>
      </w:rPr>
      <w:t>2</w:t>
    </w:r>
    <w:r w:rsidR="00CF4564" w:rsidRPr="00E86291">
      <w:rPr>
        <w:noProof/>
        <w:kern w:val="22"/>
      </w:rPr>
      <w:fldChar w:fldCharType="end"/>
    </w:r>
  </w:p>
  <w:p w14:paraId="3DD587C4" w14:textId="77777777" w:rsidR="00A00BE5" w:rsidRPr="00E86291" w:rsidRDefault="00A00BE5" w:rsidP="00E86291">
    <w:pPr>
      <w:pStyle w:val="En-tte"/>
      <w:tabs>
        <w:tab w:val="clear" w:pos="4320"/>
        <w:tab w:val="clear" w:pos="8640"/>
      </w:tabs>
      <w:jc w:val="left"/>
      <w:rPr>
        <w:noProof/>
        <w:kern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lang w:val="en-CA"/>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14:paraId="3DD587C5" w14:textId="6B01ED1B" w:rsidR="00A00BE5" w:rsidRPr="00E86291" w:rsidRDefault="00103E7C" w:rsidP="009505C9">
        <w:pPr>
          <w:pStyle w:val="En-tte"/>
          <w:jc w:val="right"/>
          <w:rPr>
            <w:lang w:val="en-CA"/>
          </w:rPr>
        </w:pPr>
        <w:r>
          <w:rPr>
            <w:lang w:val="en-CA"/>
          </w:rPr>
          <w:t>CBD/NP/MOP/DEC/3/2</w:t>
        </w:r>
      </w:p>
    </w:sdtContent>
  </w:sdt>
  <w:p w14:paraId="3DD587C6" w14:textId="77777777" w:rsidR="00A00BE5" w:rsidRPr="00000614" w:rsidRDefault="004E5615" w:rsidP="009505C9">
    <w:pPr>
      <w:pStyle w:val="En-tte"/>
      <w:jc w:val="right"/>
      <w:rPr>
        <w:lang w:val="fr-FR"/>
      </w:rPr>
    </w:pPr>
    <w:r>
      <w:rPr>
        <w:lang w:val="ru-RU"/>
      </w:rPr>
      <w:t>Страница</w:t>
    </w:r>
    <w:r w:rsidR="00A00BE5" w:rsidRPr="00000614">
      <w:rPr>
        <w:lang w:val="fr-FR"/>
      </w:rPr>
      <w:t xml:space="preserve"> </w:t>
    </w:r>
    <w:r w:rsidR="00CF4564">
      <w:fldChar w:fldCharType="begin"/>
    </w:r>
    <w:r w:rsidR="00A00BE5" w:rsidRPr="00000614">
      <w:rPr>
        <w:lang w:val="fr-FR"/>
      </w:rPr>
      <w:instrText xml:space="preserve"> PAGE   \* MERGEFORMAT </w:instrText>
    </w:r>
    <w:r w:rsidR="00CF4564">
      <w:fldChar w:fldCharType="separate"/>
    </w:r>
    <w:r w:rsidR="004538C8">
      <w:rPr>
        <w:noProof/>
        <w:lang w:val="fr-FR"/>
      </w:rPr>
      <w:t>3</w:t>
    </w:r>
    <w:r w:rsidR="00CF4564">
      <w:rPr>
        <w:noProof/>
      </w:rPr>
      <w:fldChar w:fldCharType="end"/>
    </w:r>
  </w:p>
  <w:p w14:paraId="3DD587C7" w14:textId="77777777" w:rsidR="00A00BE5" w:rsidRPr="00000614" w:rsidRDefault="00A00BE5">
    <w:pPr>
      <w:pStyle w:val="En-tte"/>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4"/>
  </w:num>
  <w:num w:numId="4">
    <w:abstractNumId w:val="6"/>
  </w:num>
  <w:num w:numId="5">
    <w:abstractNumId w:val="5"/>
  </w:num>
  <w:num w:numId="6">
    <w:abstractNumId w:val="0"/>
  </w:num>
  <w:num w:numId="7">
    <w:abstractNumId w:val="2"/>
  </w:num>
  <w:num w:numId="8">
    <w:abstractNumId w:val="4"/>
    <w:lvlOverride w:ilvl="0">
      <w:startOverride w:val="1"/>
    </w:lvlOverride>
  </w:num>
  <w:num w:numId="9">
    <w:abstractNumId w:val="10"/>
  </w:num>
  <w:num w:numId="10">
    <w:abstractNumId w:val="4"/>
    <w:lvlOverride w:ilvl="0">
      <w:startOverride w:val="1"/>
    </w:lvlOverride>
  </w:num>
  <w:num w:numId="11">
    <w:abstractNumId w:val="4"/>
    <w:lvlOverride w:ilvl="0">
      <w:startOverride w:val="1"/>
    </w:lvlOverride>
  </w:num>
  <w:num w:numId="12">
    <w:abstractNumId w:val="4"/>
    <w:lvlOverride w:ilvl="0">
      <w:startOverride w:val="1"/>
    </w:lvlOverride>
  </w:num>
  <w:num w:numId="13">
    <w:abstractNumId w:val="4"/>
    <w:lvlOverride w:ilvl="0">
      <w:startOverride w:val="1"/>
    </w:lvlOverride>
  </w:num>
  <w:num w:numId="14">
    <w:abstractNumId w:val="8"/>
  </w:num>
  <w:num w:numId="15">
    <w:abstractNumId w:val="7"/>
  </w:num>
  <w:num w:numId="16">
    <w:abstractNumId w:val="1"/>
  </w:num>
  <w:num w:numId="17">
    <w:abstractNumId w:val="11"/>
  </w:num>
  <w:num w:numId="18">
    <w:abstractNumId w:val="13"/>
  </w:num>
  <w:num w:numId="19">
    <w:abstractNumId w:val="1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C9161D"/>
    <w:rsid w:val="00000614"/>
    <w:rsid w:val="000044BF"/>
    <w:rsid w:val="00015026"/>
    <w:rsid w:val="000150B7"/>
    <w:rsid w:val="0001608F"/>
    <w:rsid w:val="00083113"/>
    <w:rsid w:val="00090804"/>
    <w:rsid w:val="000A7465"/>
    <w:rsid w:val="000B4F5F"/>
    <w:rsid w:val="000E673A"/>
    <w:rsid w:val="000F2F6A"/>
    <w:rsid w:val="000F74F5"/>
    <w:rsid w:val="00103DD7"/>
    <w:rsid w:val="00103E7C"/>
    <w:rsid w:val="00105372"/>
    <w:rsid w:val="00107981"/>
    <w:rsid w:val="00131E7A"/>
    <w:rsid w:val="00137C99"/>
    <w:rsid w:val="00142F5D"/>
    <w:rsid w:val="00172AF6"/>
    <w:rsid w:val="00176CEE"/>
    <w:rsid w:val="001C6879"/>
    <w:rsid w:val="002611CB"/>
    <w:rsid w:val="00271476"/>
    <w:rsid w:val="002A1726"/>
    <w:rsid w:val="002B7864"/>
    <w:rsid w:val="00311D13"/>
    <w:rsid w:val="00322DC1"/>
    <w:rsid w:val="00327B3D"/>
    <w:rsid w:val="00330A5B"/>
    <w:rsid w:val="003564F2"/>
    <w:rsid w:val="00363E66"/>
    <w:rsid w:val="00370A16"/>
    <w:rsid w:val="00372F74"/>
    <w:rsid w:val="0038026E"/>
    <w:rsid w:val="003A5C08"/>
    <w:rsid w:val="003B21BB"/>
    <w:rsid w:val="003D6962"/>
    <w:rsid w:val="003F7224"/>
    <w:rsid w:val="00405146"/>
    <w:rsid w:val="0042412C"/>
    <w:rsid w:val="00427D21"/>
    <w:rsid w:val="0043022E"/>
    <w:rsid w:val="00436417"/>
    <w:rsid w:val="004433C2"/>
    <w:rsid w:val="004538C8"/>
    <w:rsid w:val="00454417"/>
    <w:rsid w:val="004644C2"/>
    <w:rsid w:val="00464FF7"/>
    <w:rsid w:val="00467F9C"/>
    <w:rsid w:val="0047540A"/>
    <w:rsid w:val="00484B6E"/>
    <w:rsid w:val="004868A9"/>
    <w:rsid w:val="00496D27"/>
    <w:rsid w:val="004E5615"/>
    <w:rsid w:val="005201DE"/>
    <w:rsid w:val="005250B4"/>
    <w:rsid w:val="00530E2B"/>
    <w:rsid w:val="005345E1"/>
    <w:rsid w:val="00534681"/>
    <w:rsid w:val="00541921"/>
    <w:rsid w:val="00553F58"/>
    <w:rsid w:val="005615E7"/>
    <w:rsid w:val="005654DB"/>
    <w:rsid w:val="00577B25"/>
    <w:rsid w:val="005B0E23"/>
    <w:rsid w:val="005B213D"/>
    <w:rsid w:val="005D5BB2"/>
    <w:rsid w:val="005F5E29"/>
    <w:rsid w:val="006122BA"/>
    <w:rsid w:val="0061445E"/>
    <w:rsid w:val="00625B7F"/>
    <w:rsid w:val="00632A14"/>
    <w:rsid w:val="006B2290"/>
    <w:rsid w:val="006D52E4"/>
    <w:rsid w:val="006F1189"/>
    <w:rsid w:val="007065F4"/>
    <w:rsid w:val="00717D88"/>
    <w:rsid w:val="00723DF6"/>
    <w:rsid w:val="007559B8"/>
    <w:rsid w:val="007648AF"/>
    <w:rsid w:val="007942D3"/>
    <w:rsid w:val="007A2B7A"/>
    <w:rsid w:val="007B6C09"/>
    <w:rsid w:val="007D7C8E"/>
    <w:rsid w:val="007E09DA"/>
    <w:rsid w:val="00810015"/>
    <w:rsid w:val="00813C15"/>
    <w:rsid w:val="008178B6"/>
    <w:rsid w:val="00833E79"/>
    <w:rsid w:val="00852713"/>
    <w:rsid w:val="0085653F"/>
    <w:rsid w:val="00865B74"/>
    <w:rsid w:val="008834B0"/>
    <w:rsid w:val="008C6B31"/>
    <w:rsid w:val="008D6843"/>
    <w:rsid w:val="008E1E4D"/>
    <w:rsid w:val="0090105E"/>
    <w:rsid w:val="009273CF"/>
    <w:rsid w:val="00930BA1"/>
    <w:rsid w:val="0093169E"/>
    <w:rsid w:val="009505C9"/>
    <w:rsid w:val="0097115D"/>
    <w:rsid w:val="009C200D"/>
    <w:rsid w:val="00A00BE5"/>
    <w:rsid w:val="00A13576"/>
    <w:rsid w:val="00A40F86"/>
    <w:rsid w:val="00A41B97"/>
    <w:rsid w:val="00AA1583"/>
    <w:rsid w:val="00AA3788"/>
    <w:rsid w:val="00AC48CE"/>
    <w:rsid w:val="00AE500B"/>
    <w:rsid w:val="00AF7525"/>
    <w:rsid w:val="00AF7F66"/>
    <w:rsid w:val="00B3369F"/>
    <w:rsid w:val="00BA4FA4"/>
    <w:rsid w:val="00BE502E"/>
    <w:rsid w:val="00C1796D"/>
    <w:rsid w:val="00C33685"/>
    <w:rsid w:val="00C35537"/>
    <w:rsid w:val="00C41A7C"/>
    <w:rsid w:val="00C5080E"/>
    <w:rsid w:val="00C82CDE"/>
    <w:rsid w:val="00C9161D"/>
    <w:rsid w:val="00CA5651"/>
    <w:rsid w:val="00CF1848"/>
    <w:rsid w:val="00CF4564"/>
    <w:rsid w:val="00D12044"/>
    <w:rsid w:val="00D323CC"/>
    <w:rsid w:val="00D6235D"/>
    <w:rsid w:val="00D76A18"/>
    <w:rsid w:val="00D918EE"/>
    <w:rsid w:val="00DD118C"/>
    <w:rsid w:val="00DD4C69"/>
    <w:rsid w:val="00DE11E8"/>
    <w:rsid w:val="00E229A8"/>
    <w:rsid w:val="00E43705"/>
    <w:rsid w:val="00E51392"/>
    <w:rsid w:val="00E66235"/>
    <w:rsid w:val="00E8083D"/>
    <w:rsid w:val="00E83C24"/>
    <w:rsid w:val="00E86291"/>
    <w:rsid w:val="00E9318D"/>
    <w:rsid w:val="00F27A1E"/>
    <w:rsid w:val="00F34F4F"/>
    <w:rsid w:val="00F4785D"/>
    <w:rsid w:val="00F635C3"/>
    <w:rsid w:val="00F94774"/>
    <w:rsid w:val="00FA3090"/>
    <w:rsid w:val="00FA7CB3"/>
    <w:rsid w:val="00FC53DB"/>
    <w:rsid w:val="00FC6430"/>
    <w:rsid w:val="00FD7E4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DD587A6"/>
  <w15:docId w15:val="{3EBE07CE-7BB2-4B46-B4F8-BA8605A8F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fn,Geneva 9,Font: Geneva 9,Boston 10,f,ft,Fotnotstext Char,ft Char,single space,footnote text,FOOTNOTES,ADB,single space1,footnote text1,FOOTNOTES1,fn1,ADB1,single space2,footnote text2,FOOTNOTES2,fn2,ADB2,single space3,fn3"/>
    <w:basedOn w:val="Normal"/>
    <w:link w:val="NotedebasdepageCar"/>
    <w:qFormat/>
    <w:rsid w:val="007E09DA"/>
    <w:pPr>
      <w:keepLines/>
      <w:spacing w:after="60"/>
      <w:ind w:firstLine="720"/>
    </w:pPr>
    <w:rPr>
      <w:sz w:val="18"/>
    </w:rPr>
  </w:style>
  <w:style w:type="character" w:customStyle="1" w:styleId="NotedebasdepageCar">
    <w:name w:val="Note de bas de page Car"/>
    <w:aliases w:val="fn Car,Geneva 9 Car,Font: Geneva 9 Car,Boston 10 Car,f Car,ft Car,Fotnotstext Char Car,ft Char Car,single space Car,footnote text Car,FOOTNOTES Car,ADB Car,single space1 Car,footnote text1 Car,FOOTNOTES1 Car,fn1 Car,ADB1 Car"/>
    <w:basedOn w:val="Policepardfaut"/>
    <w:link w:val="Notedebasdepage"/>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link w:val="ParagraphedelisteCar"/>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styleId="Sansinterligne">
    <w:name w:val="No Spacing"/>
    <w:link w:val="SansinterligneCar"/>
    <w:uiPriority w:val="1"/>
    <w:qFormat/>
    <w:rsid w:val="0061445E"/>
    <w:rPr>
      <w:rFonts w:ascii="Calibri" w:eastAsia="Calibri" w:hAnsi="Calibri" w:cs="Times New Roman"/>
      <w:sz w:val="22"/>
      <w:szCs w:val="22"/>
      <w:lang w:val="en-US"/>
    </w:rPr>
  </w:style>
  <w:style w:type="character" w:customStyle="1" w:styleId="SansinterligneCar">
    <w:name w:val="Sans interligne Car"/>
    <w:basedOn w:val="Policepardfaut"/>
    <w:link w:val="Sansinterligne"/>
    <w:uiPriority w:val="1"/>
    <w:rsid w:val="0061445E"/>
    <w:rPr>
      <w:rFonts w:ascii="Calibri" w:eastAsia="Calibri" w:hAnsi="Calibri" w:cs="Times New Roman"/>
      <w:sz w:val="22"/>
      <w:szCs w:val="22"/>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5654DB"/>
    <w:pPr>
      <w:spacing w:after="160" w:line="240" w:lineRule="exact"/>
      <w:jc w:val="left"/>
    </w:pPr>
    <w:rPr>
      <w:rFonts w:asciiTheme="minorHAnsi" w:eastAsiaTheme="minorEastAsia" w:hAnsiTheme="minorHAnsi" w:cstheme="minorBidi"/>
      <w:vertAlign w:val="superscript"/>
      <w:lang w:val="fr-CA"/>
    </w:rPr>
  </w:style>
  <w:style w:type="character" w:customStyle="1" w:styleId="StyleFootnoteReferencenumberFootnoteReferenceSuperscript-EF">
    <w:name w:val="Style Footnote ReferencenumberFootnote Reference Superscript-E F..."/>
    <w:rsid w:val="005654DB"/>
    <w:rPr>
      <w:kern w:val="22"/>
      <w:sz w:val="18"/>
      <w:u w:val="none"/>
      <w:vertAlign w:val="superscript"/>
    </w:rPr>
  </w:style>
  <w:style w:type="paragraph" w:customStyle="1" w:styleId="item-compilation">
    <w:name w:val="item-compilation"/>
    <w:basedOn w:val="Normal"/>
    <w:qFormat/>
    <w:rsid w:val="005654DB"/>
    <w:pPr>
      <w:jc w:val="center"/>
    </w:pPr>
    <w:rPr>
      <w:rFonts w:eastAsia="Malgun Gothic"/>
      <w:b/>
    </w:rPr>
  </w:style>
  <w:style w:type="paragraph" w:styleId="Objetducommentaire">
    <w:name w:val="annotation subject"/>
    <w:basedOn w:val="Commentaire"/>
    <w:next w:val="Commentaire"/>
    <w:link w:val="ObjetducommentaireCar"/>
    <w:uiPriority w:val="99"/>
    <w:semiHidden/>
    <w:unhideWhenUsed/>
    <w:rsid w:val="002611CB"/>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611CB"/>
    <w:rPr>
      <w:rFonts w:ascii="Times New Roman" w:eastAsia="Times New Roman" w:hAnsi="Times New Roman" w:cs="Times New Roman"/>
      <w:b/>
      <w:bCs/>
      <w:sz w:val="20"/>
      <w:szCs w:val="20"/>
      <w:lang w:val="en-GB"/>
    </w:rPr>
  </w:style>
  <w:style w:type="character" w:customStyle="1" w:styleId="ParagraphedelisteCar">
    <w:name w:val="Paragraphe de liste Car"/>
    <w:basedOn w:val="Policepardfaut"/>
    <w:link w:val="Paragraphedeliste"/>
    <w:uiPriority w:val="34"/>
    <w:qFormat/>
    <w:locked/>
    <w:rsid w:val="00D323CC"/>
    <w:rPr>
      <w:rFonts w:ascii="Times New Roman" w:eastAsia="Times New Roman" w:hAnsi="Times New Roman" w:cs="Times New Roman"/>
      <w:sz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350662">
      <w:bodyDiv w:val="1"/>
      <w:marLeft w:val="0"/>
      <w:marRight w:val="0"/>
      <w:marTop w:val="0"/>
      <w:marBottom w:val="0"/>
      <w:divBdr>
        <w:top w:val="none" w:sz="0" w:space="0" w:color="auto"/>
        <w:left w:val="none" w:sz="0" w:space="0" w:color="auto"/>
        <w:bottom w:val="none" w:sz="0" w:space="0" w:color="auto"/>
        <w:right w:val="none" w:sz="0" w:space="0" w:color="auto"/>
      </w:divBdr>
    </w:div>
    <w:div w:id="606930634">
      <w:bodyDiv w:val="1"/>
      <w:marLeft w:val="0"/>
      <w:marRight w:val="0"/>
      <w:marTop w:val="0"/>
      <w:marBottom w:val="0"/>
      <w:divBdr>
        <w:top w:val="none" w:sz="0" w:space="0" w:color="auto"/>
        <w:left w:val="none" w:sz="0" w:space="0" w:color="auto"/>
        <w:bottom w:val="none" w:sz="0" w:space="0" w:color="auto"/>
        <w:right w:val="none" w:sz="0" w:space="0" w:color="auto"/>
      </w:divBdr>
    </w:div>
    <w:div w:id="70379542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Textedelespacerserv"/>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Textedelespacerserv"/>
            </w:rPr>
            <w:t>[Subject]</w:t>
          </w:r>
        </w:p>
      </w:docPartBody>
    </w:docPart>
    <w:docPart>
      <w:docPartPr>
        <w:name w:val="11AE8B5CE62C4F82AAA724CD34C19A29"/>
        <w:category>
          <w:name w:val="Général"/>
          <w:gallery w:val="placeholder"/>
        </w:category>
        <w:types>
          <w:type w:val="bbPlcHdr"/>
        </w:types>
        <w:behaviors>
          <w:behavior w:val="content"/>
        </w:behaviors>
        <w:guid w:val="{A4C698AA-1F69-4627-928E-DB318ACB7AD6}"/>
      </w:docPartPr>
      <w:docPartBody>
        <w:p w:rsidR="005C2B39" w:rsidRDefault="00A85C03" w:rsidP="00A85C03">
          <w:pPr>
            <w:pStyle w:val="11AE8B5CE62C4F82AAA724CD34C19A29"/>
          </w:pPr>
          <w:r w:rsidRPr="007E02EB">
            <w:rPr>
              <w:rStyle w:val="Textedelespacerserv"/>
            </w:rPr>
            <w:t>[Status]</w:t>
          </w:r>
        </w:p>
      </w:docPartBody>
    </w:docPart>
    <w:docPart>
      <w:docPartPr>
        <w:name w:val="DF0DE44DB4FC4141AC8F99D78995AF33"/>
        <w:category>
          <w:name w:val="Général"/>
          <w:gallery w:val="placeholder"/>
        </w:category>
        <w:types>
          <w:type w:val="bbPlcHdr"/>
        </w:types>
        <w:behaviors>
          <w:behavior w:val="content"/>
        </w:behaviors>
        <w:guid w:val="{52F31122-1895-4DC6-AD07-FFC48D41407E}"/>
      </w:docPartPr>
      <w:docPartBody>
        <w:p w:rsidR="005C2B39" w:rsidRDefault="00A85C03" w:rsidP="00A85C03">
          <w:pPr>
            <w:pStyle w:val="DF0DE44DB4FC4141AC8F99D78995AF33"/>
          </w:pPr>
          <w:r w:rsidRPr="007E02EB">
            <w:rPr>
              <w:rStyle w:val="Textedelespacerserv"/>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810A55"/>
    <w:rsid w:val="001D6DAB"/>
    <w:rsid w:val="00261E9A"/>
    <w:rsid w:val="002F0B0F"/>
    <w:rsid w:val="00450D4E"/>
    <w:rsid w:val="00500A2B"/>
    <w:rsid w:val="005461E8"/>
    <w:rsid w:val="0058288D"/>
    <w:rsid w:val="005C2B39"/>
    <w:rsid w:val="005D39BC"/>
    <w:rsid w:val="00657CA7"/>
    <w:rsid w:val="006801B3"/>
    <w:rsid w:val="007114F9"/>
    <w:rsid w:val="00720F63"/>
    <w:rsid w:val="007E0EA4"/>
    <w:rsid w:val="007F1B76"/>
    <w:rsid w:val="00810A55"/>
    <w:rsid w:val="008C6619"/>
    <w:rsid w:val="008D420E"/>
    <w:rsid w:val="0098642F"/>
    <w:rsid w:val="00A85C03"/>
    <w:rsid w:val="00B92240"/>
    <w:rsid w:val="00C016E6"/>
    <w:rsid w:val="00CE6602"/>
    <w:rsid w:val="00D21909"/>
    <w:rsid w:val="00D94BB7"/>
    <w:rsid w:val="00E864CA"/>
    <w:rsid w:val="00F64E41"/>
    <w:rsid w:val="00FF614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57CA7"/>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A85C03"/>
    <w:rPr>
      <w:color w:val="808080"/>
    </w:rPr>
  </w:style>
  <w:style w:type="paragraph" w:customStyle="1" w:styleId="C444DEE40D7C456B82AF1A09CD132ABF">
    <w:name w:val="C444DEE40D7C456B82AF1A09CD132ABF"/>
    <w:rsid w:val="00CE6602"/>
    <w:pPr>
      <w:spacing w:after="160" w:line="259" w:lineRule="auto"/>
    </w:pPr>
  </w:style>
  <w:style w:type="paragraph" w:customStyle="1" w:styleId="CA9595D5FE5E224CAFF20229EE416AB3">
    <w:name w:val="CA9595D5FE5E224CAFF20229EE416AB3"/>
    <w:rsid w:val="00B92240"/>
    <w:pPr>
      <w:spacing w:after="0" w:line="240" w:lineRule="auto"/>
    </w:pPr>
    <w:rPr>
      <w:sz w:val="24"/>
      <w:szCs w:val="24"/>
      <w:lang w:val="en-CA"/>
    </w:rPr>
  </w:style>
  <w:style w:type="paragraph" w:customStyle="1" w:styleId="1C63C4CFCA4C44F1A84B5E3E82E64462">
    <w:name w:val="1C63C4CFCA4C44F1A84B5E3E82E64462"/>
    <w:rsid w:val="002F0B0F"/>
    <w:pPr>
      <w:spacing w:after="160" w:line="259" w:lineRule="auto"/>
    </w:pPr>
    <w:rPr>
      <w:lang w:val="fr-FR" w:eastAsia="fr-FR"/>
    </w:rPr>
  </w:style>
  <w:style w:type="paragraph" w:customStyle="1" w:styleId="44D6557A039E4D9494BF0265EFDB7C9B">
    <w:name w:val="44D6557A039E4D9494BF0265EFDB7C9B"/>
    <w:rsid w:val="002F0B0F"/>
    <w:pPr>
      <w:spacing w:after="160" w:line="259" w:lineRule="auto"/>
    </w:pPr>
    <w:rPr>
      <w:lang w:val="fr-FR" w:eastAsia="fr-FR"/>
    </w:rPr>
  </w:style>
  <w:style w:type="paragraph" w:customStyle="1" w:styleId="11AE8B5CE62C4F82AAA724CD34C19A29">
    <w:name w:val="11AE8B5CE62C4F82AAA724CD34C19A29"/>
    <w:rsid w:val="00A85C03"/>
    <w:pPr>
      <w:spacing w:after="160" w:line="259" w:lineRule="auto"/>
    </w:pPr>
    <w:rPr>
      <w:lang w:val="fr-FR" w:eastAsia="fr-FR"/>
    </w:rPr>
  </w:style>
  <w:style w:type="paragraph" w:customStyle="1" w:styleId="DF0DE44DB4FC4141AC8F99D78995AF33">
    <w:name w:val="DF0DE44DB4FC4141AC8F99D78995AF33"/>
    <w:rsid w:val="00A85C03"/>
    <w:pPr>
      <w:spacing w:after="160" w:line="259" w:lineRule="auto"/>
    </w:pPr>
    <w:rPr>
      <w:lang w:val="fr-FR" w:eastAsia="fr-FR"/>
    </w:rPr>
  </w:style>
  <w:style w:type="paragraph" w:customStyle="1" w:styleId="0583CB5030814C82BE69FF0324415868">
    <w:name w:val="0583CB5030814C82BE69FF0324415868"/>
    <w:rsid w:val="00A85C03"/>
    <w:pPr>
      <w:spacing w:after="160" w:line="259" w:lineRule="auto"/>
    </w:pPr>
    <w:rPr>
      <w:lang w:val="fr-FR" w:eastAsia="fr-F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2017-12-12T00:00:00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FFF3ADD-C283-4640-AF3E-199500682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219</Words>
  <Characters>1210</Characters>
  <Application>Microsoft Office Word</Application>
  <DocSecurity>0</DocSecurity>
  <Lines>10</Lines>
  <Paragraphs>2</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СОБЛЮДЕНИЕ ПРОТОКОЛА</vt:lpstr>
      <vt:lpstr>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vt:lpstr>
    </vt:vector>
  </TitlesOfParts>
  <Company>SCBD</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3/2.СОБЛЮДЕНИЕ ПРОТОКОЛА</dc:title>
  <dc:subject>CBD/NP/MOP/DEC/3/2</dc:subject>
  <dc:creator>COP 14/WG 1</dc:creator>
  <cp:keywords>Specialized international access and benefit sharing instruments in the context of Article 4, paragraph 4, of the Nagoya Protocol</cp:keywords>
  <cp:lastModifiedBy>L A</cp:lastModifiedBy>
  <cp:revision>19</cp:revision>
  <cp:lastPrinted>2018-11-20T08:33:00Z</cp:lastPrinted>
  <dcterms:created xsi:type="dcterms:W3CDTF">2019-02-07T13:40:00Z</dcterms:created>
  <dcterms:modified xsi:type="dcterms:W3CDTF">2019-02-08T08:52:00Z</dcterms:modified>
  <cp:contentStatus>GENERAL</cp:contentStatus>
</cp:coreProperties>
</file>