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917A5E" w14:paraId="2FD00814" w14:textId="77777777" w:rsidTr="00CF1848">
        <w:trPr>
          <w:trHeight w:val="709"/>
        </w:trPr>
        <w:tc>
          <w:tcPr>
            <w:tcW w:w="976" w:type="dxa"/>
            <w:tcBorders>
              <w:bottom w:val="single" w:sz="12" w:space="0" w:color="auto"/>
            </w:tcBorders>
          </w:tcPr>
          <w:p w14:paraId="2FD00811" w14:textId="77777777" w:rsidR="00C9161D" w:rsidRPr="00917A5E" w:rsidRDefault="00C9161D">
            <w:pPr>
              <w:rPr>
                <w:kern w:val="22"/>
              </w:rPr>
            </w:pPr>
            <w:r w:rsidRPr="00745D12">
              <w:rPr>
                <w:noProof/>
                <w:kern w:val="22"/>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49EABF1D" w:rsidR="00C9161D" w:rsidRPr="00917A5E" w:rsidRDefault="00C9161D">
            <w:pPr>
              <w:rPr>
                <w:kern w:val="22"/>
              </w:rPr>
            </w:pPr>
            <w:r w:rsidRPr="00745D12">
              <w:rPr>
                <w:noProof/>
                <w:kern w:val="22"/>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FC2AD0" w:rsidRDefault="00C9161D" w:rsidP="00C9161D">
            <w:pPr>
              <w:jc w:val="right"/>
              <w:rPr>
                <w:rFonts w:ascii="Arial" w:hAnsi="Arial" w:cs="Arial"/>
                <w:b/>
                <w:kern w:val="22"/>
                <w:sz w:val="32"/>
                <w:szCs w:val="32"/>
              </w:rPr>
            </w:pPr>
            <w:r w:rsidRPr="00FC2AD0">
              <w:rPr>
                <w:rFonts w:ascii="Arial" w:hAnsi="Arial" w:cs="Arial"/>
                <w:b/>
                <w:kern w:val="22"/>
                <w:sz w:val="32"/>
                <w:szCs w:val="32"/>
              </w:rPr>
              <w:t>CBD</w:t>
            </w:r>
          </w:p>
        </w:tc>
      </w:tr>
      <w:tr w:rsidR="00C9161D" w:rsidRPr="00917A5E" w14:paraId="2FD0081E" w14:textId="77777777" w:rsidTr="00CF1848">
        <w:tc>
          <w:tcPr>
            <w:tcW w:w="6117" w:type="dxa"/>
            <w:gridSpan w:val="2"/>
            <w:tcBorders>
              <w:top w:val="single" w:sz="12" w:space="0" w:color="auto"/>
              <w:bottom w:val="single" w:sz="36" w:space="0" w:color="auto"/>
            </w:tcBorders>
            <w:vAlign w:val="center"/>
          </w:tcPr>
          <w:p w14:paraId="2FD00815" w14:textId="1BF768E0" w:rsidR="00C9161D" w:rsidRPr="00917A5E" w:rsidRDefault="00C9161D" w:rsidP="00C9161D">
            <w:pPr>
              <w:rPr>
                <w:kern w:val="22"/>
              </w:rPr>
            </w:pPr>
            <w:r w:rsidRPr="00745D12">
              <w:rPr>
                <w:noProof/>
                <w:kern w:val="22"/>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3D5698" w:rsidRDefault="00C9161D" w:rsidP="009B0CB8">
            <w:pPr>
              <w:ind w:left="1215"/>
              <w:jc w:val="left"/>
              <w:rPr>
                <w:kern w:val="22"/>
                <w:szCs w:val="22"/>
              </w:rPr>
            </w:pPr>
            <w:r w:rsidRPr="003D5698">
              <w:rPr>
                <w:kern w:val="22"/>
                <w:szCs w:val="22"/>
              </w:rPr>
              <w:t>Distr.</w:t>
            </w:r>
          </w:p>
          <w:p w14:paraId="2FD00817" w14:textId="4302101C" w:rsidR="00C9161D" w:rsidRPr="00917A5E" w:rsidRDefault="00784E87" w:rsidP="009B0CB8">
            <w:pPr>
              <w:ind w:left="1215"/>
              <w:jc w:val="left"/>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14952" w:rsidRPr="009B0CB8">
                  <w:rPr>
                    <w:kern w:val="22"/>
                    <w:szCs w:val="22"/>
                  </w:rPr>
                  <w:t>GENERAL</w:t>
                </w:r>
              </w:sdtContent>
            </w:sdt>
          </w:p>
          <w:p w14:paraId="2FD00818" w14:textId="77777777" w:rsidR="00C9161D" w:rsidRPr="00FC2AD0" w:rsidRDefault="00C9161D" w:rsidP="009B0CB8">
            <w:pPr>
              <w:ind w:left="1215"/>
              <w:jc w:val="left"/>
              <w:rPr>
                <w:kern w:val="22"/>
                <w:szCs w:val="22"/>
              </w:rPr>
            </w:pPr>
          </w:p>
          <w:p w14:paraId="2FD00819" w14:textId="469B835E" w:rsidR="00C9161D" w:rsidRPr="00917A5E" w:rsidRDefault="00784E87" w:rsidP="009B0CB8">
            <w:pPr>
              <w:ind w:left="1215"/>
              <w:jc w:val="left"/>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B8695A" w:rsidRPr="00917A5E">
                  <w:rPr>
                    <w:kern w:val="22"/>
                  </w:rPr>
                  <w:t>CBD/NP/MOP/DEC/3/3</w:t>
                </w:r>
              </w:sdtContent>
            </w:sdt>
          </w:p>
          <w:p w14:paraId="2FD0081A" w14:textId="6D97687D" w:rsidR="00C9161D" w:rsidRPr="003D5698" w:rsidRDefault="00614952" w:rsidP="009B0CB8">
            <w:pPr>
              <w:ind w:left="1215"/>
              <w:jc w:val="left"/>
              <w:rPr>
                <w:kern w:val="22"/>
                <w:szCs w:val="22"/>
              </w:rPr>
            </w:pPr>
            <w:r w:rsidRPr="003D5698">
              <w:rPr>
                <w:kern w:val="22"/>
                <w:szCs w:val="22"/>
              </w:rPr>
              <w:t xml:space="preserve">30 </w:t>
            </w:r>
            <w:r w:rsidR="00ED72FA" w:rsidRPr="003D5698">
              <w:rPr>
                <w:kern w:val="22"/>
                <w:szCs w:val="22"/>
              </w:rPr>
              <w:t>November</w:t>
            </w:r>
            <w:r w:rsidR="00F6586C" w:rsidRPr="003D5698">
              <w:rPr>
                <w:kern w:val="22"/>
                <w:szCs w:val="22"/>
              </w:rPr>
              <w:t xml:space="preserve"> 2018</w:t>
            </w:r>
          </w:p>
          <w:p w14:paraId="2FD0081B" w14:textId="77777777" w:rsidR="00C9161D" w:rsidRPr="00FC2AD0" w:rsidRDefault="00C9161D" w:rsidP="009B0CB8">
            <w:pPr>
              <w:ind w:left="1215"/>
              <w:jc w:val="left"/>
              <w:rPr>
                <w:kern w:val="22"/>
                <w:szCs w:val="22"/>
              </w:rPr>
            </w:pPr>
          </w:p>
          <w:p w14:paraId="2FD0081C" w14:textId="77777777" w:rsidR="00C9161D" w:rsidRPr="00917A5E" w:rsidRDefault="006B2290" w:rsidP="009B0CB8">
            <w:pPr>
              <w:ind w:left="1215"/>
              <w:jc w:val="left"/>
              <w:rPr>
                <w:kern w:val="22"/>
                <w:szCs w:val="22"/>
              </w:rPr>
            </w:pPr>
            <w:r w:rsidRPr="00917A5E">
              <w:rPr>
                <w:kern w:val="22"/>
                <w:szCs w:val="22"/>
              </w:rPr>
              <w:t xml:space="preserve">ORIGINAL: </w:t>
            </w:r>
            <w:r w:rsidR="00C9161D" w:rsidRPr="00917A5E">
              <w:rPr>
                <w:kern w:val="22"/>
                <w:szCs w:val="22"/>
              </w:rPr>
              <w:t>ENGLISH</w:t>
            </w:r>
          </w:p>
          <w:p w14:paraId="2FD0081D" w14:textId="77777777" w:rsidR="00C9161D" w:rsidRPr="00917A5E" w:rsidRDefault="00C9161D" w:rsidP="009B0CB8">
            <w:pPr>
              <w:jc w:val="left"/>
              <w:rPr>
                <w:kern w:val="22"/>
              </w:rPr>
            </w:pPr>
          </w:p>
        </w:tc>
      </w:tr>
    </w:tbl>
    <w:p w14:paraId="1182E4AB" w14:textId="77777777" w:rsidR="000D4C6E" w:rsidRPr="00FC2AD0" w:rsidRDefault="000D4C6E" w:rsidP="000D4C6E">
      <w:pPr>
        <w:suppressLineNumbers/>
        <w:tabs>
          <w:tab w:val="left" w:pos="5580"/>
        </w:tabs>
        <w:suppressAutoHyphens/>
        <w:kinsoku w:val="0"/>
        <w:overflowPunct w:val="0"/>
        <w:autoSpaceDE w:val="0"/>
        <w:autoSpaceDN w:val="0"/>
        <w:ind w:left="170" w:right="3938" w:hanging="170"/>
        <w:jc w:val="left"/>
        <w:rPr>
          <w:rFonts w:eastAsia="Batang"/>
          <w:snapToGrid w:val="0"/>
          <w:kern w:val="22"/>
        </w:rPr>
      </w:pPr>
      <w:bookmarkStart w:id="0" w:name="_Hlk505863673"/>
      <w:bookmarkStart w:id="1" w:name="_Hlk530040340"/>
      <w:r w:rsidRPr="00917A5E">
        <w:rPr>
          <w:rFonts w:eastAsia="Batang"/>
          <w:snapToGrid w:val="0"/>
          <w:kern w:val="22"/>
        </w:rPr>
        <w:t xml:space="preserve">CONFERENCE OF THE PARTIES TO THE CONVENTION ON BIOLOGICAL DIVERSITY SERVING AS THE MEETING OF THE </w:t>
      </w:r>
      <w:r w:rsidRPr="00FC2AD0">
        <w:rPr>
          <w:rFonts w:eastAsia="Batang"/>
          <w:snapToGrid w:val="0"/>
          <w:kern w:val="22"/>
        </w:rPr>
        <w:t>PARTIES TO THE NAGOYA PROTOCOL ON ACCESS TO GENETIC RESOURCES AND THE FAIR AND EQUITABLE SHARING OF BENEFITS ARISING FROM THEIR UTILIZATION</w:t>
      </w:r>
    </w:p>
    <w:p w14:paraId="658B390E" w14:textId="77777777" w:rsidR="000D4C6E" w:rsidRPr="00917A5E" w:rsidRDefault="000D4C6E" w:rsidP="000D4C6E">
      <w:pPr>
        <w:suppressLineNumbers/>
        <w:suppressAutoHyphens/>
        <w:kinsoku w:val="0"/>
        <w:overflowPunct w:val="0"/>
        <w:autoSpaceDE w:val="0"/>
        <w:autoSpaceDN w:val="0"/>
        <w:ind w:left="170" w:right="3119" w:hanging="170"/>
        <w:jc w:val="left"/>
        <w:rPr>
          <w:rFonts w:eastAsia="Batang"/>
          <w:snapToGrid w:val="0"/>
          <w:kern w:val="22"/>
        </w:rPr>
      </w:pPr>
      <w:r w:rsidRPr="00917A5E">
        <w:rPr>
          <w:rFonts w:eastAsia="Batang"/>
          <w:snapToGrid w:val="0"/>
          <w:kern w:val="22"/>
        </w:rPr>
        <w:t>Third meeting</w:t>
      </w:r>
    </w:p>
    <w:p w14:paraId="10DD7072" w14:textId="77777777" w:rsidR="00AC3393" w:rsidRPr="00917A5E" w:rsidRDefault="00AC3393" w:rsidP="00AC3393">
      <w:pPr>
        <w:suppressLineNumbers/>
        <w:suppressAutoHyphens/>
        <w:kinsoku w:val="0"/>
        <w:overflowPunct w:val="0"/>
        <w:autoSpaceDE w:val="0"/>
        <w:autoSpaceDN w:val="0"/>
        <w:rPr>
          <w:snapToGrid w:val="0"/>
          <w:kern w:val="22"/>
          <w:szCs w:val="22"/>
          <w:lang w:eastAsia="nb-NO"/>
        </w:rPr>
      </w:pPr>
      <w:r w:rsidRPr="00917A5E">
        <w:rPr>
          <w:snapToGrid w:val="0"/>
          <w:kern w:val="22"/>
          <w:szCs w:val="22"/>
          <w:lang w:eastAsia="nb-NO"/>
        </w:rPr>
        <w:t>Sharm El-Sheikh, Egypt</w:t>
      </w:r>
      <w:bookmarkEnd w:id="0"/>
      <w:r w:rsidRPr="00917A5E">
        <w:rPr>
          <w:snapToGrid w:val="0"/>
          <w:kern w:val="22"/>
          <w:szCs w:val="22"/>
          <w:lang w:eastAsia="nb-NO"/>
        </w:rPr>
        <w:t>, 17-29 November 2018</w:t>
      </w:r>
    </w:p>
    <w:bookmarkEnd w:id="1"/>
    <w:p w14:paraId="2FD00822" w14:textId="27A5BB5E" w:rsidR="00172AF6" w:rsidRPr="00917A5E" w:rsidRDefault="00F6586C" w:rsidP="00172AF6">
      <w:pPr>
        <w:pStyle w:val="Cornernotation"/>
        <w:ind w:right="3973"/>
        <w:rPr>
          <w:color w:val="000000"/>
          <w:kern w:val="22"/>
        </w:rPr>
      </w:pPr>
      <w:r w:rsidRPr="00917A5E">
        <w:rPr>
          <w:color w:val="000000"/>
          <w:kern w:val="22"/>
        </w:rPr>
        <w:t xml:space="preserve">Agenda item </w:t>
      </w:r>
      <w:r w:rsidR="004A504A" w:rsidRPr="00917A5E">
        <w:rPr>
          <w:color w:val="000000"/>
          <w:kern w:val="22"/>
        </w:rPr>
        <w:t>10</w:t>
      </w:r>
    </w:p>
    <w:p w14:paraId="6A184086" w14:textId="5E866A4B" w:rsidR="00AE7D82" w:rsidRPr="009B0CB8" w:rsidRDefault="008D3740" w:rsidP="00AE7D82">
      <w:pPr>
        <w:pStyle w:val="Heading1"/>
        <w:rPr>
          <w:rFonts w:ascii="Times New Roman Bold" w:hAnsi="Times New Roman Bold"/>
          <w:kern w:val="22"/>
          <w:szCs w:val="22"/>
        </w:rPr>
      </w:pPr>
      <w:bookmarkStart w:id="2" w:name="_Hlk532291362"/>
      <w:r w:rsidRPr="009B0CB8">
        <w:rPr>
          <w:rFonts w:ascii="Times New Roman Bold" w:hAnsi="Times New Roman Bold"/>
          <w:kern w:val="22"/>
        </w:rPr>
        <w:t>Decision adopted by the Parties to the Nagoya Protocol on Access and Benefit-sharing</w:t>
      </w:r>
    </w:p>
    <w:bookmarkEnd w:id="2"/>
    <w:p w14:paraId="030ED64A" w14:textId="627A10E5" w:rsidR="004A504A" w:rsidRPr="009B0CB8" w:rsidRDefault="00784E87" w:rsidP="009B0CB8">
      <w:pPr>
        <w:pStyle w:val="recommendationheader"/>
        <w:rPr>
          <w:caps/>
          <w:kern w:val="22"/>
        </w:rPr>
      </w:pPr>
      <w:sdt>
        <w:sdtPr>
          <w:rPr>
            <w:caps/>
            <w:snapToGrid w:val="0"/>
            <w:kern w:val="22"/>
          </w:rPr>
          <w:alias w:val="Title"/>
          <w:tag w:val=""/>
          <w:id w:val="772832786"/>
          <w:placeholder>
            <w:docPart w:val="FCFBB4AD6B4743009C538F98CA314449"/>
          </w:placeholder>
          <w:dataBinding w:prefixMappings="xmlns:ns0='http://purl.org/dc/elements/1.1/' xmlns:ns1='http://schemas.openxmlformats.org/package/2006/metadata/core-properties' " w:xpath="/ns1:coreProperties[1]/ns0:title[1]" w:storeItemID="{6C3C8BC8-F283-45AE-878A-BAB7291924A1}"/>
          <w:text/>
        </w:sdtPr>
        <w:sdtEndPr/>
        <w:sdtContent>
          <w:r w:rsidR="00B8695A" w:rsidRPr="009B0CB8">
            <w:rPr>
              <w:caps/>
              <w:snapToGrid w:val="0"/>
              <w:kern w:val="22"/>
            </w:rPr>
            <w:t>3/3.</w:t>
          </w:r>
          <w:r w:rsidR="00614952" w:rsidRPr="009B0CB8">
            <w:rPr>
              <w:caps/>
              <w:snapToGrid w:val="0"/>
              <w:kern w:val="22"/>
            </w:rPr>
            <w:tab/>
          </w:r>
          <w:r w:rsidR="00B8695A" w:rsidRPr="009B0CB8">
            <w:rPr>
              <w:caps/>
              <w:snapToGrid w:val="0"/>
              <w:kern w:val="22"/>
            </w:rPr>
            <w:t>T</w:t>
          </w:r>
          <w:r w:rsidR="00614952" w:rsidRPr="009B0CB8">
            <w:rPr>
              <w:snapToGrid w:val="0"/>
              <w:kern w:val="22"/>
            </w:rPr>
            <w:t>he Access and Benefit-sharing Clearing-House and information sharing (Article 14</w:t>
          </w:r>
          <w:r w:rsidR="00B8695A" w:rsidRPr="009B0CB8">
            <w:rPr>
              <w:caps/>
              <w:snapToGrid w:val="0"/>
              <w:kern w:val="22"/>
            </w:rPr>
            <w:t>)</w:t>
          </w:r>
        </w:sdtContent>
      </w:sdt>
    </w:p>
    <w:p w14:paraId="1523E6D7" w14:textId="35E42C19" w:rsidR="00A725CF" w:rsidRPr="003D5698" w:rsidRDefault="00A725CF" w:rsidP="00820A4F">
      <w:pPr>
        <w:keepNext/>
        <w:pBdr>
          <w:top w:val="nil"/>
          <w:left w:val="nil"/>
          <w:bottom w:val="nil"/>
          <w:right w:val="nil"/>
          <w:between w:val="nil"/>
          <w:bar w:val="nil"/>
        </w:pBdr>
        <w:spacing w:before="120" w:after="120"/>
        <w:ind w:firstLine="720"/>
        <w:rPr>
          <w:rFonts w:eastAsia="Arial Unicode MS"/>
          <w:i/>
          <w:snapToGrid w:val="0"/>
          <w:kern w:val="22"/>
          <w:u w:color="000000"/>
          <w:bdr w:val="nil"/>
        </w:rPr>
      </w:pPr>
      <w:r w:rsidRPr="003D5698">
        <w:rPr>
          <w:rFonts w:eastAsia="Arial Unicode MS"/>
          <w:i/>
          <w:snapToGrid w:val="0"/>
          <w:kern w:val="22"/>
          <w:u w:color="000000"/>
          <w:bdr w:val="nil"/>
        </w:rPr>
        <w:t>The Conference of the Parties serving as the meeting of the Parties to the Nagoya Protocol</w:t>
      </w:r>
      <w:r w:rsidR="003D5698">
        <w:rPr>
          <w:rFonts w:eastAsia="Arial Unicode MS"/>
          <w:i/>
          <w:snapToGrid w:val="0"/>
          <w:kern w:val="22"/>
          <w:u w:color="000000"/>
          <w:bdr w:val="nil"/>
        </w:rPr>
        <w:t xml:space="preserve"> on Access and Benefit-sharing</w:t>
      </w:r>
    </w:p>
    <w:p w14:paraId="1D5B94DC" w14:textId="77777777" w:rsidR="00A725CF" w:rsidRPr="00917A5E" w:rsidRDefault="00A725CF" w:rsidP="00DB0253">
      <w:pPr>
        <w:suppressLineNumbers/>
        <w:pBdr>
          <w:top w:val="nil"/>
          <w:left w:val="nil"/>
          <w:bottom w:val="nil"/>
          <w:right w:val="nil"/>
          <w:between w:val="nil"/>
          <w:bar w:val="nil"/>
        </w:pBdr>
        <w:suppressAutoHyphens/>
        <w:spacing w:before="120" w:after="120"/>
        <w:ind w:firstLine="720"/>
        <w:rPr>
          <w:snapToGrid w:val="0"/>
          <w:kern w:val="22"/>
        </w:rPr>
      </w:pPr>
      <w:r w:rsidRPr="00FC2AD0">
        <w:rPr>
          <w:snapToGrid w:val="0"/>
          <w:kern w:val="22"/>
        </w:rPr>
        <w:t>1.</w:t>
      </w:r>
      <w:r w:rsidRPr="00FC2AD0">
        <w:rPr>
          <w:snapToGrid w:val="0"/>
          <w:kern w:val="22"/>
        </w:rPr>
        <w:tab/>
      </w:r>
      <w:r w:rsidRPr="00FC2AD0">
        <w:rPr>
          <w:i/>
          <w:snapToGrid w:val="0"/>
          <w:kern w:val="22"/>
        </w:rPr>
        <w:t xml:space="preserve">Welcomes </w:t>
      </w:r>
      <w:r w:rsidRPr="00FC2AD0">
        <w:rPr>
          <w:snapToGrid w:val="0"/>
          <w:kern w:val="22"/>
        </w:rPr>
        <w:t xml:space="preserve">progress made by the </w:t>
      </w:r>
      <w:r w:rsidRPr="002A675D">
        <w:rPr>
          <w:snapToGrid w:val="0"/>
          <w:kern w:val="22"/>
        </w:rPr>
        <w:t>Secretariat in the implementation and operation of the Access and Benefit-sharing Clearing-House;</w:t>
      </w:r>
      <w:r w:rsidRPr="00917A5E">
        <w:rPr>
          <w:snapToGrid w:val="0"/>
          <w:kern w:val="22"/>
          <w:vertAlign w:val="superscript"/>
        </w:rPr>
        <w:footnoteReference w:id="1"/>
      </w:r>
    </w:p>
    <w:p w14:paraId="5D6A6BBA" w14:textId="77777777" w:rsidR="00A725CF" w:rsidRPr="00917A5E" w:rsidRDefault="00A725CF" w:rsidP="00DB0253">
      <w:pPr>
        <w:suppressLineNumbers/>
        <w:pBdr>
          <w:top w:val="nil"/>
          <w:left w:val="nil"/>
          <w:bottom w:val="nil"/>
          <w:right w:val="nil"/>
          <w:between w:val="nil"/>
          <w:bar w:val="nil"/>
        </w:pBdr>
        <w:suppressAutoHyphens/>
        <w:spacing w:before="120" w:after="120"/>
        <w:ind w:firstLine="720"/>
        <w:rPr>
          <w:snapToGrid w:val="0"/>
          <w:kern w:val="22"/>
        </w:rPr>
      </w:pPr>
      <w:r w:rsidRPr="00FC2AD0">
        <w:rPr>
          <w:snapToGrid w:val="0"/>
          <w:kern w:val="22"/>
        </w:rPr>
        <w:t>2.</w:t>
      </w:r>
      <w:r w:rsidRPr="00FC2AD0">
        <w:rPr>
          <w:snapToGrid w:val="0"/>
          <w:kern w:val="22"/>
        </w:rPr>
        <w:tab/>
      </w:r>
      <w:r w:rsidRPr="00FC2AD0">
        <w:rPr>
          <w:i/>
          <w:snapToGrid w:val="0"/>
          <w:kern w:val="22"/>
        </w:rPr>
        <w:t>Welcomes</w:t>
      </w:r>
      <w:r w:rsidRPr="00FC2AD0">
        <w:rPr>
          <w:snapToGrid w:val="0"/>
          <w:kern w:val="22"/>
        </w:rPr>
        <w:t xml:space="preserve"> the efforts made by Parties, non-Parties, indigenous peoples and local communities and relevant stakeholders to make information available in the</w:t>
      </w:r>
      <w:r w:rsidRPr="00917A5E">
        <w:rPr>
          <w:snapToGrid w:val="0"/>
          <w:kern w:val="22"/>
        </w:rPr>
        <w:t xml:space="preserve"> Access and Benefit-sharing Clearing-House;</w:t>
      </w:r>
    </w:p>
    <w:p w14:paraId="56B39410" w14:textId="0EFE0193" w:rsidR="00A725CF" w:rsidRPr="00917A5E" w:rsidRDefault="00A725CF" w:rsidP="00DB0253">
      <w:pPr>
        <w:suppressLineNumbers/>
        <w:shd w:val="clear" w:color="auto" w:fill="FFFFFF" w:themeFill="background1"/>
        <w:suppressAutoHyphens/>
        <w:kinsoku w:val="0"/>
        <w:overflowPunct w:val="0"/>
        <w:autoSpaceDE w:val="0"/>
        <w:autoSpaceDN w:val="0"/>
        <w:adjustRightInd w:val="0"/>
        <w:snapToGrid w:val="0"/>
        <w:spacing w:before="120" w:after="120"/>
        <w:ind w:firstLine="720"/>
        <w:rPr>
          <w:rFonts w:eastAsiaTheme="minorHAnsi"/>
          <w:snapToGrid w:val="0"/>
          <w:kern w:val="22"/>
          <w:szCs w:val="22"/>
        </w:rPr>
      </w:pPr>
      <w:r w:rsidRPr="00917A5E">
        <w:rPr>
          <w:rFonts w:eastAsiaTheme="minorHAnsi"/>
          <w:snapToGrid w:val="0"/>
          <w:kern w:val="22"/>
          <w:szCs w:val="22"/>
        </w:rPr>
        <w:t>3.</w:t>
      </w:r>
      <w:r w:rsidRPr="00917A5E">
        <w:rPr>
          <w:rFonts w:eastAsiaTheme="minorHAnsi"/>
          <w:snapToGrid w:val="0"/>
          <w:kern w:val="22"/>
          <w:szCs w:val="22"/>
        </w:rPr>
        <w:tab/>
      </w:r>
      <w:r w:rsidRPr="00917A5E">
        <w:rPr>
          <w:rFonts w:eastAsiaTheme="minorHAnsi"/>
          <w:i/>
          <w:snapToGrid w:val="0"/>
          <w:kern w:val="22"/>
          <w:szCs w:val="22"/>
        </w:rPr>
        <w:t>Urges</w:t>
      </w:r>
      <w:r w:rsidRPr="00917A5E">
        <w:rPr>
          <w:rFonts w:eastAsiaTheme="minorHAnsi"/>
          <w:snapToGrid w:val="0"/>
          <w:kern w:val="22"/>
          <w:szCs w:val="22"/>
        </w:rPr>
        <w:t xml:space="preserve"> Parties that have not yet done so to publish all mandatory information available at the </w:t>
      </w:r>
      <w:r w:rsidRPr="00917A5E">
        <w:rPr>
          <w:snapToGrid w:val="0"/>
          <w:kern w:val="22"/>
          <w:szCs w:val="22"/>
        </w:rPr>
        <w:t>national</w:t>
      </w:r>
      <w:r w:rsidRPr="00917A5E">
        <w:rPr>
          <w:rFonts w:eastAsiaTheme="minorHAnsi"/>
          <w:snapToGrid w:val="0"/>
          <w:kern w:val="22"/>
          <w:szCs w:val="22"/>
        </w:rPr>
        <w:t xml:space="preserve"> level on the Access and Benefit-sharing</w:t>
      </w:r>
      <w:r w:rsidRPr="00917A5E" w:rsidDel="00A3506F">
        <w:rPr>
          <w:rFonts w:eastAsiaTheme="minorHAnsi"/>
          <w:snapToGrid w:val="0"/>
          <w:kern w:val="22"/>
          <w:szCs w:val="22"/>
        </w:rPr>
        <w:t xml:space="preserve"> </w:t>
      </w:r>
      <w:r w:rsidRPr="00917A5E">
        <w:rPr>
          <w:rFonts w:eastAsiaTheme="minorHAnsi"/>
          <w:snapToGrid w:val="0"/>
          <w:kern w:val="22"/>
          <w:szCs w:val="22"/>
        </w:rPr>
        <w:t>Clearing-House in accordance with the obligations in Article 14, paragraph 2, of the Protocol, as soon as possible,</w:t>
      </w:r>
      <w:r w:rsidRPr="00917A5E">
        <w:rPr>
          <w:rFonts w:eastAsiaTheme="minorHAnsi"/>
          <w:i/>
          <w:snapToGrid w:val="0"/>
          <w:kern w:val="22"/>
          <w:szCs w:val="22"/>
        </w:rPr>
        <w:t xml:space="preserve"> </w:t>
      </w:r>
      <w:r w:rsidRPr="00917A5E">
        <w:rPr>
          <w:rFonts w:eastAsiaTheme="minorHAnsi"/>
          <w:snapToGrid w:val="0"/>
          <w:kern w:val="22"/>
          <w:szCs w:val="22"/>
        </w:rPr>
        <w:t>considering that the publication of mandatory information in the Access and Benefit-sharing Clearing-House is essential for the implementation of the Nagoya Protocol;</w:t>
      </w:r>
    </w:p>
    <w:p w14:paraId="42440D51" w14:textId="0BFD4994" w:rsidR="00A725CF" w:rsidRPr="00917A5E" w:rsidRDefault="00A725CF" w:rsidP="00742858">
      <w:pPr>
        <w:suppressLineNumbers/>
        <w:shd w:val="clear" w:color="auto" w:fill="FFFFFF" w:themeFill="background1"/>
        <w:suppressAutoHyphens/>
        <w:kinsoku w:val="0"/>
        <w:overflowPunct w:val="0"/>
        <w:autoSpaceDE w:val="0"/>
        <w:autoSpaceDN w:val="0"/>
        <w:adjustRightInd w:val="0"/>
        <w:snapToGrid w:val="0"/>
        <w:spacing w:before="120" w:after="120"/>
        <w:ind w:firstLine="720"/>
        <w:rPr>
          <w:snapToGrid w:val="0"/>
          <w:kern w:val="22"/>
        </w:rPr>
      </w:pPr>
      <w:r w:rsidRPr="00917A5E">
        <w:rPr>
          <w:snapToGrid w:val="0"/>
          <w:kern w:val="22"/>
          <w:szCs w:val="22"/>
        </w:rPr>
        <w:t>4.</w:t>
      </w:r>
      <w:r w:rsidRPr="00917A5E">
        <w:rPr>
          <w:i/>
          <w:snapToGrid w:val="0"/>
          <w:kern w:val="22"/>
          <w:szCs w:val="22"/>
        </w:rPr>
        <w:tab/>
        <w:t xml:space="preserve">Urges </w:t>
      </w:r>
      <w:r w:rsidRPr="00917A5E">
        <w:rPr>
          <w:snapToGrid w:val="0"/>
          <w:kern w:val="22"/>
          <w:szCs w:val="22"/>
        </w:rPr>
        <w:t>Parties to provide information on their national access and benefit-sharing procedures through the voluntary common format on procedures, as available in the Access and Benefit-sharing Clearing</w:t>
      </w:r>
      <w:r w:rsidR="00F47C3A" w:rsidRPr="00917A5E">
        <w:rPr>
          <w:snapToGrid w:val="0"/>
          <w:kern w:val="22"/>
          <w:szCs w:val="22"/>
        </w:rPr>
        <w:t>-</w:t>
      </w:r>
      <w:r w:rsidRPr="00917A5E">
        <w:rPr>
          <w:snapToGrid w:val="0"/>
          <w:kern w:val="22"/>
          <w:szCs w:val="22"/>
        </w:rPr>
        <w:t>House;</w:t>
      </w:r>
    </w:p>
    <w:p w14:paraId="47BFBEA8" w14:textId="0EFC70CF" w:rsidR="00A725CF" w:rsidRPr="00917A5E" w:rsidRDefault="00A725CF" w:rsidP="00DB0253">
      <w:pPr>
        <w:suppressLineNumbers/>
        <w:pBdr>
          <w:top w:val="nil"/>
          <w:left w:val="nil"/>
          <w:bottom w:val="nil"/>
          <w:right w:val="nil"/>
          <w:between w:val="nil"/>
          <w:bar w:val="nil"/>
        </w:pBdr>
        <w:suppressAutoHyphens/>
        <w:spacing w:before="120" w:after="120"/>
        <w:ind w:firstLine="720"/>
        <w:rPr>
          <w:snapToGrid w:val="0"/>
          <w:kern w:val="22"/>
        </w:rPr>
      </w:pPr>
      <w:r w:rsidRPr="00917A5E">
        <w:rPr>
          <w:snapToGrid w:val="0"/>
          <w:kern w:val="22"/>
        </w:rPr>
        <w:t>5.</w:t>
      </w:r>
      <w:r w:rsidRPr="00917A5E">
        <w:rPr>
          <w:snapToGrid w:val="0"/>
          <w:kern w:val="22"/>
        </w:rPr>
        <w:tab/>
      </w:r>
      <w:r w:rsidRPr="00917A5E">
        <w:rPr>
          <w:i/>
          <w:snapToGrid w:val="0"/>
          <w:kern w:val="22"/>
        </w:rPr>
        <w:t xml:space="preserve">Takes </w:t>
      </w:r>
      <w:r w:rsidRPr="009B0CB8">
        <w:rPr>
          <w:i/>
          <w:snapToGrid w:val="0"/>
          <w:kern w:val="22"/>
        </w:rPr>
        <w:t>note</w:t>
      </w:r>
      <w:r w:rsidRPr="00917A5E">
        <w:rPr>
          <w:snapToGrid w:val="0"/>
          <w:kern w:val="22"/>
        </w:rPr>
        <w:t xml:space="preserve"> of the list of goals and priorities for the further implementation and</w:t>
      </w:r>
      <w:r w:rsidRPr="003D5698">
        <w:rPr>
          <w:snapToGrid w:val="0"/>
          <w:kern w:val="22"/>
        </w:rPr>
        <w:t xml:space="preserve"> administration of the Access and Benefit-sharing Clearing-House for the biennium 2019-2020 c</w:t>
      </w:r>
      <w:r w:rsidRPr="00FC2AD0">
        <w:rPr>
          <w:snapToGrid w:val="0"/>
          <w:kern w:val="22"/>
        </w:rPr>
        <w:t xml:space="preserve">ontained in annex </w:t>
      </w:r>
      <w:r w:rsidRPr="00917A5E">
        <w:rPr>
          <w:snapToGrid w:val="0"/>
          <w:kern w:val="22"/>
        </w:rPr>
        <w:t>to the present decision;</w:t>
      </w:r>
    </w:p>
    <w:p w14:paraId="220211E5" w14:textId="57C10E09" w:rsidR="00A725CF" w:rsidRPr="00917A5E" w:rsidRDefault="00A725CF" w:rsidP="00DB0253">
      <w:pPr>
        <w:suppressLineNumbers/>
        <w:pBdr>
          <w:top w:val="nil"/>
          <w:left w:val="nil"/>
          <w:bottom w:val="nil"/>
          <w:right w:val="nil"/>
          <w:between w:val="nil"/>
          <w:bar w:val="nil"/>
        </w:pBdr>
        <w:suppressAutoHyphens/>
        <w:spacing w:before="120" w:after="120"/>
        <w:ind w:firstLine="720"/>
        <w:rPr>
          <w:snapToGrid w:val="0"/>
          <w:kern w:val="22"/>
        </w:rPr>
      </w:pPr>
      <w:r w:rsidRPr="00917A5E">
        <w:rPr>
          <w:snapToGrid w:val="0"/>
          <w:kern w:val="22"/>
        </w:rPr>
        <w:t>6.</w:t>
      </w:r>
      <w:r w:rsidRPr="00917A5E">
        <w:rPr>
          <w:snapToGrid w:val="0"/>
          <w:kern w:val="22"/>
        </w:rPr>
        <w:tab/>
      </w:r>
      <w:r w:rsidRPr="00917A5E">
        <w:rPr>
          <w:i/>
          <w:snapToGrid w:val="0"/>
          <w:kern w:val="22"/>
        </w:rPr>
        <w:t>Endorses</w:t>
      </w:r>
      <w:r w:rsidRPr="00917A5E">
        <w:rPr>
          <w:snapToGrid w:val="0"/>
          <w:kern w:val="22"/>
        </w:rPr>
        <w:t xml:space="preserve"> the joint modalities of operation for the clearing-house mechanism of the Convention, the Biosafety Clearing-House and the Access and Benefit-sharing Clearing-House, contained in the annex </w:t>
      </w:r>
      <w:r w:rsidR="00E6555B" w:rsidRPr="00917A5E">
        <w:rPr>
          <w:snapToGrid w:val="0"/>
          <w:kern w:val="22"/>
        </w:rPr>
        <w:t>to</w:t>
      </w:r>
      <w:r w:rsidRPr="00917A5E">
        <w:rPr>
          <w:snapToGrid w:val="0"/>
          <w:kern w:val="22"/>
        </w:rPr>
        <w:t xml:space="preserve"> decision 14</w:t>
      </w:r>
      <w:r w:rsidR="00614952" w:rsidRPr="00917A5E">
        <w:rPr>
          <w:snapToGrid w:val="0"/>
          <w:kern w:val="22"/>
        </w:rPr>
        <w:t xml:space="preserve">/25, </w:t>
      </w:r>
      <w:r w:rsidRPr="00917A5E">
        <w:rPr>
          <w:snapToGrid w:val="0"/>
          <w:kern w:val="22"/>
        </w:rPr>
        <w:t>which are complementar</w:t>
      </w:r>
      <w:r w:rsidRPr="00FD16A3">
        <w:rPr>
          <w:snapToGrid w:val="0"/>
          <w:kern w:val="22"/>
        </w:rPr>
        <w:t xml:space="preserve">y to the modalities of operation of the Access and Benefit-sharing Clearing-House adopted by the Conference of the Parties serving as the meeting of the Parties to the Nagoya Protocol in decision </w:t>
      </w:r>
      <w:hyperlink r:id="rId12" w:history="1">
        <w:r w:rsidRPr="00917A5E">
          <w:rPr>
            <w:snapToGrid w:val="0"/>
            <w:color w:val="0000FF"/>
            <w:kern w:val="22"/>
            <w:u w:val="single"/>
          </w:rPr>
          <w:t>NP-1/2</w:t>
        </w:r>
      </w:hyperlink>
      <w:r w:rsidRPr="00917A5E">
        <w:rPr>
          <w:snapToGrid w:val="0"/>
          <w:kern w:val="22"/>
        </w:rPr>
        <w:t>;</w:t>
      </w:r>
    </w:p>
    <w:p w14:paraId="44753005" w14:textId="77777777" w:rsidR="00A725CF" w:rsidRPr="00FC2AD0" w:rsidRDefault="00A725CF" w:rsidP="00DB0253">
      <w:pPr>
        <w:suppressLineNumbers/>
        <w:pBdr>
          <w:top w:val="nil"/>
          <w:left w:val="nil"/>
          <w:bottom w:val="nil"/>
          <w:right w:val="nil"/>
          <w:between w:val="nil"/>
          <w:bar w:val="nil"/>
        </w:pBdr>
        <w:suppressAutoHyphens/>
        <w:spacing w:before="120" w:after="120"/>
        <w:ind w:firstLine="720"/>
        <w:rPr>
          <w:snapToGrid w:val="0"/>
          <w:kern w:val="22"/>
        </w:rPr>
      </w:pPr>
      <w:r w:rsidRPr="00917A5E">
        <w:rPr>
          <w:snapToGrid w:val="0"/>
          <w:kern w:val="22"/>
        </w:rPr>
        <w:lastRenderedPageBreak/>
        <w:t>7</w:t>
      </w:r>
      <w:r w:rsidRPr="003D5698">
        <w:rPr>
          <w:snapToGrid w:val="0"/>
          <w:kern w:val="22"/>
        </w:rPr>
        <w:t>.</w:t>
      </w:r>
      <w:r w:rsidRPr="003D5698">
        <w:rPr>
          <w:snapToGrid w:val="0"/>
          <w:kern w:val="22"/>
        </w:rPr>
        <w:tab/>
      </w:r>
      <w:r w:rsidRPr="003D5698">
        <w:rPr>
          <w:i/>
          <w:snapToGrid w:val="0"/>
          <w:kern w:val="22"/>
        </w:rPr>
        <w:t>Expresses</w:t>
      </w:r>
      <w:r w:rsidRPr="003D5698">
        <w:rPr>
          <w:snapToGrid w:val="0"/>
          <w:kern w:val="22"/>
        </w:rPr>
        <w:t xml:space="preserve"> appreciation for the technical guidance provided by the Informal Advisory Committee;</w:t>
      </w:r>
    </w:p>
    <w:p w14:paraId="5EC001A3" w14:textId="4F1DD767" w:rsidR="00A725CF" w:rsidRPr="002A675D" w:rsidRDefault="00A725CF" w:rsidP="00DB0253">
      <w:pPr>
        <w:suppressLineNumbers/>
        <w:pBdr>
          <w:top w:val="nil"/>
          <w:left w:val="nil"/>
          <w:bottom w:val="nil"/>
          <w:right w:val="nil"/>
          <w:between w:val="nil"/>
          <w:bar w:val="nil"/>
        </w:pBdr>
        <w:suppressAutoHyphens/>
        <w:spacing w:before="120" w:after="120"/>
        <w:ind w:firstLine="720"/>
        <w:rPr>
          <w:snapToGrid w:val="0"/>
          <w:kern w:val="22"/>
        </w:rPr>
      </w:pPr>
      <w:r w:rsidRPr="00BE4429">
        <w:rPr>
          <w:snapToGrid w:val="0"/>
          <w:kern w:val="22"/>
        </w:rPr>
        <w:t>8.</w:t>
      </w:r>
      <w:r w:rsidRPr="00BE4429">
        <w:rPr>
          <w:snapToGrid w:val="0"/>
          <w:kern w:val="22"/>
        </w:rPr>
        <w:tab/>
      </w:r>
      <w:r w:rsidRPr="00BE4429">
        <w:rPr>
          <w:i/>
          <w:snapToGrid w:val="0"/>
          <w:kern w:val="22"/>
        </w:rPr>
        <w:t>Decides</w:t>
      </w:r>
      <w:r w:rsidRPr="001712DA">
        <w:rPr>
          <w:snapToGrid w:val="0"/>
          <w:kern w:val="22"/>
        </w:rPr>
        <w:t xml:space="preserve"> that the Informal Advisory Committee will hold at least one meeting and informal online discussions as needed, and report on the outcomes of its work to the Conf</w:t>
      </w:r>
      <w:r w:rsidRPr="002A675D">
        <w:rPr>
          <w:snapToGrid w:val="0"/>
          <w:kern w:val="22"/>
        </w:rPr>
        <w:t>erence of the Parties serving as the meeting of the Parties to the Nagoya Protocol at its fourth meeting;</w:t>
      </w:r>
    </w:p>
    <w:p w14:paraId="070BB18B" w14:textId="77777777" w:rsidR="00A725CF" w:rsidRPr="00917A5E" w:rsidRDefault="00A725CF" w:rsidP="00DB0253">
      <w:pPr>
        <w:suppressLineNumbers/>
        <w:pBdr>
          <w:top w:val="nil"/>
          <w:left w:val="nil"/>
          <w:bottom w:val="nil"/>
          <w:right w:val="nil"/>
          <w:between w:val="nil"/>
          <w:bar w:val="nil"/>
        </w:pBdr>
        <w:suppressAutoHyphens/>
        <w:spacing w:before="120" w:after="120"/>
        <w:ind w:firstLine="720"/>
        <w:rPr>
          <w:snapToGrid w:val="0"/>
          <w:kern w:val="22"/>
        </w:rPr>
      </w:pPr>
      <w:r w:rsidRPr="00917A5E">
        <w:rPr>
          <w:snapToGrid w:val="0"/>
          <w:kern w:val="22"/>
        </w:rPr>
        <w:t>9.</w:t>
      </w:r>
      <w:r w:rsidRPr="00917A5E">
        <w:rPr>
          <w:snapToGrid w:val="0"/>
          <w:kern w:val="22"/>
        </w:rPr>
        <w:tab/>
      </w:r>
      <w:r w:rsidRPr="00917A5E">
        <w:rPr>
          <w:i/>
          <w:snapToGrid w:val="0"/>
          <w:kern w:val="22"/>
        </w:rPr>
        <w:t>Invites</w:t>
      </w:r>
      <w:r w:rsidRPr="00917A5E">
        <w:rPr>
          <w:snapToGrid w:val="0"/>
          <w:kern w:val="22"/>
        </w:rPr>
        <w:t xml:space="preserve"> Parties, non-Parties, and relevant organizations to make use of the interoperability mechanisms of the Access and Benefit</w:t>
      </w:r>
      <w:r w:rsidRPr="00917A5E">
        <w:rPr>
          <w:snapToGrid w:val="0"/>
          <w:kern w:val="22"/>
        </w:rPr>
        <w:noBreakHyphen/>
        <w:t>sharing Clearing-House to facilitate information exchange with their relevant databases, websites and information technology systems;</w:t>
      </w:r>
    </w:p>
    <w:p w14:paraId="66A6E77A" w14:textId="24446163" w:rsidR="00A725CF" w:rsidRPr="00917A5E" w:rsidRDefault="00A725CF" w:rsidP="00DB0253">
      <w:pPr>
        <w:suppressLineNumbers/>
        <w:pBdr>
          <w:top w:val="nil"/>
          <w:left w:val="nil"/>
          <w:bottom w:val="nil"/>
          <w:right w:val="nil"/>
          <w:between w:val="nil"/>
          <w:bar w:val="nil"/>
        </w:pBdr>
        <w:suppressAutoHyphens/>
        <w:spacing w:before="120" w:after="120"/>
        <w:ind w:firstLine="720"/>
        <w:rPr>
          <w:snapToGrid w:val="0"/>
          <w:kern w:val="22"/>
        </w:rPr>
      </w:pPr>
      <w:r w:rsidRPr="00917A5E">
        <w:rPr>
          <w:snapToGrid w:val="0"/>
          <w:kern w:val="22"/>
        </w:rPr>
        <w:t>10.</w:t>
      </w:r>
      <w:r w:rsidRPr="00917A5E">
        <w:rPr>
          <w:snapToGrid w:val="0"/>
          <w:kern w:val="22"/>
        </w:rPr>
        <w:tab/>
      </w:r>
      <w:r w:rsidRPr="00917A5E">
        <w:rPr>
          <w:i/>
          <w:snapToGrid w:val="0"/>
          <w:kern w:val="22"/>
        </w:rPr>
        <w:t>Invites</w:t>
      </w:r>
      <w:r w:rsidRPr="00917A5E">
        <w:rPr>
          <w:snapToGrid w:val="0"/>
          <w:kern w:val="22"/>
        </w:rPr>
        <w:t xml:space="preserve"> Parties, non-Parties, and relevant organizations, as appropriate, to include capacity</w:t>
      </w:r>
      <w:r w:rsidRPr="00917A5E">
        <w:rPr>
          <w:snapToGrid w:val="0"/>
          <w:kern w:val="22"/>
        </w:rPr>
        <w:noBreakHyphen/>
        <w:t>building activities related to the Access and Benefit-sharing Clearing-House in their relevant capacity-building activities, plans and projects in coordination with the Executive Secretary;</w:t>
      </w:r>
    </w:p>
    <w:p w14:paraId="2C0B2630" w14:textId="77777777" w:rsidR="00A725CF" w:rsidRPr="00917A5E" w:rsidRDefault="00A725CF" w:rsidP="00DB0253">
      <w:pPr>
        <w:suppressLineNumbers/>
        <w:pBdr>
          <w:top w:val="nil"/>
          <w:left w:val="nil"/>
          <w:bottom w:val="nil"/>
          <w:right w:val="nil"/>
          <w:between w:val="nil"/>
          <w:bar w:val="nil"/>
        </w:pBdr>
        <w:suppressAutoHyphens/>
        <w:spacing w:before="120" w:after="120"/>
        <w:ind w:firstLine="720"/>
        <w:rPr>
          <w:snapToGrid w:val="0"/>
          <w:kern w:val="22"/>
        </w:rPr>
      </w:pPr>
      <w:r w:rsidRPr="00917A5E">
        <w:rPr>
          <w:snapToGrid w:val="0"/>
          <w:kern w:val="22"/>
        </w:rPr>
        <w:t>11.</w:t>
      </w:r>
      <w:r w:rsidRPr="00917A5E">
        <w:rPr>
          <w:snapToGrid w:val="0"/>
          <w:kern w:val="22"/>
        </w:rPr>
        <w:tab/>
      </w:r>
      <w:r w:rsidRPr="00917A5E">
        <w:rPr>
          <w:i/>
          <w:snapToGrid w:val="0"/>
          <w:kern w:val="22"/>
        </w:rPr>
        <w:t>Invites</w:t>
      </w:r>
      <w:r w:rsidRPr="00917A5E">
        <w:rPr>
          <w:snapToGrid w:val="0"/>
          <w:kern w:val="22"/>
        </w:rPr>
        <w:t xml:space="preserve"> Parties, non-Parties, relevant international organizations, regional development banks and other financial institutions, as appropriate, to support capacity-building activities related to the Access and Benefit-sharing Clearing-House, including the Protocol’s system for monitoring the utilization of genetic resources;</w:t>
      </w:r>
    </w:p>
    <w:p w14:paraId="42C4C45F" w14:textId="46DD5858" w:rsidR="00A725CF" w:rsidRPr="00917A5E" w:rsidRDefault="00A725CF" w:rsidP="00DB0253">
      <w:pPr>
        <w:suppressLineNumbers/>
        <w:pBdr>
          <w:top w:val="nil"/>
          <w:left w:val="nil"/>
          <w:bottom w:val="nil"/>
          <w:right w:val="nil"/>
          <w:between w:val="nil"/>
          <w:bar w:val="nil"/>
        </w:pBdr>
        <w:suppressAutoHyphens/>
        <w:spacing w:before="120" w:after="120"/>
        <w:ind w:firstLine="720"/>
        <w:rPr>
          <w:snapToGrid w:val="0"/>
          <w:kern w:val="22"/>
          <w:szCs w:val="22"/>
        </w:rPr>
      </w:pPr>
      <w:r w:rsidRPr="00917A5E">
        <w:rPr>
          <w:snapToGrid w:val="0"/>
          <w:kern w:val="22"/>
        </w:rPr>
        <w:t>12.</w:t>
      </w:r>
      <w:r w:rsidRPr="00917A5E">
        <w:rPr>
          <w:snapToGrid w:val="0"/>
          <w:kern w:val="22"/>
        </w:rPr>
        <w:tab/>
      </w:r>
      <w:r w:rsidRPr="00917A5E">
        <w:rPr>
          <w:i/>
          <w:snapToGrid w:val="0"/>
          <w:kern w:val="22"/>
        </w:rPr>
        <w:t xml:space="preserve">Requests </w:t>
      </w:r>
      <w:r w:rsidRPr="00917A5E">
        <w:rPr>
          <w:snapToGrid w:val="0"/>
          <w:kern w:val="22"/>
        </w:rPr>
        <w:t xml:space="preserve">the Executive Secretary to continue to implement and administer the Access and </w:t>
      </w:r>
      <w:r w:rsidRPr="00917A5E">
        <w:rPr>
          <w:snapToGrid w:val="0"/>
          <w:kern w:val="22"/>
          <w:szCs w:val="22"/>
        </w:rPr>
        <w:t xml:space="preserve">Benefit-sharing Clearing-House by following the goals and priorities for the further implementation and administration of the </w:t>
      </w:r>
      <w:r w:rsidRPr="00917A5E">
        <w:rPr>
          <w:snapToGrid w:val="0"/>
          <w:kern w:val="22"/>
        </w:rPr>
        <w:t xml:space="preserve">Access and </w:t>
      </w:r>
      <w:r w:rsidRPr="00917A5E">
        <w:rPr>
          <w:snapToGrid w:val="0"/>
          <w:kern w:val="22"/>
          <w:szCs w:val="22"/>
        </w:rPr>
        <w:t>Benefit-sharing Clearing-House contained in annex to the present decision, in accordance with the modalities of operation and feedback received, in particular that of Parties and of the Informal Advisory Committee to the Access and Benefit-sharing Clearing-House.</w:t>
      </w:r>
    </w:p>
    <w:p w14:paraId="6708291F" w14:textId="3492FE36" w:rsidR="00A725CF" w:rsidRPr="00917A5E" w:rsidRDefault="00A725CF" w:rsidP="00742858">
      <w:pPr>
        <w:keepNext/>
        <w:spacing w:before="240" w:after="120"/>
        <w:jc w:val="center"/>
        <w:outlineLvl w:val="2"/>
        <w:rPr>
          <w:i/>
          <w:kern w:val="22"/>
          <w:szCs w:val="22"/>
        </w:rPr>
      </w:pPr>
      <w:r w:rsidRPr="00917A5E">
        <w:rPr>
          <w:i/>
          <w:kern w:val="22"/>
          <w:szCs w:val="22"/>
        </w:rPr>
        <w:t>Annex</w:t>
      </w:r>
    </w:p>
    <w:p w14:paraId="3F1E896A" w14:textId="77777777" w:rsidR="00A725CF" w:rsidRPr="00917A5E" w:rsidRDefault="00A725CF" w:rsidP="00820A4F">
      <w:pPr>
        <w:jc w:val="center"/>
        <w:rPr>
          <w:b/>
          <w:bCs/>
          <w:caps/>
          <w:kern w:val="22"/>
          <w:szCs w:val="22"/>
        </w:rPr>
      </w:pPr>
      <w:r w:rsidRPr="00917A5E">
        <w:rPr>
          <w:b/>
          <w:bCs/>
          <w:caps/>
          <w:kern w:val="22"/>
          <w:szCs w:val="22"/>
        </w:rPr>
        <w:t>Goals and priorities for the further development and administration of the Access and Benefit-sharing Clearing-House by the Secretariat</w:t>
      </w:r>
    </w:p>
    <w:p w14:paraId="118A8AB7" w14:textId="77777777" w:rsidR="00A725CF" w:rsidRPr="00917A5E" w:rsidRDefault="00A725CF" w:rsidP="00820A4F">
      <w:pPr>
        <w:jc w:val="center"/>
        <w:rPr>
          <w:rFonts w:eastAsia="MS Mincho"/>
          <w:bCs/>
          <w:kern w:val="22"/>
          <w:szCs w:val="22"/>
        </w:rPr>
      </w:pPr>
    </w:p>
    <w:p w14:paraId="0AF854D7" w14:textId="77777777" w:rsidR="00A725CF" w:rsidRPr="00917A5E" w:rsidRDefault="00A725CF" w:rsidP="00820A4F">
      <w:pPr>
        <w:keepNext/>
        <w:pBdr>
          <w:top w:val="nil"/>
          <w:left w:val="nil"/>
          <w:bottom w:val="nil"/>
          <w:right w:val="nil"/>
          <w:between w:val="nil"/>
          <w:bar w:val="nil"/>
        </w:pBdr>
        <w:spacing w:before="120" w:after="120"/>
        <w:ind w:left="864" w:hanging="864"/>
        <w:rPr>
          <w:b/>
          <w:snapToGrid w:val="0"/>
          <w:kern w:val="22"/>
          <w:szCs w:val="22"/>
        </w:rPr>
      </w:pPr>
      <w:r w:rsidRPr="00917A5E">
        <w:rPr>
          <w:b/>
          <w:snapToGrid w:val="0"/>
          <w:kern w:val="22"/>
          <w:szCs w:val="22"/>
        </w:rPr>
        <w:t>Goal 1.</w:t>
      </w:r>
      <w:r w:rsidRPr="00917A5E">
        <w:rPr>
          <w:b/>
          <w:snapToGrid w:val="0"/>
          <w:kern w:val="22"/>
          <w:szCs w:val="22"/>
        </w:rPr>
        <w:tab/>
        <w:t xml:space="preserve">Population and increased use of the </w:t>
      </w:r>
      <w:r w:rsidRPr="00917A5E">
        <w:rPr>
          <w:b/>
          <w:bCs/>
          <w:kern w:val="22"/>
          <w:szCs w:val="22"/>
        </w:rPr>
        <w:t>Access and Benefit-sharing</w:t>
      </w:r>
      <w:r w:rsidRPr="00917A5E" w:rsidDel="00063D06">
        <w:rPr>
          <w:b/>
          <w:snapToGrid w:val="0"/>
          <w:kern w:val="22"/>
          <w:szCs w:val="22"/>
        </w:rPr>
        <w:t xml:space="preserve"> </w:t>
      </w:r>
      <w:r w:rsidRPr="00917A5E">
        <w:rPr>
          <w:b/>
          <w:snapToGrid w:val="0"/>
          <w:kern w:val="22"/>
          <w:szCs w:val="22"/>
        </w:rPr>
        <w:t>Clearing-House</w:t>
      </w:r>
    </w:p>
    <w:p w14:paraId="73DB8515" w14:textId="77777777" w:rsidR="00A725CF" w:rsidRPr="00917A5E" w:rsidRDefault="00A725CF" w:rsidP="00820A4F">
      <w:pPr>
        <w:keepNext/>
        <w:pBdr>
          <w:top w:val="nil"/>
          <w:left w:val="nil"/>
          <w:bottom w:val="nil"/>
          <w:right w:val="nil"/>
          <w:between w:val="nil"/>
          <w:bar w:val="nil"/>
        </w:pBdr>
        <w:spacing w:before="120" w:after="120"/>
        <w:rPr>
          <w:i/>
          <w:snapToGrid w:val="0"/>
          <w:kern w:val="22"/>
          <w:szCs w:val="22"/>
        </w:rPr>
      </w:pPr>
      <w:r w:rsidRPr="00917A5E">
        <w:rPr>
          <w:i/>
          <w:snapToGrid w:val="0"/>
          <w:kern w:val="22"/>
          <w:szCs w:val="22"/>
        </w:rPr>
        <w:t>Outreach and engagement</w:t>
      </w:r>
    </w:p>
    <w:p w14:paraId="478D73AF" w14:textId="77777777" w:rsidR="00A725CF" w:rsidRPr="00917A5E" w:rsidRDefault="00A725CF" w:rsidP="00820A4F">
      <w:pPr>
        <w:pBdr>
          <w:top w:val="nil"/>
          <w:left w:val="nil"/>
          <w:bottom w:val="nil"/>
          <w:right w:val="nil"/>
          <w:between w:val="nil"/>
          <w:bar w:val="nil"/>
        </w:pBdr>
        <w:spacing w:before="120" w:after="120"/>
        <w:ind w:firstLine="709"/>
        <w:rPr>
          <w:snapToGrid w:val="0"/>
          <w:kern w:val="22"/>
          <w:szCs w:val="22"/>
        </w:rPr>
      </w:pPr>
      <w:r w:rsidRPr="00917A5E">
        <w:rPr>
          <w:snapToGrid w:val="0"/>
          <w:color w:val="000000"/>
          <w:kern w:val="22"/>
          <w:szCs w:val="22"/>
        </w:rPr>
        <w:t>(a)</w:t>
      </w:r>
      <w:r w:rsidRPr="00917A5E">
        <w:rPr>
          <w:snapToGrid w:val="0"/>
          <w:color w:val="000000"/>
          <w:kern w:val="22"/>
          <w:szCs w:val="22"/>
        </w:rPr>
        <w:tab/>
      </w:r>
      <w:r w:rsidRPr="00917A5E">
        <w:rPr>
          <w:snapToGrid w:val="0"/>
          <w:kern w:val="22"/>
          <w:szCs w:val="22"/>
        </w:rPr>
        <w:t>Ensure that each Party has designated its publishing authority;</w:t>
      </w:r>
    </w:p>
    <w:p w14:paraId="189BE08F" w14:textId="77777777" w:rsidR="00A725CF" w:rsidRPr="00917A5E" w:rsidRDefault="00A725CF" w:rsidP="00820A4F">
      <w:pPr>
        <w:pBdr>
          <w:top w:val="nil"/>
          <w:left w:val="nil"/>
          <w:bottom w:val="nil"/>
          <w:right w:val="nil"/>
          <w:between w:val="nil"/>
          <w:bar w:val="nil"/>
        </w:pBdr>
        <w:spacing w:before="120" w:after="120"/>
        <w:ind w:firstLine="709"/>
        <w:rPr>
          <w:snapToGrid w:val="0"/>
          <w:kern w:val="22"/>
          <w:szCs w:val="22"/>
        </w:rPr>
      </w:pPr>
      <w:r w:rsidRPr="00917A5E">
        <w:rPr>
          <w:snapToGrid w:val="0"/>
          <w:color w:val="000000"/>
          <w:kern w:val="22"/>
          <w:szCs w:val="22"/>
        </w:rPr>
        <w:t>(b)</w:t>
      </w:r>
      <w:r w:rsidRPr="00917A5E">
        <w:rPr>
          <w:snapToGrid w:val="0"/>
          <w:color w:val="000000"/>
          <w:kern w:val="22"/>
          <w:szCs w:val="22"/>
        </w:rPr>
        <w:tab/>
      </w:r>
      <w:r w:rsidRPr="00917A5E">
        <w:rPr>
          <w:snapToGrid w:val="0"/>
          <w:kern w:val="22"/>
          <w:szCs w:val="22"/>
        </w:rPr>
        <w:t xml:space="preserve">Encourage and assist with the publication of all available national information, </w:t>
      </w:r>
      <w:proofErr w:type="gramStart"/>
      <w:r w:rsidRPr="00917A5E">
        <w:rPr>
          <w:snapToGrid w:val="0"/>
          <w:kern w:val="22"/>
          <w:szCs w:val="22"/>
        </w:rPr>
        <w:t>in particular competent</w:t>
      </w:r>
      <w:proofErr w:type="gramEnd"/>
      <w:r w:rsidRPr="00917A5E">
        <w:rPr>
          <w:snapToGrid w:val="0"/>
          <w:kern w:val="22"/>
          <w:szCs w:val="22"/>
        </w:rPr>
        <w:t xml:space="preserve"> national authorities, </w:t>
      </w:r>
      <w:r w:rsidRPr="00917A5E">
        <w:rPr>
          <w:bCs/>
          <w:kern w:val="22"/>
          <w:szCs w:val="22"/>
        </w:rPr>
        <w:t>access and benefit-sharing</w:t>
      </w:r>
      <w:r w:rsidRPr="00917A5E" w:rsidDel="00897C24">
        <w:rPr>
          <w:snapToGrid w:val="0"/>
          <w:kern w:val="22"/>
          <w:szCs w:val="22"/>
        </w:rPr>
        <w:t xml:space="preserve"> </w:t>
      </w:r>
      <w:r w:rsidRPr="00917A5E">
        <w:rPr>
          <w:snapToGrid w:val="0"/>
          <w:kern w:val="22"/>
          <w:szCs w:val="22"/>
        </w:rPr>
        <w:t xml:space="preserve">measures, </w:t>
      </w:r>
      <w:r w:rsidRPr="00917A5E">
        <w:rPr>
          <w:bCs/>
          <w:kern w:val="22"/>
          <w:szCs w:val="22"/>
        </w:rPr>
        <w:t>access and benefit-sharing</w:t>
      </w:r>
      <w:r w:rsidRPr="00917A5E" w:rsidDel="00897C24">
        <w:rPr>
          <w:snapToGrid w:val="0"/>
          <w:kern w:val="22"/>
          <w:szCs w:val="22"/>
        </w:rPr>
        <w:t xml:space="preserve"> </w:t>
      </w:r>
      <w:r w:rsidRPr="00917A5E">
        <w:rPr>
          <w:snapToGrid w:val="0"/>
          <w:kern w:val="22"/>
          <w:szCs w:val="22"/>
        </w:rPr>
        <w:t xml:space="preserve">procedures, and </w:t>
      </w:r>
      <w:r w:rsidRPr="00917A5E">
        <w:rPr>
          <w:kern w:val="22"/>
          <w:szCs w:val="22"/>
        </w:rPr>
        <w:t>internationally recognized certificates of compliance,</w:t>
      </w:r>
      <w:r w:rsidRPr="00917A5E" w:rsidDel="00897C24">
        <w:rPr>
          <w:snapToGrid w:val="0"/>
          <w:kern w:val="22"/>
          <w:szCs w:val="22"/>
        </w:rPr>
        <w:t xml:space="preserve"> </w:t>
      </w:r>
      <w:r w:rsidRPr="00917A5E">
        <w:rPr>
          <w:snapToGrid w:val="0"/>
          <w:kern w:val="22"/>
          <w:szCs w:val="22"/>
        </w:rPr>
        <w:t>as necessary;</w:t>
      </w:r>
    </w:p>
    <w:p w14:paraId="2F029B94" w14:textId="77777777" w:rsidR="00A725CF" w:rsidRPr="00917A5E" w:rsidRDefault="00A725CF" w:rsidP="00820A4F">
      <w:pPr>
        <w:pBdr>
          <w:top w:val="nil"/>
          <w:left w:val="nil"/>
          <w:bottom w:val="nil"/>
          <w:right w:val="nil"/>
          <w:between w:val="nil"/>
          <w:bar w:val="nil"/>
        </w:pBdr>
        <w:spacing w:before="120" w:after="120"/>
        <w:ind w:firstLine="709"/>
        <w:rPr>
          <w:kern w:val="22"/>
          <w:szCs w:val="22"/>
        </w:rPr>
      </w:pPr>
      <w:r w:rsidRPr="00917A5E">
        <w:rPr>
          <w:color w:val="000000"/>
          <w:kern w:val="22"/>
          <w:szCs w:val="22"/>
        </w:rPr>
        <w:t>(c)</w:t>
      </w:r>
      <w:r w:rsidRPr="00917A5E">
        <w:rPr>
          <w:color w:val="000000"/>
          <w:kern w:val="22"/>
          <w:szCs w:val="22"/>
        </w:rPr>
        <w:tab/>
      </w:r>
      <w:r w:rsidRPr="00917A5E">
        <w:rPr>
          <w:snapToGrid w:val="0"/>
          <w:kern w:val="22"/>
          <w:szCs w:val="22"/>
        </w:rPr>
        <w:t>Engage with indigenous peoples and local communities and other relevant stakeholders and organizations to encourage submission of reference records;</w:t>
      </w:r>
    </w:p>
    <w:p w14:paraId="12173723" w14:textId="77777777" w:rsidR="00A725CF" w:rsidRPr="00917A5E" w:rsidRDefault="00A725CF" w:rsidP="00820A4F">
      <w:pPr>
        <w:pBdr>
          <w:top w:val="nil"/>
          <w:left w:val="nil"/>
          <w:bottom w:val="nil"/>
          <w:right w:val="nil"/>
          <w:between w:val="nil"/>
          <w:bar w:val="nil"/>
        </w:pBdr>
        <w:spacing w:before="120" w:after="120"/>
        <w:ind w:firstLine="709"/>
        <w:rPr>
          <w:kern w:val="22"/>
          <w:szCs w:val="22"/>
        </w:rPr>
      </w:pPr>
      <w:r w:rsidRPr="00917A5E">
        <w:rPr>
          <w:color w:val="000000"/>
          <w:kern w:val="22"/>
          <w:szCs w:val="22"/>
        </w:rPr>
        <w:t>(d)</w:t>
      </w:r>
      <w:r w:rsidRPr="00917A5E">
        <w:rPr>
          <w:color w:val="000000"/>
          <w:kern w:val="22"/>
          <w:szCs w:val="22"/>
        </w:rPr>
        <w:tab/>
      </w:r>
      <w:r w:rsidRPr="00917A5E">
        <w:rPr>
          <w:snapToGrid w:val="0"/>
          <w:kern w:val="22"/>
          <w:szCs w:val="22"/>
        </w:rPr>
        <w:t xml:space="preserve">Provide regular ABS Clearing-House announcements on updates and changes as well as related information for ABS Clearing-House users, </w:t>
      </w:r>
      <w:proofErr w:type="gramStart"/>
      <w:r w:rsidRPr="00917A5E">
        <w:rPr>
          <w:snapToGrid w:val="0"/>
          <w:kern w:val="22"/>
          <w:szCs w:val="22"/>
        </w:rPr>
        <w:t>in particular national</w:t>
      </w:r>
      <w:proofErr w:type="gramEnd"/>
      <w:r w:rsidRPr="00917A5E">
        <w:rPr>
          <w:snapToGrid w:val="0"/>
          <w:kern w:val="22"/>
          <w:szCs w:val="22"/>
        </w:rPr>
        <w:t xml:space="preserve"> focal points, publishing authorities and national authorized users;</w:t>
      </w:r>
    </w:p>
    <w:p w14:paraId="1FAB004D" w14:textId="77777777" w:rsidR="00A725CF" w:rsidRPr="00917A5E" w:rsidRDefault="00A725CF" w:rsidP="00820A4F">
      <w:pPr>
        <w:keepNext/>
        <w:pBdr>
          <w:top w:val="nil"/>
          <w:left w:val="nil"/>
          <w:bottom w:val="nil"/>
          <w:right w:val="nil"/>
          <w:between w:val="nil"/>
          <w:bar w:val="nil"/>
        </w:pBdr>
        <w:spacing w:before="120" w:after="120"/>
        <w:rPr>
          <w:i/>
          <w:snapToGrid w:val="0"/>
          <w:kern w:val="22"/>
          <w:szCs w:val="22"/>
        </w:rPr>
      </w:pPr>
      <w:r w:rsidRPr="00917A5E">
        <w:rPr>
          <w:i/>
          <w:snapToGrid w:val="0"/>
          <w:kern w:val="22"/>
          <w:szCs w:val="22"/>
        </w:rPr>
        <w:t>Capacity-building</w:t>
      </w:r>
    </w:p>
    <w:p w14:paraId="7E37417E" w14:textId="77777777" w:rsidR="00A725CF" w:rsidRPr="00917A5E" w:rsidRDefault="00A725CF" w:rsidP="00820A4F">
      <w:pPr>
        <w:pBdr>
          <w:top w:val="nil"/>
          <w:left w:val="nil"/>
          <w:bottom w:val="nil"/>
          <w:right w:val="nil"/>
          <w:between w:val="nil"/>
          <w:bar w:val="nil"/>
        </w:pBdr>
        <w:spacing w:before="120" w:after="120"/>
        <w:ind w:firstLine="720"/>
        <w:rPr>
          <w:snapToGrid w:val="0"/>
          <w:kern w:val="22"/>
          <w:szCs w:val="22"/>
        </w:rPr>
      </w:pPr>
      <w:r w:rsidRPr="00917A5E">
        <w:rPr>
          <w:snapToGrid w:val="0"/>
          <w:color w:val="000000"/>
          <w:kern w:val="22"/>
          <w:szCs w:val="22"/>
        </w:rPr>
        <w:t>(a)</w:t>
      </w:r>
      <w:r w:rsidRPr="00917A5E">
        <w:rPr>
          <w:snapToGrid w:val="0"/>
          <w:color w:val="000000"/>
          <w:kern w:val="22"/>
          <w:szCs w:val="22"/>
        </w:rPr>
        <w:tab/>
      </w:r>
      <w:r w:rsidRPr="00917A5E">
        <w:rPr>
          <w:snapToGrid w:val="0"/>
          <w:kern w:val="22"/>
          <w:szCs w:val="22"/>
        </w:rPr>
        <w:t>Disseminate and promote the use of the ABS Clearing-House capacity-building resources, including the e-learning module and step-by-step guides;</w:t>
      </w:r>
    </w:p>
    <w:p w14:paraId="28D86F78" w14:textId="77777777" w:rsidR="00A725CF" w:rsidRPr="00917A5E" w:rsidRDefault="00A725CF" w:rsidP="00820A4F">
      <w:pPr>
        <w:pBdr>
          <w:top w:val="nil"/>
          <w:left w:val="nil"/>
          <w:bottom w:val="nil"/>
          <w:right w:val="nil"/>
          <w:between w:val="nil"/>
          <w:bar w:val="nil"/>
        </w:pBdr>
        <w:spacing w:before="120" w:after="120"/>
        <w:ind w:firstLine="720"/>
        <w:rPr>
          <w:snapToGrid w:val="0"/>
          <w:kern w:val="22"/>
          <w:szCs w:val="22"/>
        </w:rPr>
      </w:pPr>
      <w:r w:rsidRPr="00917A5E">
        <w:rPr>
          <w:snapToGrid w:val="0"/>
          <w:color w:val="000000"/>
          <w:kern w:val="22"/>
          <w:szCs w:val="22"/>
        </w:rPr>
        <w:t>(b)</w:t>
      </w:r>
      <w:r w:rsidRPr="00917A5E">
        <w:rPr>
          <w:snapToGrid w:val="0"/>
          <w:color w:val="000000"/>
          <w:kern w:val="22"/>
          <w:szCs w:val="22"/>
        </w:rPr>
        <w:tab/>
      </w:r>
      <w:r w:rsidRPr="00917A5E">
        <w:rPr>
          <w:snapToGrid w:val="0"/>
          <w:kern w:val="22"/>
          <w:szCs w:val="22"/>
        </w:rPr>
        <w:t>Translate capacity-building resources developed by the Executive Secretary for the ABS Clearing-House and make them available in all official languages of the United Nations;</w:t>
      </w:r>
    </w:p>
    <w:p w14:paraId="12390944" w14:textId="77777777" w:rsidR="00A725CF" w:rsidRPr="00917A5E" w:rsidRDefault="00A725CF" w:rsidP="00820A4F">
      <w:pPr>
        <w:pBdr>
          <w:top w:val="nil"/>
          <w:left w:val="nil"/>
          <w:bottom w:val="nil"/>
          <w:right w:val="nil"/>
          <w:between w:val="nil"/>
          <w:bar w:val="nil"/>
        </w:pBdr>
        <w:spacing w:before="120" w:after="120"/>
        <w:ind w:firstLine="720"/>
        <w:rPr>
          <w:kern w:val="22"/>
          <w:szCs w:val="22"/>
        </w:rPr>
      </w:pPr>
      <w:r w:rsidRPr="00917A5E">
        <w:rPr>
          <w:snapToGrid w:val="0"/>
          <w:color w:val="000000"/>
          <w:kern w:val="22"/>
          <w:szCs w:val="22"/>
        </w:rPr>
        <w:t>(c)</w:t>
      </w:r>
      <w:r w:rsidRPr="00917A5E">
        <w:rPr>
          <w:snapToGrid w:val="0"/>
          <w:color w:val="000000"/>
          <w:kern w:val="22"/>
          <w:szCs w:val="22"/>
        </w:rPr>
        <w:tab/>
      </w:r>
      <w:r w:rsidRPr="00917A5E">
        <w:rPr>
          <w:snapToGrid w:val="0"/>
          <w:kern w:val="22"/>
          <w:szCs w:val="22"/>
        </w:rPr>
        <w:t>Continue to provide face-to-face training (subject to available funding), as well as remote training upon request, as needed;</w:t>
      </w:r>
    </w:p>
    <w:p w14:paraId="312531CC" w14:textId="77777777" w:rsidR="00A725CF" w:rsidRPr="00917A5E" w:rsidRDefault="00A725CF" w:rsidP="00820A4F">
      <w:pPr>
        <w:pBdr>
          <w:top w:val="nil"/>
          <w:left w:val="nil"/>
          <w:bottom w:val="nil"/>
          <w:right w:val="nil"/>
          <w:between w:val="nil"/>
          <w:bar w:val="nil"/>
        </w:pBdr>
        <w:spacing w:before="120" w:after="120"/>
        <w:ind w:firstLine="720"/>
        <w:rPr>
          <w:snapToGrid w:val="0"/>
          <w:kern w:val="22"/>
          <w:szCs w:val="22"/>
        </w:rPr>
      </w:pPr>
      <w:r w:rsidRPr="00917A5E">
        <w:rPr>
          <w:snapToGrid w:val="0"/>
          <w:color w:val="000000"/>
          <w:kern w:val="22"/>
          <w:szCs w:val="22"/>
        </w:rPr>
        <w:t>(d)</w:t>
      </w:r>
      <w:r w:rsidRPr="00917A5E">
        <w:rPr>
          <w:snapToGrid w:val="0"/>
          <w:color w:val="000000"/>
          <w:kern w:val="22"/>
          <w:szCs w:val="22"/>
        </w:rPr>
        <w:tab/>
      </w:r>
      <w:r w:rsidRPr="00917A5E">
        <w:rPr>
          <w:snapToGrid w:val="0"/>
          <w:kern w:val="22"/>
          <w:szCs w:val="22"/>
        </w:rPr>
        <w:t>Collaborate with partners developing capacity-building projects to ensure they include relevant activities to support and promote the use of the ABS Clearing-House;</w:t>
      </w:r>
    </w:p>
    <w:p w14:paraId="7AF42C82" w14:textId="77777777" w:rsidR="00A725CF" w:rsidRPr="00917A5E" w:rsidRDefault="00A725CF" w:rsidP="00820A4F">
      <w:pPr>
        <w:pBdr>
          <w:top w:val="nil"/>
          <w:left w:val="nil"/>
          <w:bottom w:val="nil"/>
          <w:right w:val="nil"/>
          <w:between w:val="nil"/>
          <w:bar w:val="nil"/>
        </w:pBdr>
        <w:spacing w:before="120" w:after="120"/>
        <w:ind w:firstLine="720"/>
        <w:rPr>
          <w:snapToGrid w:val="0"/>
          <w:kern w:val="22"/>
          <w:szCs w:val="22"/>
        </w:rPr>
      </w:pPr>
      <w:r w:rsidRPr="00917A5E">
        <w:rPr>
          <w:snapToGrid w:val="0"/>
          <w:color w:val="000000"/>
          <w:kern w:val="22"/>
          <w:szCs w:val="22"/>
        </w:rPr>
        <w:t>(e)</w:t>
      </w:r>
      <w:r w:rsidRPr="00917A5E">
        <w:rPr>
          <w:snapToGrid w:val="0"/>
          <w:color w:val="000000"/>
          <w:kern w:val="22"/>
          <w:szCs w:val="22"/>
        </w:rPr>
        <w:tab/>
      </w:r>
      <w:r w:rsidRPr="00917A5E">
        <w:rPr>
          <w:snapToGrid w:val="0"/>
          <w:kern w:val="22"/>
          <w:szCs w:val="22"/>
        </w:rPr>
        <w:t>Raise awareness of the ABS Clearing-House among indigenous peoples and local communities and other relevant stakeholders, such as the business and scientific communities;</w:t>
      </w:r>
    </w:p>
    <w:p w14:paraId="045C696C" w14:textId="77777777" w:rsidR="00A725CF" w:rsidRPr="00917A5E" w:rsidRDefault="00A725CF" w:rsidP="00820A4F">
      <w:pPr>
        <w:pBdr>
          <w:top w:val="nil"/>
          <w:left w:val="nil"/>
          <w:bottom w:val="nil"/>
          <w:right w:val="nil"/>
          <w:between w:val="nil"/>
          <w:bar w:val="nil"/>
        </w:pBdr>
        <w:spacing w:before="120" w:after="120"/>
        <w:ind w:firstLine="720"/>
        <w:rPr>
          <w:snapToGrid w:val="0"/>
          <w:kern w:val="22"/>
          <w:szCs w:val="22"/>
        </w:rPr>
      </w:pPr>
      <w:r w:rsidRPr="00917A5E">
        <w:rPr>
          <w:snapToGrid w:val="0"/>
          <w:color w:val="000000"/>
          <w:kern w:val="22"/>
          <w:szCs w:val="22"/>
        </w:rPr>
        <w:t>(f)</w:t>
      </w:r>
      <w:r w:rsidRPr="00917A5E">
        <w:rPr>
          <w:snapToGrid w:val="0"/>
          <w:color w:val="000000"/>
          <w:kern w:val="22"/>
          <w:szCs w:val="22"/>
        </w:rPr>
        <w:tab/>
      </w:r>
      <w:r w:rsidRPr="00917A5E">
        <w:rPr>
          <w:snapToGrid w:val="0"/>
          <w:kern w:val="22"/>
          <w:szCs w:val="22"/>
        </w:rPr>
        <w:t>Raise awareness of the ABS Clearing-House in relevant international forums dealing with ABS-related issues;</w:t>
      </w:r>
    </w:p>
    <w:p w14:paraId="684500D1" w14:textId="77777777" w:rsidR="00A725CF" w:rsidRPr="00917A5E" w:rsidRDefault="00A725CF" w:rsidP="00820A4F">
      <w:pPr>
        <w:keepNext/>
        <w:pBdr>
          <w:top w:val="nil"/>
          <w:left w:val="nil"/>
          <w:bottom w:val="nil"/>
          <w:right w:val="nil"/>
          <w:between w:val="nil"/>
          <w:bar w:val="nil"/>
        </w:pBdr>
        <w:spacing w:before="120" w:after="120"/>
        <w:rPr>
          <w:i/>
          <w:snapToGrid w:val="0"/>
          <w:kern w:val="22"/>
          <w:szCs w:val="22"/>
        </w:rPr>
      </w:pPr>
      <w:r w:rsidRPr="00917A5E">
        <w:rPr>
          <w:i/>
          <w:snapToGrid w:val="0"/>
          <w:kern w:val="22"/>
          <w:szCs w:val="22"/>
        </w:rPr>
        <w:t>Interoperability and collaboration</w:t>
      </w:r>
    </w:p>
    <w:p w14:paraId="3A3D2EB0" w14:textId="77777777" w:rsidR="00A725CF" w:rsidRPr="00917A5E" w:rsidRDefault="00A725CF" w:rsidP="00820A4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color w:val="000000"/>
          <w:kern w:val="22"/>
          <w:szCs w:val="22"/>
        </w:rPr>
        <w:t>(a)</w:t>
      </w:r>
      <w:r w:rsidRPr="00917A5E">
        <w:rPr>
          <w:snapToGrid w:val="0"/>
          <w:color w:val="000000"/>
          <w:kern w:val="22"/>
          <w:szCs w:val="22"/>
        </w:rPr>
        <w:tab/>
      </w:r>
      <w:r w:rsidRPr="00917A5E">
        <w:rPr>
          <w:snapToGrid w:val="0"/>
          <w:kern w:val="22"/>
          <w:szCs w:val="22"/>
        </w:rPr>
        <w:t xml:space="preserve">Continue to raise awareness and support capacity-building regarding the use of the interoperability mechanisms such as the </w:t>
      </w:r>
      <w:r w:rsidRPr="00917A5E">
        <w:rPr>
          <w:rFonts w:eastAsia="Arial Unicode MS"/>
          <w:kern w:val="22"/>
          <w:szCs w:val="22"/>
          <w:u w:color="000000"/>
          <w:bdr w:val="nil"/>
        </w:rPr>
        <w:t>application programming interface (</w:t>
      </w:r>
      <w:r w:rsidRPr="00917A5E">
        <w:rPr>
          <w:snapToGrid w:val="0"/>
          <w:kern w:val="22"/>
          <w:szCs w:val="22"/>
        </w:rPr>
        <w:t>API) including by providing relevant documentation, such as lessons learned and examples;</w:t>
      </w:r>
    </w:p>
    <w:p w14:paraId="5834EAD5" w14:textId="77777777" w:rsidR="00A725CF" w:rsidRPr="00917A5E" w:rsidRDefault="00A725CF" w:rsidP="00820A4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color w:val="000000"/>
          <w:kern w:val="22"/>
          <w:szCs w:val="22"/>
        </w:rPr>
        <w:t>(b)</w:t>
      </w:r>
      <w:r w:rsidRPr="00917A5E">
        <w:rPr>
          <w:snapToGrid w:val="0"/>
          <w:color w:val="000000"/>
          <w:kern w:val="22"/>
          <w:szCs w:val="22"/>
        </w:rPr>
        <w:tab/>
      </w:r>
      <w:r w:rsidRPr="00917A5E">
        <w:rPr>
          <w:snapToGrid w:val="0"/>
          <w:kern w:val="22"/>
          <w:szCs w:val="22"/>
        </w:rPr>
        <w:t>Facilitate the exchange of information with relevant national databases and systems;</w:t>
      </w:r>
    </w:p>
    <w:p w14:paraId="0121BF81" w14:textId="5CD3F0A6" w:rsidR="00A725CF" w:rsidRPr="00917A5E" w:rsidRDefault="00A725CF" w:rsidP="0007769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kern w:val="22"/>
          <w:szCs w:val="22"/>
        </w:rPr>
        <w:t>(c)</w:t>
      </w:r>
      <w:r w:rsidRPr="00917A5E">
        <w:rPr>
          <w:snapToGrid w:val="0"/>
          <w:kern w:val="22"/>
          <w:szCs w:val="22"/>
        </w:rPr>
        <w:tab/>
        <w:t xml:space="preserve">Explore how the </w:t>
      </w:r>
      <w:proofErr w:type="spellStart"/>
      <w:r w:rsidRPr="00917A5E">
        <w:rPr>
          <w:snapToGrid w:val="0"/>
          <w:kern w:val="22"/>
          <w:szCs w:val="22"/>
        </w:rPr>
        <w:t>Bioland</w:t>
      </w:r>
      <w:proofErr w:type="spellEnd"/>
      <w:r w:rsidRPr="00917A5E">
        <w:rPr>
          <w:snapToGrid w:val="0"/>
          <w:kern w:val="22"/>
          <w:szCs w:val="22"/>
        </w:rPr>
        <w:t xml:space="preserve"> Tool for National Clearing-House Mechanisms </w:t>
      </w:r>
      <w:r w:rsidR="00A50AC7" w:rsidRPr="00917A5E">
        <w:rPr>
          <w:snapToGrid w:val="0"/>
          <w:kern w:val="22"/>
          <w:szCs w:val="22"/>
        </w:rPr>
        <w:t>can</w:t>
      </w:r>
      <w:r w:rsidRPr="00917A5E">
        <w:rPr>
          <w:snapToGrid w:val="0"/>
          <w:kern w:val="22"/>
          <w:szCs w:val="22"/>
        </w:rPr>
        <w:t xml:space="preserve"> be used to facilitate the exchange of information related to access and benefit-sharing;</w:t>
      </w:r>
    </w:p>
    <w:p w14:paraId="06BC6E57" w14:textId="77777777" w:rsidR="00A725CF" w:rsidRPr="00917A5E" w:rsidRDefault="00A725CF" w:rsidP="00820A4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color w:val="000000"/>
          <w:kern w:val="22"/>
          <w:szCs w:val="22"/>
        </w:rPr>
        <w:t>(d)</w:t>
      </w:r>
      <w:r w:rsidRPr="00917A5E">
        <w:rPr>
          <w:snapToGrid w:val="0"/>
          <w:color w:val="000000"/>
          <w:kern w:val="22"/>
          <w:szCs w:val="22"/>
        </w:rPr>
        <w:tab/>
      </w:r>
      <w:r w:rsidRPr="00917A5E">
        <w:rPr>
          <w:snapToGrid w:val="0"/>
          <w:kern w:val="22"/>
          <w:szCs w:val="22"/>
        </w:rPr>
        <w:t xml:space="preserve">Continue to collaborate with relevant instruments and initiatives (such as the International Treaty on Plant Genetic Resources for Food and Agriculture–Global Information System, </w:t>
      </w:r>
      <w:proofErr w:type="spellStart"/>
      <w:r w:rsidRPr="00917A5E">
        <w:rPr>
          <w:snapToGrid w:val="0"/>
          <w:kern w:val="22"/>
          <w:szCs w:val="22"/>
        </w:rPr>
        <w:t>InforMEA</w:t>
      </w:r>
      <w:proofErr w:type="spellEnd"/>
      <w:r w:rsidRPr="00917A5E">
        <w:rPr>
          <w:snapToGrid w:val="0"/>
          <w:kern w:val="22"/>
          <w:szCs w:val="22"/>
        </w:rPr>
        <w:t xml:space="preserve">, </w:t>
      </w:r>
      <w:r w:rsidRPr="00917A5E">
        <w:rPr>
          <w:kern w:val="22"/>
          <w:szCs w:val="22"/>
        </w:rPr>
        <w:t>World Federation for Culture Collections</w:t>
      </w:r>
      <w:r w:rsidRPr="00917A5E">
        <w:rPr>
          <w:snapToGrid w:val="0"/>
          <w:kern w:val="22"/>
          <w:szCs w:val="22"/>
        </w:rPr>
        <w:t>);</w:t>
      </w:r>
    </w:p>
    <w:p w14:paraId="05E1B51C" w14:textId="77777777" w:rsidR="00A725CF" w:rsidRPr="00917A5E" w:rsidRDefault="00A725CF" w:rsidP="00820A4F">
      <w:pPr>
        <w:keepNext/>
        <w:pBdr>
          <w:top w:val="nil"/>
          <w:left w:val="nil"/>
          <w:bottom w:val="nil"/>
          <w:right w:val="nil"/>
          <w:between w:val="nil"/>
          <w:bar w:val="nil"/>
        </w:pBdr>
        <w:spacing w:before="120" w:after="120"/>
        <w:ind w:left="864" w:hanging="864"/>
        <w:rPr>
          <w:b/>
          <w:snapToGrid w:val="0"/>
          <w:kern w:val="22"/>
          <w:szCs w:val="22"/>
        </w:rPr>
      </w:pPr>
      <w:r w:rsidRPr="00917A5E">
        <w:rPr>
          <w:b/>
          <w:snapToGrid w:val="0"/>
          <w:kern w:val="22"/>
          <w:szCs w:val="22"/>
        </w:rPr>
        <w:t>Goal 2.</w:t>
      </w:r>
      <w:r w:rsidRPr="00917A5E">
        <w:rPr>
          <w:b/>
          <w:snapToGrid w:val="0"/>
          <w:kern w:val="22"/>
          <w:szCs w:val="22"/>
        </w:rPr>
        <w:tab/>
        <w:t xml:space="preserve">Translation and functionality for operationalizing the </w:t>
      </w:r>
      <w:r w:rsidRPr="00917A5E">
        <w:rPr>
          <w:b/>
          <w:bCs/>
          <w:kern w:val="22"/>
          <w:szCs w:val="22"/>
        </w:rPr>
        <w:t>Access and Benefit-sharing</w:t>
      </w:r>
      <w:r w:rsidRPr="00917A5E" w:rsidDel="00C2193C">
        <w:rPr>
          <w:b/>
          <w:snapToGrid w:val="0"/>
          <w:kern w:val="22"/>
          <w:szCs w:val="22"/>
        </w:rPr>
        <w:t xml:space="preserve"> </w:t>
      </w:r>
      <w:r w:rsidRPr="00917A5E">
        <w:rPr>
          <w:b/>
          <w:snapToGrid w:val="0"/>
          <w:kern w:val="22"/>
          <w:szCs w:val="22"/>
        </w:rPr>
        <w:t>Clearing-House in the six official languages of the United Nations</w:t>
      </w:r>
    </w:p>
    <w:p w14:paraId="3EEDA650" w14:textId="354E1A22" w:rsidR="00A725CF" w:rsidRPr="00917A5E" w:rsidRDefault="00A725CF" w:rsidP="00820A4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color w:val="000000"/>
          <w:kern w:val="22"/>
          <w:szCs w:val="22"/>
        </w:rPr>
        <w:t>(a)</w:t>
      </w:r>
      <w:r w:rsidRPr="00917A5E">
        <w:rPr>
          <w:snapToGrid w:val="0"/>
          <w:color w:val="000000"/>
          <w:kern w:val="22"/>
          <w:szCs w:val="22"/>
        </w:rPr>
        <w:tab/>
      </w:r>
      <w:r w:rsidRPr="00917A5E">
        <w:rPr>
          <w:snapToGrid w:val="0"/>
          <w:kern w:val="22"/>
          <w:szCs w:val="22"/>
        </w:rPr>
        <w:t>Continue the translation of the ABS Clearing-House as a top priority;</w:t>
      </w:r>
    </w:p>
    <w:p w14:paraId="3E12108F" w14:textId="104D5E33" w:rsidR="00A725CF" w:rsidRPr="00917A5E" w:rsidRDefault="00A725CF" w:rsidP="00820A4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color w:val="000000"/>
          <w:kern w:val="22"/>
          <w:szCs w:val="22"/>
        </w:rPr>
        <w:t>(b)</w:t>
      </w:r>
      <w:r w:rsidRPr="00917A5E">
        <w:rPr>
          <w:snapToGrid w:val="0"/>
          <w:color w:val="000000"/>
          <w:kern w:val="22"/>
          <w:szCs w:val="22"/>
        </w:rPr>
        <w:tab/>
      </w:r>
      <w:r w:rsidRPr="00917A5E">
        <w:rPr>
          <w:snapToGrid w:val="0"/>
          <w:kern w:val="22"/>
          <w:szCs w:val="22"/>
        </w:rPr>
        <w:t xml:space="preserve">Ensure that mechanisms and standard procedures remain in place to enable </w:t>
      </w:r>
      <w:r w:rsidRPr="00917A5E">
        <w:rPr>
          <w:kern w:val="22"/>
          <w:szCs w:val="22"/>
        </w:rPr>
        <w:t>website translation to continue in a timely fashion</w:t>
      </w:r>
      <w:r w:rsidR="00C73E7E" w:rsidRPr="00917A5E">
        <w:rPr>
          <w:kern w:val="22"/>
          <w:szCs w:val="22"/>
        </w:rPr>
        <w:t>;</w:t>
      </w:r>
    </w:p>
    <w:p w14:paraId="561216AA" w14:textId="77777777" w:rsidR="00A725CF" w:rsidRPr="00917A5E" w:rsidRDefault="00A725CF" w:rsidP="00820A4F">
      <w:pPr>
        <w:keepNext/>
        <w:pBdr>
          <w:top w:val="nil"/>
          <w:left w:val="nil"/>
          <w:bottom w:val="nil"/>
          <w:right w:val="nil"/>
          <w:between w:val="nil"/>
          <w:bar w:val="nil"/>
        </w:pBdr>
        <w:spacing w:before="120" w:after="120"/>
        <w:ind w:left="864" w:hanging="864"/>
        <w:rPr>
          <w:b/>
          <w:snapToGrid w:val="0"/>
          <w:kern w:val="22"/>
          <w:szCs w:val="22"/>
        </w:rPr>
      </w:pPr>
      <w:r w:rsidRPr="00917A5E">
        <w:rPr>
          <w:b/>
          <w:snapToGrid w:val="0"/>
          <w:kern w:val="22"/>
          <w:szCs w:val="22"/>
        </w:rPr>
        <w:t>Goal 3.</w:t>
      </w:r>
      <w:r w:rsidRPr="00917A5E">
        <w:rPr>
          <w:b/>
          <w:snapToGrid w:val="0"/>
          <w:kern w:val="22"/>
          <w:szCs w:val="22"/>
        </w:rPr>
        <w:tab/>
        <w:t>Maintenance and improvement of functionality</w:t>
      </w:r>
    </w:p>
    <w:p w14:paraId="0EFC53FF" w14:textId="77777777" w:rsidR="00A725CF" w:rsidRPr="00917A5E" w:rsidRDefault="00A725CF" w:rsidP="00820A4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color w:val="000000"/>
          <w:kern w:val="22"/>
          <w:szCs w:val="22"/>
        </w:rPr>
        <w:t>(a)</w:t>
      </w:r>
      <w:r w:rsidRPr="00917A5E">
        <w:rPr>
          <w:snapToGrid w:val="0"/>
          <w:color w:val="000000"/>
          <w:kern w:val="22"/>
          <w:szCs w:val="22"/>
        </w:rPr>
        <w:tab/>
      </w:r>
      <w:r w:rsidRPr="00917A5E">
        <w:rPr>
          <w:snapToGrid w:val="0"/>
          <w:kern w:val="22"/>
          <w:szCs w:val="22"/>
        </w:rPr>
        <w:t>Maintain and improve functionalities and finalize remaining issues;</w:t>
      </w:r>
    </w:p>
    <w:p w14:paraId="012F281F" w14:textId="77777777" w:rsidR="00A725CF" w:rsidRPr="00917A5E" w:rsidRDefault="00A725CF" w:rsidP="00820A4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color w:val="000000"/>
          <w:kern w:val="22"/>
          <w:szCs w:val="22"/>
        </w:rPr>
        <w:t>(b)</w:t>
      </w:r>
      <w:r w:rsidRPr="00917A5E">
        <w:rPr>
          <w:snapToGrid w:val="0"/>
          <w:color w:val="000000"/>
          <w:kern w:val="22"/>
          <w:szCs w:val="22"/>
        </w:rPr>
        <w:tab/>
      </w:r>
      <w:r w:rsidRPr="00917A5E">
        <w:rPr>
          <w:snapToGrid w:val="0"/>
          <w:kern w:val="22"/>
          <w:szCs w:val="22"/>
        </w:rPr>
        <w:t>Finalize documentation of the application programming interface, the main mechanism for interoperability;</w:t>
      </w:r>
    </w:p>
    <w:p w14:paraId="0922CF82" w14:textId="6E58DEF1" w:rsidR="00A725CF" w:rsidRPr="00621BA5" w:rsidRDefault="00A725CF" w:rsidP="00820A4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color w:val="000000"/>
          <w:kern w:val="22"/>
          <w:szCs w:val="22"/>
        </w:rPr>
        <w:t>(c)</w:t>
      </w:r>
      <w:r w:rsidRPr="00917A5E">
        <w:rPr>
          <w:snapToGrid w:val="0"/>
          <w:color w:val="000000"/>
          <w:kern w:val="22"/>
          <w:szCs w:val="22"/>
        </w:rPr>
        <w:tab/>
      </w:r>
      <w:r w:rsidRPr="00917A5E">
        <w:rPr>
          <w:snapToGrid w:val="0"/>
          <w:kern w:val="22"/>
          <w:szCs w:val="22"/>
        </w:rPr>
        <w:t xml:space="preserve">Improve search functionality </w:t>
      </w:r>
      <w:proofErr w:type="gramStart"/>
      <w:r w:rsidRPr="00917A5E">
        <w:rPr>
          <w:snapToGrid w:val="0"/>
          <w:kern w:val="22"/>
          <w:szCs w:val="22"/>
        </w:rPr>
        <w:t>in order to</w:t>
      </w:r>
      <w:proofErr w:type="gramEnd"/>
      <w:r w:rsidRPr="00917A5E">
        <w:rPr>
          <w:snapToGrid w:val="0"/>
          <w:kern w:val="22"/>
          <w:szCs w:val="22"/>
        </w:rPr>
        <w:t xml:space="preserve"> sort and group records, as well as explore, analyse and present the published information in meaningful ways, including information related to capacity</w:t>
      </w:r>
      <w:r w:rsidRPr="00917A5E">
        <w:rPr>
          <w:snapToGrid w:val="0"/>
          <w:kern w:val="22"/>
          <w:szCs w:val="22"/>
        </w:rPr>
        <w:noBreakHyphen/>
        <w:t>building</w:t>
      </w:r>
      <w:r w:rsidR="00621BA5">
        <w:rPr>
          <w:snapToGrid w:val="0"/>
          <w:kern w:val="22"/>
          <w:szCs w:val="22"/>
        </w:rPr>
        <w:t xml:space="preserve"> and making</w:t>
      </w:r>
      <w:r w:rsidRPr="00621BA5">
        <w:rPr>
          <w:snapToGrid w:val="0"/>
          <w:kern w:val="22"/>
          <w:szCs w:val="22"/>
        </w:rPr>
        <w:t xml:space="preserve"> use of maps, charts and graphs, as appropriate;</w:t>
      </w:r>
    </w:p>
    <w:p w14:paraId="177F6215" w14:textId="40CE4E70" w:rsidR="00A725CF" w:rsidRPr="002A675D" w:rsidRDefault="00A725CF" w:rsidP="00820A4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color w:val="000000"/>
          <w:kern w:val="22"/>
          <w:szCs w:val="22"/>
        </w:rPr>
        <w:t>(d)</w:t>
      </w:r>
      <w:r w:rsidRPr="00917A5E">
        <w:rPr>
          <w:snapToGrid w:val="0"/>
          <w:color w:val="000000"/>
          <w:kern w:val="22"/>
          <w:szCs w:val="22"/>
        </w:rPr>
        <w:tab/>
      </w:r>
      <w:r w:rsidRPr="00917A5E">
        <w:rPr>
          <w:snapToGrid w:val="0"/>
          <w:kern w:val="22"/>
          <w:szCs w:val="22"/>
        </w:rPr>
        <w:t>Improve management of the common vocabularies (thesaurus), including how information is tagged with keywords to improve the retrieval of information;</w:t>
      </w:r>
    </w:p>
    <w:p w14:paraId="0CE272EC" w14:textId="77777777" w:rsidR="00A725CF" w:rsidRPr="00917A5E" w:rsidRDefault="00A725CF" w:rsidP="00820A4F">
      <w:pPr>
        <w:pBdr>
          <w:top w:val="nil"/>
          <w:left w:val="nil"/>
          <w:bottom w:val="nil"/>
          <w:right w:val="nil"/>
          <w:between w:val="nil"/>
          <w:bar w:val="nil"/>
        </w:pBdr>
        <w:tabs>
          <w:tab w:val="left" w:pos="1260"/>
        </w:tabs>
        <w:spacing w:before="120" w:after="120"/>
        <w:ind w:firstLine="709"/>
        <w:rPr>
          <w:snapToGrid w:val="0"/>
          <w:kern w:val="22"/>
          <w:szCs w:val="22"/>
        </w:rPr>
      </w:pPr>
      <w:r w:rsidRPr="002A675D">
        <w:rPr>
          <w:snapToGrid w:val="0"/>
          <w:color w:val="000000"/>
          <w:kern w:val="22"/>
          <w:szCs w:val="22"/>
        </w:rPr>
        <w:t>(e)</w:t>
      </w:r>
      <w:r w:rsidRPr="002A675D">
        <w:rPr>
          <w:snapToGrid w:val="0"/>
          <w:color w:val="000000"/>
          <w:kern w:val="22"/>
          <w:szCs w:val="22"/>
        </w:rPr>
        <w:tab/>
      </w:r>
      <w:r w:rsidRPr="00917A5E">
        <w:rPr>
          <w:snapToGrid w:val="0"/>
          <w:kern w:val="22"/>
          <w:szCs w:val="22"/>
        </w:rPr>
        <w:t>Enhance website analytics to include tracking downloads and views of individual records and the files attached to them and provide national users with the relevant analytics and information;</w:t>
      </w:r>
    </w:p>
    <w:p w14:paraId="665F74CD" w14:textId="77777777" w:rsidR="00A725CF" w:rsidRPr="00917A5E" w:rsidRDefault="00A725CF" w:rsidP="00820A4F">
      <w:pPr>
        <w:pBdr>
          <w:top w:val="nil"/>
          <w:left w:val="nil"/>
          <w:bottom w:val="nil"/>
          <w:right w:val="nil"/>
          <w:between w:val="nil"/>
          <w:bar w:val="nil"/>
        </w:pBdr>
        <w:tabs>
          <w:tab w:val="left" w:pos="1260"/>
        </w:tabs>
        <w:spacing w:before="120" w:after="120"/>
        <w:ind w:firstLine="709"/>
        <w:rPr>
          <w:snapToGrid w:val="0"/>
          <w:kern w:val="22"/>
          <w:szCs w:val="22"/>
        </w:rPr>
      </w:pPr>
      <w:r w:rsidRPr="00917A5E">
        <w:rPr>
          <w:snapToGrid w:val="0"/>
          <w:color w:val="000000"/>
          <w:kern w:val="22"/>
          <w:szCs w:val="22"/>
        </w:rPr>
        <w:t>(f)</w:t>
      </w:r>
      <w:r w:rsidRPr="00917A5E">
        <w:rPr>
          <w:snapToGrid w:val="0"/>
          <w:color w:val="000000"/>
          <w:kern w:val="22"/>
          <w:szCs w:val="22"/>
        </w:rPr>
        <w:tab/>
      </w:r>
      <w:r w:rsidRPr="00917A5E">
        <w:rPr>
          <w:snapToGrid w:val="0"/>
          <w:kern w:val="22"/>
          <w:szCs w:val="22"/>
        </w:rPr>
        <w:t>Improve functionality to allow the easy updating of records that include references to older versions of records;</w:t>
      </w:r>
    </w:p>
    <w:p w14:paraId="7710D358" w14:textId="77777777" w:rsidR="00A725CF" w:rsidRPr="00917A5E" w:rsidRDefault="00A725CF" w:rsidP="00820A4F">
      <w:pPr>
        <w:keepNext/>
        <w:pBdr>
          <w:top w:val="nil"/>
          <w:left w:val="nil"/>
          <w:bottom w:val="nil"/>
          <w:right w:val="nil"/>
          <w:between w:val="nil"/>
          <w:bar w:val="nil"/>
        </w:pBdr>
        <w:spacing w:before="120" w:after="120"/>
        <w:ind w:left="864" w:hanging="864"/>
        <w:rPr>
          <w:b/>
          <w:snapToGrid w:val="0"/>
          <w:kern w:val="22"/>
          <w:szCs w:val="22"/>
        </w:rPr>
      </w:pPr>
      <w:r w:rsidRPr="00917A5E">
        <w:rPr>
          <w:b/>
          <w:snapToGrid w:val="0"/>
          <w:kern w:val="22"/>
          <w:szCs w:val="22"/>
        </w:rPr>
        <w:t>Goal 4.</w:t>
      </w:r>
      <w:r w:rsidRPr="00917A5E">
        <w:rPr>
          <w:b/>
          <w:snapToGrid w:val="0"/>
          <w:kern w:val="22"/>
          <w:szCs w:val="22"/>
        </w:rPr>
        <w:tab/>
        <w:t>Integration with the clearing-house mechanism</w:t>
      </w:r>
    </w:p>
    <w:p w14:paraId="5B88CAA8" w14:textId="0F3D430B" w:rsidR="00A725CF" w:rsidRPr="00917A5E" w:rsidRDefault="00A725CF" w:rsidP="00820A4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color w:val="000000"/>
          <w:kern w:val="22"/>
          <w:szCs w:val="22"/>
        </w:rPr>
        <w:t>(a)</w:t>
      </w:r>
      <w:r w:rsidRPr="00917A5E">
        <w:rPr>
          <w:snapToGrid w:val="0"/>
          <w:color w:val="000000"/>
          <w:kern w:val="22"/>
          <w:szCs w:val="22"/>
        </w:rPr>
        <w:tab/>
      </w:r>
      <w:r w:rsidRPr="00917A5E">
        <w:rPr>
          <w:snapToGrid w:val="0"/>
          <w:kern w:val="22"/>
          <w:szCs w:val="22"/>
        </w:rPr>
        <w:t xml:space="preserve">Continue to support the implementation of </w:t>
      </w:r>
      <w:r w:rsidR="00784E87">
        <w:rPr>
          <w:snapToGrid w:val="0"/>
          <w:kern w:val="22"/>
          <w:szCs w:val="22"/>
        </w:rPr>
        <w:t xml:space="preserve">the </w:t>
      </w:r>
      <w:bookmarkStart w:id="3" w:name="_GoBack"/>
      <w:bookmarkEnd w:id="3"/>
      <w:r w:rsidRPr="00917A5E">
        <w:rPr>
          <w:snapToGrid w:val="0"/>
          <w:kern w:val="22"/>
          <w:szCs w:val="22"/>
        </w:rPr>
        <w:t>CBD web strategy;</w:t>
      </w:r>
    </w:p>
    <w:p w14:paraId="29D37A41" w14:textId="77777777" w:rsidR="00A725CF" w:rsidRPr="00917A5E" w:rsidRDefault="00A725CF" w:rsidP="00820A4F">
      <w:pPr>
        <w:pBdr>
          <w:top w:val="nil"/>
          <w:left w:val="nil"/>
          <w:bottom w:val="nil"/>
          <w:right w:val="nil"/>
          <w:between w:val="nil"/>
          <w:bar w:val="nil"/>
        </w:pBdr>
        <w:tabs>
          <w:tab w:val="left" w:pos="1260"/>
        </w:tabs>
        <w:spacing w:before="120" w:after="120"/>
        <w:ind w:firstLine="720"/>
        <w:rPr>
          <w:snapToGrid w:val="0"/>
          <w:kern w:val="22"/>
          <w:szCs w:val="22"/>
        </w:rPr>
      </w:pPr>
      <w:r w:rsidRPr="00917A5E">
        <w:rPr>
          <w:snapToGrid w:val="0"/>
          <w:color w:val="000000"/>
          <w:kern w:val="22"/>
          <w:szCs w:val="22"/>
        </w:rPr>
        <w:t>(b)</w:t>
      </w:r>
      <w:r w:rsidRPr="00917A5E">
        <w:rPr>
          <w:snapToGrid w:val="0"/>
          <w:color w:val="000000"/>
          <w:kern w:val="22"/>
          <w:szCs w:val="22"/>
        </w:rPr>
        <w:tab/>
      </w:r>
      <w:r w:rsidRPr="00917A5E">
        <w:rPr>
          <w:snapToGrid w:val="0"/>
          <w:kern w:val="22"/>
          <w:szCs w:val="22"/>
        </w:rPr>
        <w:t xml:space="preserve">Support the integration of the central clearing-house of the Convention and the Biosafety Clearing-House with the </w:t>
      </w:r>
      <w:r w:rsidRPr="00917A5E">
        <w:rPr>
          <w:kern w:val="22"/>
          <w:szCs w:val="22"/>
        </w:rPr>
        <w:t>Access and Benefit-sharing</w:t>
      </w:r>
      <w:r w:rsidRPr="00917A5E" w:rsidDel="00B527C5">
        <w:rPr>
          <w:snapToGrid w:val="0"/>
          <w:kern w:val="22"/>
          <w:szCs w:val="22"/>
        </w:rPr>
        <w:t xml:space="preserve"> </w:t>
      </w:r>
      <w:r w:rsidRPr="00917A5E">
        <w:rPr>
          <w:snapToGrid w:val="0"/>
          <w:kern w:val="22"/>
          <w:szCs w:val="22"/>
        </w:rPr>
        <w:t>Clearing-House under a single platform</w:t>
      </w:r>
      <w:r w:rsidRPr="00917A5E" w:rsidDel="00767F7E">
        <w:rPr>
          <w:snapToGrid w:val="0"/>
          <w:kern w:val="22"/>
          <w:szCs w:val="22"/>
        </w:rPr>
        <w:t xml:space="preserve"> </w:t>
      </w:r>
      <w:proofErr w:type="gramStart"/>
      <w:r w:rsidRPr="00917A5E">
        <w:rPr>
          <w:snapToGrid w:val="0"/>
          <w:kern w:val="22"/>
          <w:szCs w:val="22"/>
        </w:rPr>
        <w:t>in order to</w:t>
      </w:r>
      <w:proofErr w:type="gramEnd"/>
      <w:r w:rsidRPr="00917A5E">
        <w:rPr>
          <w:snapToGrid w:val="0"/>
          <w:kern w:val="22"/>
          <w:szCs w:val="22"/>
        </w:rPr>
        <w:t xml:space="preserve"> ensure a coordinated approach to web development and related information technology infrastructure.</w:t>
      </w:r>
    </w:p>
    <w:p w14:paraId="3105E6AE" w14:textId="77777777" w:rsidR="00A725CF" w:rsidRPr="00917A5E" w:rsidRDefault="00A725CF" w:rsidP="00820A4F">
      <w:pPr>
        <w:rPr>
          <w:kern w:val="22"/>
          <w:szCs w:val="22"/>
        </w:rPr>
      </w:pPr>
    </w:p>
    <w:p w14:paraId="2FD00827" w14:textId="76806856" w:rsidR="00B3369F" w:rsidRPr="00917A5E" w:rsidRDefault="00DD2DE5" w:rsidP="00742858">
      <w:pPr>
        <w:jc w:val="center"/>
        <w:rPr>
          <w:kern w:val="22"/>
        </w:rPr>
      </w:pPr>
      <w:r w:rsidRPr="00917A5E">
        <w:rPr>
          <w:kern w:val="22"/>
          <w:szCs w:val="22"/>
        </w:rPr>
        <w:t>__________</w:t>
      </w:r>
    </w:p>
    <w:sectPr w:rsidR="00B3369F" w:rsidRPr="00917A5E" w:rsidSect="007B078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00830" w14:textId="77777777" w:rsidR="00DD118C" w:rsidRDefault="00DD118C" w:rsidP="00CF1848">
      <w:r>
        <w:separator/>
      </w:r>
    </w:p>
  </w:endnote>
  <w:endnote w:type="continuationSeparator" w:id="0">
    <w:p w14:paraId="2FD00831" w14:textId="77777777" w:rsidR="00DD118C" w:rsidRDefault="00DD118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0082E" w14:textId="77777777" w:rsidR="00DD118C" w:rsidRDefault="00DD118C" w:rsidP="00CF1848">
      <w:r>
        <w:separator/>
      </w:r>
    </w:p>
  </w:footnote>
  <w:footnote w:type="continuationSeparator" w:id="0">
    <w:p w14:paraId="2FD0082F" w14:textId="77777777" w:rsidR="00DD118C" w:rsidRDefault="00DD118C" w:rsidP="00CF1848">
      <w:r>
        <w:continuationSeparator/>
      </w:r>
    </w:p>
  </w:footnote>
  <w:footnote w:id="1">
    <w:p w14:paraId="32322F00" w14:textId="7B7241FB" w:rsidR="00A725CF" w:rsidRPr="00DB0253" w:rsidRDefault="00A725CF" w:rsidP="00DB0253">
      <w:pPr>
        <w:pStyle w:val="FootnoteText"/>
        <w:ind w:firstLine="0"/>
        <w:jc w:val="left"/>
        <w:rPr>
          <w:kern w:val="18"/>
          <w:szCs w:val="18"/>
        </w:rPr>
      </w:pPr>
      <w:r w:rsidRPr="00DB0253">
        <w:rPr>
          <w:rStyle w:val="FootnoteReference"/>
          <w:rFonts w:eastAsiaTheme="majorEastAsia"/>
          <w:kern w:val="18"/>
          <w:sz w:val="18"/>
          <w:szCs w:val="18"/>
        </w:rPr>
        <w:footnoteRef/>
      </w:r>
      <w:r w:rsidRPr="00DB0253">
        <w:rPr>
          <w:kern w:val="18"/>
          <w:szCs w:val="18"/>
        </w:rPr>
        <w:t xml:space="preserve"> </w:t>
      </w:r>
      <w:r w:rsidR="00E87BD5">
        <w:rPr>
          <w:kern w:val="18"/>
          <w:szCs w:val="18"/>
        </w:rPr>
        <w:t xml:space="preserve">See </w:t>
      </w:r>
      <w:r w:rsidRPr="00DB0253">
        <w:rPr>
          <w:kern w:val="18"/>
          <w:szCs w:val="18"/>
        </w:rPr>
        <w:t>CBD/NP/MOP/3/8.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47006E3A" w:rsidR="00534681" w:rsidRPr="00784E87" w:rsidRDefault="00B8695A" w:rsidP="009B0CB8">
        <w:pPr>
          <w:pStyle w:val="Header"/>
          <w:tabs>
            <w:tab w:val="clear" w:pos="4320"/>
            <w:tab w:val="clear" w:pos="8640"/>
          </w:tabs>
          <w:jc w:val="left"/>
          <w:rPr>
            <w:noProof/>
            <w:kern w:val="22"/>
            <w:lang w:val="fr-FR"/>
          </w:rPr>
        </w:pPr>
        <w:r w:rsidRPr="00784E87">
          <w:rPr>
            <w:noProof/>
            <w:kern w:val="22"/>
            <w:lang w:val="fr-FR"/>
          </w:rPr>
          <w:t>CBD/NP/MOP/DEC/3/3</w:t>
        </w:r>
      </w:p>
    </w:sdtContent>
  </w:sdt>
  <w:p w14:paraId="2FD00833" w14:textId="16A87560" w:rsidR="00534681" w:rsidRPr="00784E87" w:rsidRDefault="00534681" w:rsidP="009B0CB8">
    <w:pPr>
      <w:pStyle w:val="Header"/>
      <w:tabs>
        <w:tab w:val="clear" w:pos="4320"/>
        <w:tab w:val="clear" w:pos="8640"/>
      </w:tabs>
      <w:jc w:val="left"/>
      <w:rPr>
        <w:noProof/>
        <w:kern w:val="22"/>
        <w:lang w:val="fr-FR"/>
      </w:rPr>
    </w:pPr>
    <w:r w:rsidRPr="00784E87">
      <w:rPr>
        <w:noProof/>
        <w:kern w:val="22"/>
        <w:lang w:val="fr-FR"/>
      </w:rPr>
      <w:t xml:space="preserve">Page </w:t>
    </w:r>
    <w:r w:rsidRPr="009B0CB8">
      <w:rPr>
        <w:noProof/>
        <w:kern w:val="22"/>
      </w:rPr>
      <w:fldChar w:fldCharType="begin"/>
    </w:r>
    <w:r w:rsidRPr="00784E87">
      <w:rPr>
        <w:noProof/>
        <w:kern w:val="22"/>
        <w:lang w:val="fr-FR"/>
      </w:rPr>
      <w:instrText xml:space="preserve"> PAGE   \* MERGEFORMAT </w:instrText>
    </w:r>
    <w:r w:rsidRPr="009B0CB8">
      <w:rPr>
        <w:noProof/>
        <w:kern w:val="22"/>
      </w:rPr>
      <w:fldChar w:fldCharType="separate"/>
    </w:r>
    <w:r w:rsidR="00A50AC7" w:rsidRPr="00784E87">
      <w:rPr>
        <w:noProof/>
        <w:kern w:val="22"/>
        <w:lang w:val="fr-FR"/>
      </w:rPr>
      <w:t>2</w:t>
    </w:r>
    <w:r w:rsidRPr="009B0CB8">
      <w:rPr>
        <w:noProof/>
        <w:kern w:val="22"/>
      </w:rPr>
      <w:fldChar w:fldCharType="end"/>
    </w:r>
  </w:p>
  <w:p w14:paraId="2FD00834" w14:textId="77777777" w:rsidR="00534681" w:rsidRPr="00784E87" w:rsidRDefault="00534681" w:rsidP="009B0CB8">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12440B83" w:rsidR="009505C9" w:rsidRPr="00784E87" w:rsidRDefault="00B8695A" w:rsidP="009B0CB8">
        <w:pPr>
          <w:pStyle w:val="Header"/>
          <w:tabs>
            <w:tab w:val="clear" w:pos="4320"/>
            <w:tab w:val="clear" w:pos="8640"/>
          </w:tabs>
          <w:jc w:val="right"/>
          <w:rPr>
            <w:noProof/>
            <w:kern w:val="22"/>
            <w:lang w:val="fr-FR"/>
          </w:rPr>
        </w:pPr>
        <w:r w:rsidRPr="00784E87">
          <w:rPr>
            <w:noProof/>
            <w:kern w:val="22"/>
            <w:lang w:val="fr-FR"/>
          </w:rPr>
          <w:t>CBD/NP/MOP/DEC/3/3</w:t>
        </w:r>
      </w:p>
    </w:sdtContent>
  </w:sdt>
  <w:p w14:paraId="2FD00836" w14:textId="6DF8AC60" w:rsidR="009505C9" w:rsidRPr="00784E87" w:rsidRDefault="009505C9" w:rsidP="009B0CB8">
    <w:pPr>
      <w:pStyle w:val="Header"/>
      <w:tabs>
        <w:tab w:val="clear" w:pos="4320"/>
        <w:tab w:val="clear" w:pos="8640"/>
      </w:tabs>
      <w:jc w:val="right"/>
      <w:rPr>
        <w:noProof/>
        <w:kern w:val="22"/>
        <w:lang w:val="fr-FR"/>
      </w:rPr>
    </w:pPr>
    <w:r w:rsidRPr="00784E87">
      <w:rPr>
        <w:noProof/>
        <w:kern w:val="22"/>
        <w:lang w:val="fr-FR"/>
      </w:rPr>
      <w:t xml:space="preserve">Page </w:t>
    </w:r>
    <w:r w:rsidRPr="009B0CB8">
      <w:rPr>
        <w:noProof/>
        <w:kern w:val="22"/>
      </w:rPr>
      <w:fldChar w:fldCharType="begin"/>
    </w:r>
    <w:r w:rsidRPr="00784E87">
      <w:rPr>
        <w:noProof/>
        <w:kern w:val="22"/>
        <w:lang w:val="fr-FR"/>
      </w:rPr>
      <w:instrText xml:space="preserve"> PAGE   \* MERGEFORMAT </w:instrText>
    </w:r>
    <w:r w:rsidRPr="009B0CB8">
      <w:rPr>
        <w:noProof/>
        <w:kern w:val="22"/>
      </w:rPr>
      <w:fldChar w:fldCharType="separate"/>
    </w:r>
    <w:r w:rsidR="00924D0B" w:rsidRPr="00784E87">
      <w:rPr>
        <w:noProof/>
        <w:kern w:val="22"/>
        <w:lang w:val="fr-FR"/>
      </w:rPr>
      <w:t>3</w:t>
    </w:r>
    <w:r w:rsidRPr="009B0CB8">
      <w:rPr>
        <w:noProof/>
        <w:kern w:val="22"/>
      </w:rPr>
      <w:fldChar w:fldCharType="end"/>
    </w:r>
  </w:p>
  <w:p w14:paraId="2FD00837" w14:textId="77777777" w:rsidR="009505C9" w:rsidRPr="00784E87" w:rsidRDefault="009505C9" w:rsidP="009B0CB8">
    <w:pPr>
      <w:pStyle w:val="Header"/>
      <w:tabs>
        <w:tab w:val="clear" w:pos="4320"/>
        <w:tab w:val="clear" w:pos="8640"/>
      </w:tabs>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0" w:nlCheck="1" w:checkStyle="0"/>
  <w:proofState w:spelling="clean" w:grammar="clean"/>
  <w:defaultTabStop w:val="720"/>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2319"/>
    <w:rsid w:val="000A5FB9"/>
    <w:rsid w:val="000D4C6E"/>
    <w:rsid w:val="000E673A"/>
    <w:rsid w:val="000F4914"/>
    <w:rsid w:val="000F59AE"/>
    <w:rsid w:val="000F74F5"/>
    <w:rsid w:val="00105372"/>
    <w:rsid w:val="00113C53"/>
    <w:rsid w:val="00131E7A"/>
    <w:rsid w:val="001712DA"/>
    <w:rsid w:val="00172AF6"/>
    <w:rsid w:val="00176CEE"/>
    <w:rsid w:val="00186DD8"/>
    <w:rsid w:val="00193BA3"/>
    <w:rsid w:val="00273079"/>
    <w:rsid w:val="002A675D"/>
    <w:rsid w:val="002B245A"/>
    <w:rsid w:val="0030209B"/>
    <w:rsid w:val="00372F74"/>
    <w:rsid w:val="003D5698"/>
    <w:rsid w:val="003D6DF7"/>
    <w:rsid w:val="003F7224"/>
    <w:rsid w:val="00427D21"/>
    <w:rsid w:val="00431164"/>
    <w:rsid w:val="004644C2"/>
    <w:rsid w:val="00466AB3"/>
    <w:rsid w:val="00467F9C"/>
    <w:rsid w:val="0047087A"/>
    <w:rsid w:val="004A504A"/>
    <w:rsid w:val="0050493B"/>
    <w:rsid w:val="00533D7A"/>
    <w:rsid w:val="00534681"/>
    <w:rsid w:val="00536867"/>
    <w:rsid w:val="006122BA"/>
    <w:rsid w:val="00614952"/>
    <w:rsid w:val="00621BA5"/>
    <w:rsid w:val="00664A88"/>
    <w:rsid w:val="00681150"/>
    <w:rsid w:val="0068672C"/>
    <w:rsid w:val="006B2290"/>
    <w:rsid w:val="006E35B7"/>
    <w:rsid w:val="00717D88"/>
    <w:rsid w:val="00742858"/>
    <w:rsid w:val="00745D12"/>
    <w:rsid w:val="00784E87"/>
    <w:rsid w:val="007942D3"/>
    <w:rsid w:val="007B078D"/>
    <w:rsid w:val="007B6C09"/>
    <w:rsid w:val="007E09DA"/>
    <w:rsid w:val="008178B6"/>
    <w:rsid w:val="00822E25"/>
    <w:rsid w:val="00865B74"/>
    <w:rsid w:val="008A31C9"/>
    <w:rsid w:val="008C068E"/>
    <w:rsid w:val="008D3740"/>
    <w:rsid w:val="008E3488"/>
    <w:rsid w:val="00900DEC"/>
    <w:rsid w:val="00917A5E"/>
    <w:rsid w:val="00924D0B"/>
    <w:rsid w:val="00930BA1"/>
    <w:rsid w:val="0093169E"/>
    <w:rsid w:val="009505C9"/>
    <w:rsid w:val="00954F7F"/>
    <w:rsid w:val="00970E3C"/>
    <w:rsid w:val="00975523"/>
    <w:rsid w:val="009B0CB8"/>
    <w:rsid w:val="00A03E60"/>
    <w:rsid w:val="00A313BF"/>
    <w:rsid w:val="00A50AC7"/>
    <w:rsid w:val="00A725CF"/>
    <w:rsid w:val="00A83C08"/>
    <w:rsid w:val="00AB0B62"/>
    <w:rsid w:val="00AB6884"/>
    <w:rsid w:val="00AC3393"/>
    <w:rsid w:val="00AD22A8"/>
    <w:rsid w:val="00AE7D82"/>
    <w:rsid w:val="00B171B6"/>
    <w:rsid w:val="00B3369F"/>
    <w:rsid w:val="00B52B56"/>
    <w:rsid w:val="00B8695A"/>
    <w:rsid w:val="00BA479D"/>
    <w:rsid w:val="00BE4429"/>
    <w:rsid w:val="00C34937"/>
    <w:rsid w:val="00C443BD"/>
    <w:rsid w:val="00C73E7E"/>
    <w:rsid w:val="00C9161D"/>
    <w:rsid w:val="00CA79DF"/>
    <w:rsid w:val="00CF1848"/>
    <w:rsid w:val="00D00AEA"/>
    <w:rsid w:val="00D12044"/>
    <w:rsid w:val="00D51365"/>
    <w:rsid w:val="00D7081C"/>
    <w:rsid w:val="00D76A18"/>
    <w:rsid w:val="00DB5AA8"/>
    <w:rsid w:val="00DC3A07"/>
    <w:rsid w:val="00DD113B"/>
    <w:rsid w:val="00DD118C"/>
    <w:rsid w:val="00DD2DE5"/>
    <w:rsid w:val="00DE0328"/>
    <w:rsid w:val="00DE6C89"/>
    <w:rsid w:val="00E6555B"/>
    <w:rsid w:val="00E66235"/>
    <w:rsid w:val="00E83C24"/>
    <w:rsid w:val="00E87BD5"/>
    <w:rsid w:val="00E9318D"/>
    <w:rsid w:val="00EC35FF"/>
    <w:rsid w:val="00ED72FA"/>
    <w:rsid w:val="00F02950"/>
    <w:rsid w:val="00F47C3A"/>
    <w:rsid w:val="00F6586C"/>
    <w:rsid w:val="00F84551"/>
    <w:rsid w:val="00F94774"/>
    <w:rsid w:val="00FC2AD0"/>
    <w:rsid w:val="00FC53DB"/>
    <w:rsid w:val="00FD16A3"/>
    <w:rsid w:val="00FD2CE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A504A"/>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BE442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E442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np-mop-01/np-mop-01-dec-02-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FCFBB4AD6B4743009C538F98CA314449"/>
        <w:category>
          <w:name w:val="General"/>
          <w:gallery w:val="placeholder"/>
        </w:category>
        <w:types>
          <w:type w:val="bbPlcHdr"/>
        </w:types>
        <w:behaviors>
          <w:behavior w:val="content"/>
        </w:behaviors>
        <w:guid w:val="{7BF787F8-22DC-46D5-98E2-039C0F091C19}"/>
      </w:docPartPr>
      <w:docPartBody>
        <w:p w:rsidR="005B7414" w:rsidRDefault="004C6590" w:rsidP="004C6590">
          <w:pPr>
            <w:pStyle w:val="FCFBB4AD6B4743009C538F98CA314449"/>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354E5F"/>
    <w:rsid w:val="004C6590"/>
    <w:rsid w:val="00500A2B"/>
    <w:rsid w:val="0058288D"/>
    <w:rsid w:val="005B7414"/>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E5F"/>
    <w:rPr>
      <w:color w:val="808080"/>
    </w:rPr>
  </w:style>
  <w:style w:type="paragraph" w:customStyle="1" w:styleId="FCFBB4AD6B4743009C538F98CA314449">
    <w:name w:val="FCFBB4AD6B4743009C538F98CA314449"/>
    <w:rsid w:val="004C6590"/>
    <w:pPr>
      <w:spacing w:after="160" w:line="259" w:lineRule="auto"/>
    </w:pPr>
  </w:style>
  <w:style w:type="paragraph" w:customStyle="1" w:styleId="EF99C62EC93E4F8DAD63DE791E434D8C">
    <w:name w:val="EF99C62EC93E4F8DAD63DE791E434D8C"/>
    <w:rsid w:val="00354E5F"/>
    <w:pPr>
      <w:spacing w:after="160" w:line="259" w:lineRule="auto"/>
    </w:pPr>
    <w:rPr>
      <w:lang w:val="en-CA" w:eastAsia="en-CA"/>
    </w:rPr>
  </w:style>
  <w:style w:type="paragraph" w:customStyle="1" w:styleId="37EA1D7971534AC5B95EA97602CF9D06">
    <w:name w:val="37EA1D7971534AC5B95EA97602CF9D06"/>
    <w:rsid w:val="00354E5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B53052-8609-4297-9387-C9086B6E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3/3.	The Access and Benefit-sharing Clearing-House and information sharing (Article 14)</vt:lpstr>
    </vt:vector>
  </TitlesOfParts>
  <Company>SCBD</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	The Access and Benefit-sharing Clearing-House and information sharing (Article 14)</dc:title>
  <dc:subject>CBD/NP/MOP/DEC/3/3</dc:subject>
  <dc:creator>NP MOP 3</dc:creator>
  <cp:keywords>The Access and Benefit-sharing Clearing-House and information-sharing, Nagoya Protocol on Access and Benefit-sharing (Article 14), Convention on Biological Diversity</cp:keywords>
  <cp:lastModifiedBy>Veronique Lefebvre</cp:lastModifiedBy>
  <cp:revision>3</cp:revision>
  <dcterms:created xsi:type="dcterms:W3CDTF">2019-01-18T22:09:00Z</dcterms:created>
  <dcterms:modified xsi:type="dcterms:W3CDTF">2019-03-21T15:14:00Z</dcterms:modified>
  <cp:contentStatus>GENERAL</cp:contentStatus>
</cp:coreProperties>
</file>