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917A5E" w:rsidTr="00CF1848">
        <w:trPr>
          <w:trHeight w:val="709"/>
        </w:trPr>
        <w:tc>
          <w:tcPr>
            <w:tcW w:w="976" w:type="dxa"/>
            <w:tcBorders>
              <w:bottom w:val="single" w:sz="12" w:space="0" w:color="auto"/>
            </w:tcBorders>
          </w:tcPr>
          <w:p w:rsidR="00C9161D" w:rsidRPr="00917A5E" w:rsidRDefault="00C9161D">
            <w:pPr>
              <w:rPr>
                <w:kern w:val="22"/>
              </w:rPr>
            </w:pPr>
            <w:r w:rsidRPr="00745D12">
              <w:rPr>
                <w:noProof/>
                <w:kern w:val="22"/>
                <w:lang w:val="fr-CA" w:eastAsia="fr-CA"/>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917A5E" w:rsidRDefault="00C9161D">
            <w:pPr>
              <w:rPr>
                <w:kern w:val="22"/>
              </w:rPr>
            </w:pPr>
            <w:r w:rsidRPr="00745D12">
              <w:rPr>
                <w:noProof/>
                <w:kern w:val="22"/>
                <w:lang w:val="fr-CA" w:eastAsia="fr-CA"/>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FC2AD0" w:rsidRDefault="00C9161D" w:rsidP="00C9161D">
            <w:pPr>
              <w:jc w:val="right"/>
              <w:rPr>
                <w:rFonts w:ascii="Arial" w:hAnsi="Arial" w:cs="Arial"/>
                <w:b/>
                <w:kern w:val="22"/>
                <w:sz w:val="32"/>
                <w:szCs w:val="32"/>
              </w:rPr>
            </w:pPr>
            <w:r w:rsidRPr="00FC2AD0">
              <w:rPr>
                <w:rFonts w:ascii="Arial" w:hAnsi="Arial" w:cs="Arial"/>
                <w:b/>
                <w:kern w:val="22"/>
                <w:sz w:val="32"/>
                <w:szCs w:val="32"/>
              </w:rPr>
              <w:t>CBD</w:t>
            </w:r>
          </w:p>
        </w:tc>
      </w:tr>
      <w:tr w:rsidR="00C9161D" w:rsidRPr="00917A5E" w:rsidTr="00CF1848">
        <w:tc>
          <w:tcPr>
            <w:tcW w:w="6117" w:type="dxa"/>
            <w:gridSpan w:val="2"/>
            <w:tcBorders>
              <w:top w:val="single" w:sz="12" w:space="0" w:color="auto"/>
              <w:bottom w:val="single" w:sz="36" w:space="0" w:color="auto"/>
            </w:tcBorders>
            <w:vAlign w:val="center"/>
          </w:tcPr>
          <w:p w:rsidR="00C9161D" w:rsidRPr="00917A5E" w:rsidRDefault="00221E73" w:rsidP="00C9161D">
            <w:pPr>
              <w:rPr>
                <w:kern w:val="22"/>
              </w:rPr>
            </w:pPr>
            <w:r w:rsidRPr="00CA70C8">
              <w:rPr>
                <w:bCs/>
                <w:noProof/>
                <w:szCs w:val="22"/>
                <w:lang w:val="fr-CA" w:eastAsia="fr-CA"/>
              </w:rPr>
              <w:drawing>
                <wp:inline distT="0" distB="0" distL="0" distR="0" wp14:anchorId="5AC8BEE1" wp14:editId="624F9601">
                  <wp:extent cx="2857500" cy="1076325"/>
                  <wp:effectExtent l="0" t="0" r="0" b="9525"/>
                  <wp:docPr id="2"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3D5698" w:rsidRDefault="00C9161D" w:rsidP="009B0CB8">
            <w:pPr>
              <w:ind w:left="1215"/>
              <w:jc w:val="left"/>
              <w:rPr>
                <w:kern w:val="22"/>
                <w:szCs w:val="22"/>
              </w:rPr>
            </w:pPr>
            <w:r w:rsidRPr="003D5698">
              <w:rPr>
                <w:kern w:val="22"/>
                <w:szCs w:val="22"/>
              </w:rPr>
              <w:t>Distr.</w:t>
            </w:r>
          </w:p>
          <w:p w:rsidR="00C9161D" w:rsidRPr="00917A5E" w:rsidRDefault="000459BA" w:rsidP="009B0CB8">
            <w:pPr>
              <w:ind w:left="1215"/>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proofErr w:type="spellStart"/>
                <w:r w:rsidR="009E77BE">
                  <w:rPr>
                    <w:kern w:val="22"/>
                    <w:szCs w:val="22"/>
                  </w:rPr>
                  <w:t>GÉNÉRALE</w:t>
                </w:r>
                <w:proofErr w:type="spellEnd"/>
              </w:sdtContent>
            </w:sdt>
          </w:p>
          <w:p w:rsidR="00C9161D" w:rsidRPr="00FC2AD0" w:rsidRDefault="00C9161D" w:rsidP="009B0CB8">
            <w:pPr>
              <w:ind w:left="1215"/>
              <w:jc w:val="left"/>
              <w:rPr>
                <w:kern w:val="22"/>
                <w:szCs w:val="22"/>
              </w:rPr>
            </w:pPr>
          </w:p>
          <w:p w:rsidR="00C9161D" w:rsidRPr="00917A5E" w:rsidRDefault="000459BA" w:rsidP="009B0CB8">
            <w:pPr>
              <w:ind w:left="1215"/>
              <w:jc w:val="left"/>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B8695A" w:rsidRPr="00917A5E">
                  <w:rPr>
                    <w:kern w:val="22"/>
                  </w:rPr>
                  <w:t>CBD/NP/MOP/DEC/3/3</w:t>
                </w:r>
              </w:sdtContent>
            </w:sdt>
          </w:p>
          <w:p w:rsidR="00C9161D" w:rsidRPr="003D5698" w:rsidRDefault="00614952" w:rsidP="009B0CB8">
            <w:pPr>
              <w:ind w:left="1215"/>
              <w:jc w:val="left"/>
              <w:rPr>
                <w:kern w:val="22"/>
                <w:szCs w:val="22"/>
              </w:rPr>
            </w:pPr>
            <w:r w:rsidRPr="003D5698">
              <w:rPr>
                <w:kern w:val="22"/>
                <w:szCs w:val="22"/>
              </w:rPr>
              <w:t xml:space="preserve">30 </w:t>
            </w:r>
            <w:proofErr w:type="spellStart"/>
            <w:r w:rsidR="009E77BE">
              <w:rPr>
                <w:kern w:val="22"/>
                <w:szCs w:val="22"/>
              </w:rPr>
              <w:t>novembre</w:t>
            </w:r>
            <w:proofErr w:type="spellEnd"/>
            <w:r w:rsidR="00F6586C" w:rsidRPr="003D5698">
              <w:rPr>
                <w:kern w:val="22"/>
                <w:szCs w:val="22"/>
              </w:rPr>
              <w:t xml:space="preserve"> 2018</w:t>
            </w:r>
          </w:p>
          <w:p w:rsidR="00C9161D" w:rsidRPr="00FC2AD0" w:rsidRDefault="00C9161D" w:rsidP="009B0CB8">
            <w:pPr>
              <w:ind w:left="1215"/>
              <w:jc w:val="left"/>
              <w:rPr>
                <w:kern w:val="22"/>
                <w:szCs w:val="22"/>
              </w:rPr>
            </w:pPr>
          </w:p>
          <w:p w:rsidR="009E77BE" w:rsidRDefault="009E77BE" w:rsidP="009B0CB8">
            <w:pPr>
              <w:ind w:left="1215"/>
              <w:jc w:val="left"/>
              <w:rPr>
                <w:kern w:val="22"/>
                <w:szCs w:val="22"/>
              </w:rPr>
            </w:pPr>
            <w:proofErr w:type="spellStart"/>
            <w:r>
              <w:rPr>
                <w:kern w:val="22"/>
                <w:szCs w:val="22"/>
              </w:rPr>
              <w:t>FRANÇAIS</w:t>
            </w:r>
            <w:proofErr w:type="spellEnd"/>
          </w:p>
          <w:p w:rsidR="00C9161D" w:rsidRPr="00917A5E" w:rsidRDefault="009E77BE" w:rsidP="009B0CB8">
            <w:pPr>
              <w:ind w:left="1215"/>
              <w:jc w:val="left"/>
              <w:rPr>
                <w:kern w:val="22"/>
                <w:szCs w:val="22"/>
              </w:rPr>
            </w:pPr>
            <w:r>
              <w:rPr>
                <w:kern w:val="22"/>
                <w:szCs w:val="22"/>
              </w:rPr>
              <w:t>ORIGINAL :</w:t>
            </w:r>
            <w:r w:rsidR="006B2290" w:rsidRPr="00917A5E">
              <w:rPr>
                <w:kern w:val="22"/>
                <w:szCs w:val="22"/>
              </w:rPr>
              <w:t xml:space="preserve"> </w:t>
            </w:r>
            <w:proofErr w:type="spellStart"/>
            <w:r>
              <w:rPr>
                <w:kern w:val="22"/>
                <w:szCs w:val="22"/>
              </w:rPr>
              <w:t>ANGLAIS</w:t>
            </w:r>
            <w:proofErr w:type="spellEnd"/>
          </w:p>
          <w:p w:rsidR="00C9161D" w:rsidRPr="00917A5E" w:rsidRDefault="00C9161D" w:rsidP="009B0CB8">
            <w:pPr>
              <w:jc w:val="left"/>
              <w:rPr>
                <w:kern w:val="22"/>
              </w:rPr>
            </w:pPr>
          </w:p>
        </w:tc>
      </w:tr>
    </w:tbl>
    <w:p w:rsidR="00221E73" w:rsidRPr="00BA3ED9" w:rsidRDefault="00221E73" w:rsidP="00221E73">
      <w:pPr>
        <w:pStyle w:val="Cornernotation"/>
        <w:kinsoku w:val="0"/>
        <w:overflowPunct w:val="0"/>
        <w:autoSpaceDE w:val="0"/>
        <w:autoSpaceDN w:val="0"/>
        <w:ind w:right="3860"/>
        <w:rPr>
          <w:snapToGrid w:val="0"/>
          <w:color w:val="000000"/>
          <w:kern w:val="22"/>
          <w:shd w:val="clear" w:color="auto" w:fill="FFFFFF"/>
          <w:lang w:val="fr-FR"/>
        </w:rPr>
      </w:pPr>
      <w:r w:rsidRPr="00BA3ED9">
        <w:rPr>
          <w:snapToGrid w:val="0"/>
          <w:kern w:val="22"/>
          <w:lang w:val="fr-FR"/>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221E73" w:rsidRPr="00BA3ED9" w:rsidRDefault="00221E73" w:rsidP="00221E73">
      <w:pPr>
        <w:pStyle w:val="Cornernotation"/>
        <w:kinsoku w:val="0"/>
        <w:overflowPunct w:val="0"/>
        <w:autoSpaceDE w:val="0"/>
        <w:autoSpaceDN w:val="0"/>
        <w:ind w:right="3973"/>
        <w:rPr>
          <w:snapToGrid w:val="0"/>
          <w:color w:val="000000"/>
          <w:kern w:val="22"/>
          <w:lang w:val="fr-FR"/>
        </w:rPr>
      </w:pPr>
      <w:r w:rsidRPr="00BA3ED9">
        <w:rPr>
          <w:snapToGrid w:val="0"/>
          <w:color w:val="000000"/>
          <w:kern w:val="22"/>
          <w:lang w:val="fr-FR"/>
        </w:rPr>
        <w:t>Troisième réunion</w:t>
      </w:r>
    </w:p>
    <w:p w:rsidR="00221E73" w:rsidRPr="00BA3ED9" w:rsidRDefault="00221E73" w:rsidP="00221E73">
      <w:pPr>
        <w:suppressLineNumbers/>
        <w:suppressAutoHyphens/>
        <w:kinsoku w:val="0"/>
        <w:overflowPunct w:val="0"/>
        <w:autoSpaceDE w:val="0"/>
        <w:autoSpaceDN w:val="0"/>
        <w:rPr>
          <w:snapToGrid w:val="0"/>
          <w:kern w:val="22"/>
          <w:szCs w:val="22"/>
          <w:lang w:val="fr-FR" w:eastAsia="nb-NO"/>
        </w:rPr>
      </w:pPr>
      <w:proofErr w:type="spellStart"/>
      <w:r w:rsidRPr="00BA3ED9">
        <w:rPr>
          <w:lang w:val="fr-FR"/>
        </w:rPr>
        <w:t>Charm</w:t>
      </w:r>
      <w:proofErr w:type="spellEnd"/>
      <w:r w:rsidRPr="00BA3ED9">
        <w:rPr>
          <w:lang w:val="fr-FR"/>
        </w:rPr>
        <w:t xml:space="preserve"> el-Cheikh</w:t>
      </w:r>
      <w:r w:rsidRPr="00BA3ED9">
        <w:rPr>
          <w:snapToGrid w:val="0"/>
          <w:kern w:val="22"/>
          <w:szCs w:val="22"/>
          <w:lang w:val="fr-FR"/>
        </w:rPr>
        <w:t>, Égypte</w:t>
      </w:r>
      <w:r w:rsidRPr="00BA3ED9">
        <w:rPr>
          <w:snapToGrid w:val="0"/>
          <w:color w:val="000000"/>
          <w:kern w:val="22"/>
          <w:lang w:val="fr-FR"/>
        </w:rPr>
        <w:t>, 17-29 novembre 2018</w:t>
      </w:r>
    </w:p>
    <w:p w:rsidR="00172AF6" w:rsidRPr="009E77BE" w:rsidRDefault="00221E73" w:rsidP="00221E73">
      <w:pPr>
        <w:pStyle w:val="Cornernotation"/>
        <w:ind w:right="3973"/>
        <w:rPr>
          <w:color w:val="000000"/>
          <w:kern w:val="22"/>
          <w:lang w:val="fr-CA"/>
        </w:rPr>
      </w:pPr>
      <w:r w:rsidRPr="00BA3ED9">
        <w:rPr>
          <w:lang w:val="fr-FR"/>
        </w:rPr>
        <w:t>Point 10 de l’ordre du jou</w:t>
      </w:r>
      <w:r>
        <w:rPr>
          <w:lang w:val="fr-FR"/>
        </w:rPr>
        <w:t>r</w:t>
      </w:r>
    </w:p>
    <w:p w:rsidR="00AE7D82" w:rsidRPr="009E77BE" w:rsidRDefault="009E77BE" w:rsidP="00AE7D82">
      <w:pPr>
        <w:pStyle w:val="Titre1"/>
        <w:rPr>
          <w:rFonts w:ascii="Times New Roman Bold" w:hAnsi="Times New Roman Bold"/>
          <w:kern w:val="22"/>
          <w:szCs w:val="22"/>
          <w:lang w:val="fr-CA"/>
        </w:rPr>
      </w:pPr>
      <w:bookmarkStart w:id="0" w:name="_Hlk532291362"/>
      <w:r>
        <w:rPr>
          <w:rFonts w:ascii="Times New Roman Bold" w:hAnsi="Times New Roman Bold"/>
          <w:kern w:val="22"/>
          <w:lang w:val="fr-CA"/>
        </w:rPr>
        <w:t>DÉCISION ADOPTÉE PAR ES PARTIES AU PROTOCOLE DE NAGOYA SUR L’ACCÈS ET LE PARTAGE DES AVANTAGES</w:t>
      </w:r>
    </w:p>
    <w:bookmarkEnd w:id="0"/>
    <w:p w:rsidR="004A504A" w:rsidRPr="009E77BE" w:rsidRDefault="000459BA" w:rsidP="009B0CB8">
      <w:pPr>
        <w:pStyle w:val="recommendationheader"/>
        <w:rPr>
          <w:caps/>
          <w:kern w:val="22"/>
          <w:lang w:val="fr-CA"/>
        </w:rPr>
      </w:pPr>
      <w:sdt>
        <w:sdtPr>
          <w:rPr>
            <w:caps/>
            <w:snapToGrid w:val="0"/>
            <w:kern w:val="22"/>
            <w:lang w:val="fr-CA"/>
          </w:rPr>
          <w:alias w:val="Title"/>
          <w:tag w:val=""/>
          <w:id w:val="772832786"/>
          <w:placeholder>
            <w:docPart w:val="FCFBB4AD6B4743009C538F98CA314449"/>
          </w:placeholder>
          <w:dataBinding w:prefixMappings="xmlns:ns0='http://purl.org/dc/elements/1.1/' xmlns:ns1='http://schemas.openxmlformats.org/package/2006/metadata/core-properties' " w:xpath="/ns1:coreProperties[1]/ns0:title[1]" w:storeItemID="{6C3C8BC8-F283-45AE-878A-BAB7291924A1}"/>
          <w:text/>
        </w:sdtPr>
        <w:sdtEndPr/>
        <w:sdtContent>
          <w:r w:rsidR="00B8695A" w:rsidRPr="009E77BE">
            <w:rPr>
              <w:caps/>
              <w:snapToGrid w:val="0"/>
              <w:kern w:val="22"/>
              <w:lang w:val="fr-CA"/>
            </w:rPr>
            <w:t>3/3.</w:t>
          </w:r>
          <w:r w:rsidR="00614952" w:rsidRPr="009E77BE">
            <w:rPr>
              <w:caps/>
              <w:snapToGrid w:val="0"/>
              <w:kern w:val="22"/>
              <w:lang w:val="fr-CA"/>
            </w:rPr>
            <w:tab/>
          </w:r>
          <w:r w:rsidR="009E77BE">
            <w:rPr>
              <w:snapToGrid w:val="0"/>
              <w:kern w:val="22"/>
              <w:lang w:val="fr-CA"/>
            </w:rPr>
            <w:t>L</w:t>
          </w:r>
          <w:r w:rsidR="004359B6">
            <w:rPr>
              <w:snapToGrid w:val="0"/>
              <w:kern w:val="22"/>
              <w:lang w:val="fr-CA"/>
            </w:rPr>
            <w:t>e C</w:t>
          </w:r>
          <w:r w:rsidR="009E77BE">
            <w:rPr>
              <w:snapToGrid w:val="0"/>
              <w:kern w:val="22"/>
              <w:lang w:val="fr-CA"/>
            </w:rPr>
            <w:t>entre d’échange sur l’accès et le partage des avantages et l’échange d’information (article</w:t>
          </w:r>
          <w:r w:rsidR="009E77BE" w:rsidRPr="009E77BE">
            <w:rPr>
              <w:snapToGrid w:val="0"/>
              <w:kern w:val="22"/>
              <w:lang w:val="fr-CA"/>
            </w:rPr>
            <w:t> </w:t>
          </w:r>
          <w:r w:rsidR="00614952" w:rsidRPr="009E77BE">
            <w:rPr>
              <w:snapToGrid w:val="0"/>
              <w:kern w:val="22"/>
              <w:lang w:val="fr-CA"/>
            </w:rPr>
            <w:t>14</w:t>
          </w:r>
          <w:r w:rsidR="00B8695A" w:rsidRPr="009E77BE">
            <w:rPr>
              <w:caps/>
              <w:snapToGrid w:val="0"/>
              <w:kern w:val="22"/>
              <w:lang w:val="fr-CA"/>
            </w:rPr>
            <w:t>)</w:t>
          </w:r>
        </w:sdtContent>
      </w:sdt>
    </w:p>
    <w:p w:rsidR="004359B6" w:rsidRPr="004359B6" w:rsidRDefault="004359B6" w:rsidP="004359B6">
      <w:pPr>
        <w:keepNext/>
        <w:pBdr>
          <w:top w:val="nil"/>
          <w:left w:val="nil"/>
          <w:bottom w:val="nil"/>
          <w:right w:val="nil"/>
          <w:between w:val="nil"/>
          <w:bar w:val="nil"/>
        </w:pBdr>
        <w:spacing w:before="120" w:after="120"/>
        <w:ind w:firstLine="720"/>
        <w:rPr>
          <w:rFonts w:eastAsia="Arial Unicode MS"/>
          <w:i/>
          <w:snapToGrid w:val="0"/>
          <w:kern w:val="22"/>
          <w:u w:color="000000"/>
          <w:bdr w:val="nil"/>
          <w:lang w:val="fr-FR"/>
        </w:rPr>
      </w:pPr>
      <w:r w:rsidRPr="004359B6">
        <w:rPr>
          <w:rFonts w:eastAsia="Arial Unicode MS"/>
          <w:i/>
          <w:snapToGrid w:val="0"/>
          <w:kern w:val="22"/>
          <w:u w:color="000000"/>
          <w:bdr w:val="nil"/>
          <w:lang w:val="fr-FR"/>
        </w:rPr>
        <w:t>La Conférence des Parties siégeant en tant que réunion des Parties au Protocole de Nagoya</w:t>
      </w:r>
      <w:r>
        <w:rPr>
          <w:rFonts w:eastAsia="Arial Unicode MS"/>
          <w:i/>
          <w:snapToGrid w:val="0"/>
          <w:kern w:val="22"/>
          <w:u w:color="000000"/>
          <w:bdr w:val="nil"/>
          <w:lang w:val="fr-FR"/>
        </w:rPr>
        <w:t xml:space="preserve"> sur l’accès et le partage des avantages</w:t>
      </w:r>
    </w:p>
    <w:p w:rsidR="004359B6" w:rsidRPr="004359B6" w:rsidRDefault="004359B6" w:rsidP="004359B6">
      <w:pPr>
        <w:pBdr>
          <w:top w:val="nil"/>
          <w:left w:val="nil"/>
          <w:bottom w:val="nil"/>
          <w:right w:val="nil"/>
          <w:between w:val="nil"/>
          <w:bar w:val="nil"/>
        </w:pBdr>
        <w:spacing w:before="120" w:after="120"/>
        <w:ind w:firstLine="720"/>
        <w:rPr>
          <w:snapToGrid w:val="0"/>
          <w:kern w:val="22"/>
          <w:lang w:val="fr-FR"/>
        </w:rPr>
      </w:pPr>
      <w:r w:rsidRPr="004359B6">
        <w:rPr>
          <w:snapToGrid w:val="0"/>
          <w:kern w:val="22"/>
          <w:lang w:val="fr-FR"/>
        </w:rPr>
        <w:t>1.</w:t>
      </w:r>
      <w:r w:rsidRPr="004359B6">
        <w:rPr>
          <w:snapToGrid w:val="0"/>
          <w:kern w:val="22"/>
          <w:lang w:val="fr-FR"/>
        </w:rPr>
        <w:tab/>
      </w:r>
      <w:r w:rsidRPr="004359B6">
        <w:rPr>
          <w:i/>
          <w:snapToGrid w:val="0"/>
          <w:kern w:val="22"/>
          <w:lang w:val="fr-FR"/>
        </w:rPr>
        <w:t>Se félicite</w:t>
      </w:r>
      <w:r w:rsidRPr="004359B6">
        <w:rPr>
          <w:snapToGrid w:val="0"/>
          <w:kern w:val="22"/>
          <w:lang w:val="fr-FR"/>
        </w:rPr>
        <w:t xml:space="preserve"> des progrès accomplis par le Secrétariat dans la mise en œuvre et le fonctionnement du Centre d'échange sur l'accès et le partage des avantages</w:t>
      </w:r>
      <w:r w:rsidRPr="004359B6">
        <w:rPr>
          <w:snapToGrid w:val="0"/>
          <w:kern w:val="22"/>
          <w:vertAlign w:val="superscript"/>
          <w:lang w:val="fr-FR"/>
        </w:rPr>
        <w:footnoteReference w:id="1"/>
      </w:r>
      <w:r w:rsidRPr="004359B6">
        <w:rPr>
          <w:snapToGrid w:val="0"/>
          <w:kern w:val="22"/>
          <w:lang w:val="fr-FR"/>
        </w:rPr>
        <w:t xml:space="preserve"> ; </w:t>
      </w:r>
    </w:p>
    <w:p w:rsidR="004359B6" w:rsidRPr="004359B6" w:rsidRDefault="004359B6" w:rsidP="004359B6">
      <w:pPr>
        <w:pBdr>
          <w:top w:val="nil"/>
          <w:left w:val="nil"/>
          <w:bottom w:val="nil"/>
          <w:right w:val="nil"/>
          <w:between w:val="nil"/>
          <w:bar w:val="nil"/>
        </w:pBdr>
        <w:spacing w:before="120" w:after="120"/>
        <w:ind w:firstLine="720"/>
        <w:rPr>
          <w:snapToGrid w:val="0"/>
          <w:kern w:val="22"/>
          <w:lang w:val="fr-FR"/>
        </w:rPr>
      </w:pPr>
      <w:r w:rsidRPr="004359B6">
        <w:rPr>
          <w:snapToGrid w:val="0"/>
          <w:kern w:val="22"/>
          <w:lang w:val="fr-FR"/>
        </w:rPr>
        <w:t>2.</w:t>
      </w:r>
      <w:r w:rsidRPr="004359B6">
        <w:rPr>
          <w:snapToGrid w:val="0"/>
          <w:kern w:val="22"/>
          <w:lang w:val="fr-FR"/>
        </w:rPr>
        <w:tab/>
      </w:r>
      <w:r w:rsidRPr="004359B6">
        <w:rPr>
          <w:i/>
          <w:snapToGrid w:val="0"/>
          <w:kern w:val="22"/>
          <w:lang w:val="fr-FR"/>
        </w:rPr>
        <w:t>Se félicite</w:t>
      </w:r>
      <w:r w:rsidRPr="004359B6">
        <w:rPr>
          <w:snapToGrid w:val="0"/>
          <w:kern w:val="22"/>
          <w:lang w:val="fr-FR"/>
        </w:rPr>
        <w:t xml:space="preserve"> des efforts déployés par les Parties, les États non Parties et les peuples autochtones et communautés locales, ainsi que les parties prenantes concernées pour mettre les informations à disposition dans le Centre d’échange sur l’accès et le partage des avantages ;</w:t>
      </w:r>
    </w:p>
    <w:p w:rsidR="004359B6" w:rsidRPr="004359B6" w:rsidRDefault="004359B6" w:rsidP="004359B6">
      <w:pPr>
        <w:suppressLineNumbers/>
        <w:suppressAutoHyphens/>
        <w:kinsoku w:val="0"/>
        <w:overflowPunct w:val="0"/>
        <w:autoSpaceDE w:val="0"/>
        <w:autoSpaceDN w:val="0"/>
        <w:adjustRightInd w:val="0"/>
        <w:snapToGrid w:val="0"/>
        <w:spacing w:before="120" w:after="120" w:line="228" w:lineRule="auto"/>
        <w:ind w:firstLine="709"/>
        <w:rPr>
          <w:rFonts w:eastAsiaTheme="minorHAnsi"/>
          <w:snapToGrid w:val="0"/>
          <w:kern w:val="22"/>
          <w:szCs w:val="22"/>
          <w:lang w:val="fr-FR"/>
        </w:rPr>
      </w:pPr>
      <w:r w:rsidRPr="004359B6">
        <w:rPr>
          <w:rFonts w:eastAsiaTheme="minorHAnsi"/>
          <w:snapToGrid w:val="0"/>
          <w:kern w:val="22"/>
          <w:szCs w:val="22"/>
          <w:lang w:val="fr-FR"/>
        </w:rPr>
        <w:t>3.</w:t>
      </w:r>
      <w:r w:rsidRPr="004359B6">
        <w:rPr>
          <w:rFonts w:eastAsiaTheme="minorHAnsi"/>
          <w:i/>
          <w:snapToGrid w:val="0"/>
          <w:kern w:val="22"/>
          <w:szCs w:val="22"/>
          <w:lang w:val="fr-FR"/>
        </w:rPr>
        <w:tab/>
        <w:t>Exhorte</w:t>
      </w:r>
      <w:r w:rsidRPr="004359B6">
        <w:rPr>
          <w:rFonts w:eastAsiaTheme="minorHAnsi"/>
          <w:snapToGrid w:val="0"/>
          <w:kern w:val="22"/>
          <w:szCs w:val="22"/>
          <w:lang w:val="fr-FR"/>
        </w:rPr>
        <w:t xml:space="preserve"> les Parties qui ne l’ont pas encore fait à publier toute l’information obligatoire disponi</w:t>
      </w:r>
      <w:r>
        <w:rPr>
          <w:rFonts w:eastAsiaTheme="minorHAnsi"/>
          <w:snapToGrid w:val="0"/>
          <w:kern w:val="22"/>
          <w:szCs w:val="22"/>
          <w:lang w:val="fr-FR"/>
        </w:rPr>
        <w:t>ble au niveau national dans le C</w:t>
      </w:r>
      <w:r w:rsidRPr="004359B6">
        <w:rPr>
          <w:rFonts w:eastAsiaTheme="minorHAnsi"/>
          <w:snapToGrid w:val="0"/>
          <w:kern w:val="22"/>
          <w:szCs w:val="22"/>
          <w:lang w:val="fr-FR"/>
        </w:rPr>
        <w:t>entre d’échange sur l’accès et le partage des avantages, conformément aux obligations énoncées au paragraphe 2 de l’article 14 du Protocole et ce, dans les meilleurs délais, compte tenu que la publication de l’i</w:t>
      </w:r>
      <w:r>
        <w:rPr>
          <w:rFonts w:eastAsiaTheme="minorHAnsi"/>
          <w:snapToGrid w:val="0"/>
          <w:kern w:val="22"/>
          <w:szCs w:val="22"/>
          <w:lang w:val="fr-FR"/>
        </w:rPr>
        <w:t>nformation obligatoire dans le C</w:t>
      </w:r>
      <w:r w:rsidRPr="004359B6">
        <w:rPr>
          <w:rFonts w:eastAsiaTheme="minorHAnsi"/>
          <w:snapToGrid w:val="0"/>
          <w:kern w:val="22"/>
          <w:szCs w:val="22"/>
          <w:lang w:val="fr-FR"/>
        </w:rPr>
        <w:t>entre d’échange sur l’accès et le partage des avantages est essentielle à l’application du Protocole de Nagoya ;</w:t>
      </w:r>
    </w:p>
    <w:p w:rsidR="004359B6" w:rsidRPr="004359B6" w:rsidRDefault="004359B6" w:rsidP="004359B6">
      <w:pPr>
        <w:suppressLineNumbers/>
        <w:suppressAutoHyphens/>
        <w:kinsoku w:val="0"/>
        <w:overflowPunct w:val="0"/>
        <w:autoSpaceDE w:val="0"/>
        <w:autoSpaceDN w:val="0"/>
        <w:adjustRightInd w:val="0"/>
        <w:snapToGrid w:val="0"/>
        <w:spacing w:before="120" w:after="120" w:line="228" w:lineRule="auto"/>
        <w:ind w:firstLine="709"/>
        <w:rPr>
          <w:snapToGrid w:val="0"/>
          <w:kern w:val="22"/>
          <w:lang w:val="fr-FR"/>
        </w:rPr>
      </w:pPr>
      <w:r w:rsidRPr="004359B6">
        <w:rPr>
          <w:snapToGrid w:val="0"/>
          <w:spacing w:val="-2"/>
          <w:kern w:val="22"/>
          <w:szCs w:val="22"/>
          <w:lang w:val="fr-FR"/>
        </w:rPr>
        <w:t>4.</w:t>
      </w:r>
      <w:r w:rsidRPr="004359B6">
        <w:rPr>
          <w:i/>
          <w:snapToGrid w:val="0"/>
          <w:spacing w:val="-2"/>
          <w:kern w:val="22"/>
          <w:szCs w:val="22"/>
          <w:lang w:val="fr-FR"/>
        </w:rPr>
        <w:tab/>
        <w:t xml:space="preserve">Prie instamment </w:t>
      </w:r>
      <w:r w:rsidRPr="004359B6">
        <w:rPr>
          <w:snapToGrid w:val="0"/>
          <w:spacing w:val="-2"/>
          <w:kern w:val="22"/>
          <w:szCs w:val="22"/>
          <w:lang w:val="fr-FR"/>
        </w:rPr>
        <w:t>les Parties de fournir des informations sur leurs procédures nationales en matière d’accès et de partage des avantages au moyen du modèle national commun facultatif disponible dans le Centre d’échange sur l’accès et le partage des avantages ;</w:t>
      </w:r>
    </w:p>
    <w:p w:rsidR="004359B6" w:rsidRPr="004359B6" w:rsidRDefault="004359B6" w:rsidP="004359B6">
      <w:pPr>
        <w:pBdr>
          <w:top w:val="nil"/>
          <w:left w:val="nil"/>
          <w:bottom w:val="nil"/>
          <w:right w:val="nil"/>
          <w:between w:val="nil"/>
          <w:bar w:val="nil"/>
        </w:pBdr>
        <w:spacing w:before="120" w:after="120"/>
        <w:ind w:firstLine="720"/>
        <w:rPr>
          <w:snapToGrid w:val="0"/>
          <w:kern w:val="22"/>
          <w:lang w:val="fr-FR"/>
        </w:rPr>
      </w:pPr>
      <w:r w:rsidRPr="004359B6">
        <w:rPr>
          <w:snapToGrid w:val="0"/>
          <w:kern w:val="22"/>
          <w:lang w:val="fr-FR"/>
        </w:rPr>
        <w:t>5.</w:t>
      </w:r>
      <w:r w:rsidRPr="004359B6">
        <w:rPr>
          <w:snapToGrid w:val="0"/>
          <w:kern w:val="22"/>
          <w:lang w:val="fr-FR"/>
        </w:rPr>
        <w:tab/>
      </w:r>
      <w:r w:rsidRPr="004359B6">
        <w:rPr>
          <w:i/>
          <w:snapToGrid w:val="0"/>
          <w:kern w:val="22"/>
          <w:lang w:val="fr-FR"/>
        </w:rPr>
        <w:t>Prend note</w:t>
      </w:r>
      <w:r w:rsidRPr="004359B6">
        <w:rPr>
          <w:snapToGrid w:val="0"/>
          <w:kern w:val="22"/>
          <w:lang w:val="fr-FR"/>
        </w:rPr>
        <w:t xml:space="preserve"> de la liste des objectifs et priorités pour la poursuite de la mise en œuvre et de l'administration du Centre d'échange sur l'accès et le partage des avantages pour l'exercice biennal 2019-2020 figurant à l'annexe de la présente décision ;</w:t>
      </w:r>
    </w:p>
    <w:p w:rsidR="004359B6" w:rsidRPr="004359B6" w:rsidRDefault="004359B6" w:rsidP="004359B6">
      <w:pPr>
        <w:pBdr>
          <w:top w:val="nil"/>
          <w:left w:val="nil"/>
          <w:bottom w:val="nil"/>
          <w:right w:val="nil"/>
          <w:between w:val="nil"/>
          <w:bar w:val="nil"/>
        </w:pBdr>
        <w:spacing w:before="120" w:after="120"/>
        <w:ind w:firstLine="720"/>
        <w:rPr>
          <w:snapToGrid w:val="0"/>
          <w:kern w:val="22"/>
          <w:lang w:val="fr-FR"/>
        </w:rPr>
      </w:pPr>
      <w:r w:rsidRPr="004359B6">
        <w:rPr>
          <w:snapToGrid w:val="0"/>
          <w:kern w:val="22"/>
          <w:lang w:val="fr-FR"/>
        </w:rPr>
        <w:t>6.</w:t>
      </w:r>
      <w:r w:rsidRPr="004359B6">
        <w:rPr>
          <w:snapToGrid w:val="0"/>
          <w:kern w:val="22"/>
          <w:lang w:val="fr-FR"/>
        </w:rPr>
        <w:tab/>
      </w:r>
      <w:r w:rsidRPr="004359B6">
        <w:rPr>
          <w:i/>
          <w:snapToGrid w:val="0"/>
          <w:kern w:val="22"/>
          <w:lang w:val="fr-FR"/>
        </w:rPr>
        <w:t>Approuve</w:t>
      </w:r>
      <w:r w:rsidRPr="004359B6">
        <w:rPr>
          <w:snapToGrid w:val="0"/>
          <w:kern w:val="22"/>
          <w:lang w:val="fr-FR"/>
        </w:rPr>
        <w:t xml:space="preserve"> les modalités de fonctionnement conjointes du mécanisme d'échange d'informations de la Convention, du Centre d'échange pour la prévention des risques biotechnologiques et du Centre d'échange pour l'accès et le partage des avantages, qui figurent à l'annexe de la décision</w:t>
      </w:r>
      <w:r w:rsidR="00E073BD">
        <w:rPr>
          <w:snapToGrid w:val="0"/>
          <w:kern w:val="22"/>
          <w:lang w:val="fr-FR"/>
        </w:rPr>
        <w:t xml:space="preserve"> 14/25</w:t>
      </w:r>
      <w:r w:rsidRPr="004359B6">
        <w:rPr>
          <w:snapToGrid w:val="0"/>
          <w:kern w:val="22"/>
          <w:lang w:val="fr-FR"/>
        </w:rPr>
        <w:t xml:space="preserve">, qui sont complémentaires des modalités de fonctionnement du Centre d'échange sur l'accès et le partage des </w:t>
      </w:r>
      <w:r w:rsidRPr="004359B6">
        <w:rPr>
          <w:snapToGrid w:val="0"/>
          <w:kern w:val="22"/>
          <w:lang w:val="fr-FR"/>
        </w:rPr>
        <w:lastRenderedPageBreak/>
        <w:t>avantages adoptées par la Conférence des Parties siégeant en tant que réunion des Parties au Protocole de Nagoya, dans la décision </w:t>
      </w:r>
      <w:hyperlink r:id="rId12" w:history="1">
        <w:r w:rsidRPr="004359B6">
          <w:rPr>
            <w:snapToGrid w:val="0"/>
            <w:color w:val="0000FF"/>
            <w:kern w:val="22"/>
            <w:u w:val="single"/>
            <w:lang w:val="fr-FR"/>
          </w:rPr>
          <w:t>NP-1/2</w:t>
        </w:r>
      </w:hyperlink>
      <w:r w:rsidRPr="004359B6">
        <w:rPr>
          <w:snapToGrid w:val="0"/>
          <w:kern w:val="22"/>
          <w:lang w:val="fr-FR"/>
        </w:rPr>
        <w:t>;</w:t>
      </w:r>
    </w:p>
    <w:p w:rsidR="004359B6" w:rsidRPr="004359B6" w:rsidRDefault="004359B6" w:rsidP="004359B6">
      <w:pPr>
        <w:pBdr>
          <w:top w:val="nil"/>
          <w:left w:val="nil"/>
          <w:bottom w:val="nil"/>
          <w:right w:val="nil"/>
          <w:between w:val="nil"/>
          <w:bar w:val="nil"/>
        </w:pBdr>
        <w:spacing w:before="120" w:after="120"/>
        <w:ind w:firstLine="720"/>
        <w:rPr>
          <w:snapToGrid w:val="0"/>
          <w:kern w:val="22"/>
          <w:lang w:val="fr-FR"/>
        </w:rPr>
      </w:pPr>
      <w:r w:rsidRPr="004359B6">
        <w:rPr>
          <w:snapToGrid w:val="0"/>
          <w:kern w:val="22"/>
          <w:lang w:val="fr-FR"/>
        </w:rPr>
        <w:t>7.</w:t>
      </w:r>
      <w:r w:rsidRPr="004359B6">
        <w:rPr>
          <w:snapToGrid w:val="0"/>
          <w:kern w:val="22"/>
          <w:lang w:val="fr-FR"/>
        </w:rPr>
        <w:tab/>
      </w:r>
      <w:r w:rsidRPr="004359B6">
        <w:rPr>
          <w:i/>
          <w:snapToGrid w:val="0"/>
          <w:kern w:val="22"/>
          <w:lang w:val="fr-FR"/>
        </w:rPr>
        <w:t>Exprime</w:t>
      </w:r>
      <w:r w:rsidRPr="004359B6">
        <w:rPr>
          <w:snapToGrid w:val="0"/>
          <w:kern w:val="22"/>
          <w:lang w:val="fr-FR"/>
        </w:rPr>
        <w:t xml:space="preserve"> sa gratitude au Comité consultatif informel pour les directives techniques qu'il a fournies ;</w:t>
      </w:r>
    </w:p>
    <w:p w:rsidR="004359B6" w:rsidRPr="004359B6" w:rsidRDefault="004359B6" w:rsidP="004359B6">
      <w:pPr>
        <w:pBdr>
          <w:top w:val="nil"/>
          <w:left w:val="nil"/>
          <w:bottom w:val="nil"/>
          <w:right w:val="nil"/>
          <w:between w:val="nil"/>
          <w:bar w:val="nil"/>
        </w:pBdr>
        <w:spacing w:before="120" w:after="120"/>
        <w:ind w:firstLine="720"/>
        <w:rPr>
          <w:snapToGrid w:val="0"/>
          <w:kern w:val="22"/>
          <w:lang w:val="fr-FR"/>
        </w:rPr>
      </w:pPr>
      <w:r w:rsidRPr="004359B6">
        <w:rPr>
          <w:snapToGrid w:val="0"/>
          <w:kern w:val="22"/>
          <w:lang w:val="fr-FR"/>
        </w:rPr>
        <w:t>8.</w:t>
      </w:r>
      <w:r w:rsidRPr="004359B6">
        <w:rPr>
          <w:snapToGrid w:val="0"/>
          <w:kern w:val="22"/>
          <w:lang w:val="fr-FR"/>
        </w:rPr>
        <w:tab/>
      </w:r>
      <w:r w:rsidRPr="004359B6">
        <w:rPr>
          <w:i/>
          <w:snapToGrid w:val="0"/>
          <w:kern w:val="22"/>
          <w:lang w:val="fr-FR"/>
        </w:rPr>
        <w:t>Décide</w:t>
      </w:r>
      <w:r w:rsidRPr="004359B6">
        <w:rPr>
          <w:snapToGrid w:val="0"/>
          <w:kern w:val="22"/>
          <w:lang w:val="fr-FR"/>
        </w:rPr>
        <w:t xml:space="preserve"> que le Comité consultatif informel se réunira au moins une fois et discutera de manière informelle en ligne au besoin, et fera rapport sur ses conclusions à la Conférence des Parties siégeant en tant que réunion des Parties au Protocole de Nagoya, à sa quatrième réunion ;</w:t>
      </w:r>
    </w:p>
    <w:p w:rsidR="004359B6" w:rsidRPr="004359B6" w:rsidRDefault="004359B6" w:rsidP="004359B6">
      <w:pPr>
        <w:pBdr>
          <w:top w:val="nil"/>
          <w:left w:val="nil"/>
          <w:bottom w:val="nil"/>
          <w:right w:val="nil"/>
          <w:between w:val="nil"/>
          <w:bar w:val="nil"/>
        </w:pBdr>
        <w:spacing w:before="120" w:after="120"/>
        <w:ind w:firstLine="720"/>
        <w:rPr>
          <w:snapToGrid w:val="0"/>
          <w:kern w:val="22"/>
          <w:lang w:val="fr-FR"/>
        </w:rPr>
      </w:pPr>
      <w:r w:rsidRPr="004359B6">
        <w:rPr>
          <w:snapToGrid w:val="0"/>
          <w:kern w:val="22"/>
          <w:lang w:val="fr-FR"/>
        </w:rPr>
        <w:t>9.</w:t>
      </w:r>
      <w:r w:rsidRPr="004359B6">
        <w:rPr>
          <w:snapToGrid w:val="0"/>
          <w:kern w:val="22"/>
          <w:lang w:val="fr-FR"/>
        </w:rPr>
        <w:tab/>
      </w:r>
      <w:r w:rsidRPr="004359B6">
        <w:rPr>
          <w:i/>
          <w:snapToGrid w:val="0"/>
          <w:kern w:val="22"/>
          <w:lang w:val="fr-FR"/>
        </w:rPr>
        <w:t>Invite</w:t>
      </w:r>
      <w:r w:rsidRPr="004359B6">
        <w:rPr>
          <w:snapToGrid w:val="0"/>
          <w:kern w:val="22"/>
          <w:lang w:val="fr-FR"/>
        </w:rPr>
        <w:t xml:space="preserve"> les Parties, les États non-Parties et les organisations compétentes à utiliser les mécanismes d'interopérabilité du Centre d'échange sur l'accès et le partage des avantages afin de faciliter l'échange d'informations avec leurs bases de données, sites Web et systèmes informatiques pertinents ;</w:t>
      </w:r>
    </w:p>
    <w:p w:rsidR="004359B6" w:rsidRPr="004359B6" w:rsidRDefault="004359B6" w:rsidP="004359B6">
      <w:pPr>
        <w:pBdr>
          <w:top w:val="nil"/>
          <w:left w:val="nil"/>
          <w:bottom w:val="nil"/>
          <w:right w:val="nil"/>
          <w:between w:val="nil"/>
          <w:bar w:val="nil"/>
        </w:pBdr>
        <w:spacing w:before="120" w:after="120"/>
        <w:ind w:firstLine="720"/>
        <w:rPr>
          <w:snapToGrid w:val="0"/>
          <w:kern w:val="22"/>
          <w:lang w:val="fr-FR"/>
        </w:rPr>
      </w:pPr>
      <w:r w:rsidRPr="004359B6">
        <w:rPr>
          <w:snapToGrid w:val="0"/>
          <w:kern w:val="22"/>
          <w:lang w:val="fr-FR"/>
        </w:rPr>
        <w:t>10.</w:t>
      </w:r>
      <w:r w:rsidRPr="004359B6">
        <w:rPr>
          <w:snapToGrid w:val="0"/>
          <w:kern w:val="22"/>
          <w:lang w:val="fr-FR"/>
        </w:rPr>
        <w:tab/>
      </w:r>
      <w:r w:rsidRPr="004359B6">
        <w:rPr>
          <w:i/>
          <w:snapToGrid w:val="0"/>
          <w:kern w:val="22"/>
          <w:lang w:val="fr-FR"/>
        </w:rPr>
        <w:t>Invite</w:t>
      </w:r>
      <w:r w:rsidRPr="004359B6">
        <w:rPr>
          <w:snapToGrid w:val="0"/>
          <w:kern w:val="22"/>
          <w:lang w:val="fr-FR"/>
        </w:rPr>
        <w:t xml:space="preserve"> les Parties, les États non-Parties et les organisations compétentes, le cas échéant, à inclure des activités de renforcement des capacités liées au Centre d'échange sur l'accès et le partage des avantages dans leurs activités, plans et projets de renforcement des capacités pertinents en coordination avec la Secrétaire exécutive ;</w:t>
      </w:r>
    </w:p>
    <w:p w:rsidR="004359B6" w:rsidRPr="004359B6" w:rsidRDefault="004359B6" w:rsidP="004359B6">
      <w:pPr>
        <w:pBdr>
          <w:top w:val="nil"/>
          <w:left w:val="nil"/>
          <w:bottom w:val="nil"/>
          <w:right w:val="nil"/>
          <w:between w:val="nil"/>
          <w:bar w:val="nil"/>
        </w:pBdr>
        <w:spacing w:before="120" w:after="120"/>
        <w:ind w:firstLine="720"/>
        <w:rPr>
          <w:snapToGrid w:val="0"/>
          <w:kern w:val="22"/>
          <w:lang w:val="fr-FR"/>
        </w:rPr>
      </w:pPr>
      <w:r w:rsidRPr="004359B6">
        <w:rPr>
          <w:snapToGrid w:val="0"/>
          <w:kern w:val="22"/>
          <w:lang w:val="fr-FR"/>
        </w:rPr>
        <w:t>11.</w:t>
      </w:r>
      <w:r w:rsidRPr="004359B6">
        <w:rPr>
          <w:snapToGrid w:val="0"/>
          <w:kern w:val="22"/>
          <w:lang w:val="fr-FR"/>
        </w:rPr>
        <w:tab/>
      </w:r>
      <w:r w:rsidRPr="004359B6">
        <w:rPr>
          <w:i/>
          <w:snapToGrid w:val="0"/>
          <w:kern w:val="22"/>
          <w:lang w:val="fr-FR"/>
        </w:rPr>
        <w:t>Invite</w:t>
      </w:r>
      <w:r w:rsidRPr="004359B6">
        <w:rPr>
          <w:snapToGrid w:val="0"/>
          <w:kern w:val="22"/>
          <w:lang w:val="fr-FR"/>
        </w:rPr>
        <w:t xml:space="preserve"> les Parties, les États non-Parties, les organisations internationales compétentes, les banques régionales de développement et les autres institutions financières, le cas échéant, à appuyer les activités de renforcement des capacités liées au Centre d'échange sur l'accès et le partage des avantages, y compris le système du Protocole pour le suivi de l'utilisation des ressources génétiques ;</w:t>
      </w:r>
    </w:p>
    <w:p w:rsidR="004359B6" w:rsidRPr="004359B6" w:rsidRDefault="004359B6" w:rsidP="004359B6">
      <w:pPr>
        <w:pBdr>
          <w:top w:val="nil"/>
          <w:left w:val="nil"/>
          <w:bottom w:val="nil"/>
          <w:right w:val="nil"/>
          <w:between w:val="nil"/>
          <w:bar w:val="nil"/>
        </w:pBdr>
        <w:spacing w:before="120" w:after="120"/>
        <w:ind w:firstLine="720"/>
        <w:rPr>
          <w:snapToGrid w:val="0"/>
          <w:kern w:val="22"/>
          <w:lang w:val="fr-FR"/>
        </w:rPr>
      </w:pPr>
      <w:r w:rsidRPr="004359B6">
        <w:rPr>
          <w:snapToGrid w:val="0"/>
          <w:kern w:val="22"/>
          <w:lang w:val="fr-FR"/>
        </w:rPr>
        <w:t>12.</w:t>
      </w:r>
      <w:r w:rsidRPr="004359B6">
        <w:rPr>
          <w:snapToGrid w:val="0"/>
          <w:kern w:val="22"/>
          <w:lang w:val="fr-FR"/>
        </w:rPr>
        <w:tab/>
      </w:r>
      <w:r w:rsidRPr="004359B6">
        <w:rPr>
          <w:i/>
          <w:snapToGrid w:val="0"/>
          <w:kern w:val="22"/>
          <w:lang w:val="fr-FR"/>
        </w:rPr>
        <w:t xml:space="preserve">Prie </w:t>
      </w:r>
      <w:r w:rsidRPr="004359B6">
        <w:rPr>
          <w:snapToGrid w:val="0"/>
          <w:kern w:val="22"/>
          <w:lang w:val="fr-FR"/>
        </w:rPr>
        <w:t xml:space="preserve">la Secrétaire exécutive de continuer à mettre en œuvre et à administrer le Centre d'échange sur l'accès et le partage des avantages en suivant les objectifs et les priorités pour la poursuite de la mise en œuvre et de l'administration du Centre d'échange sur l'accès et le partage des avantages qui figurent à l'annexe I </w:t>
      </w:r>
      <w:r w:rsidR="00E073BD">
        <w:rPr>
          <w:snapToGrid w:val="0"/>
          <w:kern w:val="22"/>
          <w:lang w:val="fr-FR"/>
        </w:rPr>
        <w:t>à</w:t>
      </w:r>
      <w:r w:rsidRPr="004359B6">
        <w:rPr>
          <w:snapToGrid w:val="0"/>
          <w:kern w:val="22"/>
          <w:lang w:val="fr-FR"/>
        </w:rPr>
        <w:t xml:space="preserve"> la présente décision, conformément aux modalités de fonctionnement et aux observations reçues, en particulier celles des Parties et du Comité consultatif informel auprès du Centre d'échange pour l'accès et le partage des avantages</w:t>
      </w:r>
      <w:r w:rsidRPr="004359B6">
        <w:rPr>
          <w:i/>
          <w:snapToGrid w:val="0"/>
          <w:kern w:val="22"/>
          <w:lang w:val="fr-FR"/>
        </w:rPr>
        <w:t>.</w:t>
      </w:r>
    </w:p>
    <w:p w:rsidR="004359B6" w:rsidRPr="004359B6" w:rsidRDefault="004359B6" w:rsidP="004359B6">
      <w:pPr>
        <w:keepNext/>
        <w:rPr>
          <w:kern w:val="22"/>
          <w:lang w:val="fr-FR"/>
        </w:rPr>
      </w:pPr>
    </w:p>
    <w:p w:rsidR="004359B6" w:rsidRPr="004359B6" w:rsidRDefault="004359B6" w:rsidP="004359B6">
      <w:pPr>
        <w:keepNext/>
        <w:spacing w:before="120" w:after="120"/>
        <w:jc w:val="center"/>
        <w:rPr>
          <w:i/>
          <w:kern w:val="22"/>
          <w:szCs w:val="22"/>
          <w:lang w:val="fr-FR"/>
        </w:rPr>
      </w:pPr>
      <w:r w:rsidRPr="004359B6">
        <w:rPr>
          <w:i/>
          <w:kern w:val="22"/>
          <w:szCs w:val="22"/>
          <w:lang w:val="fr-FR"/>
        </w:rPr>
        <w:t>Annexe</w:t>
      </w:r>
    </w:p>
    <w:p w:rsidR="004359B6" w:rsidRPr="004359B6" w:rsidRDefault="004359B6" w:rsidP="004359B6">
      <w:pPr>
        <w:jc w:val="center"/>
        <w:rPr>
          <w:b/>
          <w:bCs/>
          <w:caps/>
          <w:kern w:val="22"/>
          <w:szCs w:val="22"/>
          <w:lang w:val="fr-FR"/>
        </w:rPr>
      </w:pPr>
      <w:r w:rsidRPr="004359B6">
        <w:rPr>
          <w:b/>
          <w:bCs/>
          <w:caps/>
          <w:kern w:val="22"/>
          <w:szCs w:val="22"/>
          <w:lang w:val="fr-FR"/>
        </w:rPr>
        <w:t>Objectifs et priorités pour le développement et l'administration futurs par le Secrétariat du Centre d'échange sur l'accès et le partage des avantages</w:t>
      </w:r>
    </w:p>
    <w:p w:rsidR="004359B6" w:rsidRPr="004359B6" w:rsidRDefault="004359B6" w:rsidP="004359B6">
      <w:pPr>
        <w:jc w:val="center"/>
        <w:rPr>
          <w:rFonts w:eastAsia="MS Mincho"/>
          <w:bCs/>
          <w:kern w:val="22"/>
          <w:szCs w:val="22"/>
          <w:lang w:val="fr-FR"/>
        </w:rPr>
      </w:pPr>
    </w:p>
    <w:p w:rsidR="004359B6" w:rsidRPr="004359B6" w:rsidRDefault="004359B6" w:rsidP="004359B6">
      <w:pPr>
        <w:keepNext/>
        <w:pBdr>
          <w:top w:val="nil"/>
          <w:left w:val="nil"/>
          <w:bottom w:val="nil"/>
          <w:right w:val="nil"/>
          <w:between w:val="nil"/>
          <w:bar w:val="nil"/>
        </w:pBdr>
        <w:spacing w:before="120" w:after="120"/>
        <w:ind w:left="864" w:hanging="864"/>
        <w:rPr>
          <w:b/>
          <w:snapToGrid w:val="0"/>
          <w:kern w:val="22"/>
          <w:szCs w:val="22"/>
          <w:lang w:val="fr-FR"/>
        </w:rPr>
      </w:pPr>
      <w:r w:rsidRPr="004359B6">
        <w:rPr>
          <w:b/>
          <w:snapToGrid w:val="0"/>
          <w:kern w:val="22"/>
          <w:szCs w:val="22"/>
          <w:lang w:val="fr-FR"/>
        </w:rPr>
        <w:t>Objectif n° 1.</w:t>
      </w:r>
      <w:r w:rsidRPr="004359B6">
        <w:rPr>
          <w:b/>
          <w:snapToGrid w:val="0"/>
          <w:kern w:val="22"/>
          <w:szCs w:val="22"/>
          <w:lang w:val="fr-FR"/>
        </w:rPr>
        <w:tab/>
      </w:r>
      <w:r w:rsidR="00E25895">
        <w:rPr>
          <w:b/>
          <w:snapToGrid w:val="0"/>
          <w:kern w:val="22"/>
          <w:szCs w:val="22"/>
          <w:lang w:val="fr-FR"/>
        </w:rPr>
        <w:t>Chargement</w:t>
      </w:r>
      <w:r w:rsidRPr="004359B6">
        <w:rPr>
          <w:b/>
          <w:snapToGrid w:val="0"/>
          <w:kern w:val="22"/>
          <w:szCs w:val="22"/>
          <w:lang w:val="fr-FR"/>
        </w:rPr>
        <w:t xml:space="preserve"> et utilisation accrue du Centre d'échange sur l'accès et le partage des avantages</w:t>
      </w:r>
    </w:p>
    <w:p w:rsidR="004359B6" w:rsidRPr="004359B6" w:rsidRDefault="004359B6" w:rsidP="004359B6">
      <w:pPr>
        <w:keepNext/>
        <w:pBdr>
          <w:top w:val="nil"/>
          <w:left w:val="nil"/>
          <w:bottom w:val="nil"/>
          <w:right w:val="nil"/>
          <w:between w:val="nil"/>
          <w:bar w:val="nil"/>
        </w:pBdr>
        <w:spacing w:before="120" w:after="120"/>
        <w:rPr>
          <w:i/>
          <w:snapToGrid w:val="0"/>
          <w:kern w:val="22"/>
          <w:szCs w:val="22"/>
          <w:lang w:val="fr-FR"/>
        </w:rPr>
      </w:pPr>
      <w:r w:rsidRPr="004359B6">
        <w:rPr>
          <w:i/>
          <w:snapToGrid w:val="0"/>
          <w:kern w:val="22"/>
          <w:szCs w:val="22"/>
          <w:lang w:val="fr-FR"/>
        </w:rPr>
        <w:t>Diffusion et engagement</w:t>
      </w:r>
    </w:p>
    <w:p w:rsidR="004359B6" w:rsidRPr="004359B6" w:rsidRDefault="004359B6" w:rsidP="004359B6">
      <w:pPr>
        <w:pBdr>
          <w:top w:val="nil"/>
          <w:left w:val="nil"/>
          <w:bottom w:val="nil"/>
          <w:right w:val="nil"/>
          <w:between w:val="nil"/>
          <w:bar w:val="nil"/>
        </w:pBdr>
        <w:spacing w:before="120" w:after="120"/>
        <w:ind w:firstLine="709"/>
        <w:rPr>
          <w:snapToGrid w:val="0"/>
          <w:kern w:val="22"/>
          <w:szCs w:val="22"/>
          <w:lang w:val="fr-FR"/>
        </w:rPr>
      </w:pPr>
      <w:r w:rsidRPr="004359B6">
        <w:rPr>
          <w:snapToGrid w:val="0"/>
          <w:color w:val="000000"/>
          <w:kern w:val="22"/>
          <w:szCs w:val="22"/>
          <w:lang w:val="fr-FR"/>
        </w:rPr>
        <w:t>a)</w:t>
      </w:r>
      <w:r w:rsidRPr="004359B6">
        <w:rPr>
          <w:snapToGrid w:val="0"/>
          <w:color w:val="000000"/>
          <w:kern w:val="22"/>
          <w:szCs w:val="22"/>
          <w:lang w:val="fr-FR"/>
        </w:rPr>
        <w:tab/>
      </w:r>
      <w:r w:rsidRPr="004359B6">
        <w:rPr>
          <w:snapToGrid w:val="0"/>
          <w:kern w:val="22"/>
          <w:szCs w:val="22"/>
          <w:lang w:val="fr-FR"/>
        </w:rPr>
        <w:t>Veiller à ce que chaque Partie ait désigné son autorité de publication ;</w:t>
      </w:r>
    </w:p>
    <w:p w:rsidR="004359B6" w:rsidRPr="004359B6" w:rsidRDefault="004359B6" w:rsidP="004359B6">
      <w:pPr>
        <w:pBdr>
          <w:top w:val="nil"/>
          <w:left w:val="nil"/>
          <w:bottom w:val="nil"/>
          <w:right w:val="nil"/>
          <w:between w:val="nil"/>
          <w:bar w:val="nil"/>
        </w:pBdr>
        <w:spacing w:before="120" w:after="120"/>
        <w:ind w:firstLine="709"/>
        <w:rPr>
          <w:snapToGrid w:val="0"/>
          <w:kern w:val="22"/>
          <w:szCs w:val="22"/>
          <w:lang w:val="fr-FR"/>
        </w:rPr>
      </w:pPr>
      <w:r w:rsidRPr="004359B6">
        <w:rPr>
          <w:snapToGrid w:val="0"/>
          <w:color w:val="000000"/>
          <w:kern w:val="22"/>
          <w:szCs w:val="22"/>
          <w:lang w:val="fr-FR"/>
        </w:rPr>
        <w:t>b)</w:t>
      </w:r>
      <w:r w:rsidRPr="004359B6">
        <w:rPr>
          <w:snapToGrid w:val="0"/>
          <w:color w:val="000000"/>
          <w:kern w:val="22"/>
          <w:szCs w:val="22"/>
          <w:lang w:val="fr-FR"/>
        </w:rPr>
        <w:tab/>
      </w:r>
      <w:r w:rsidRPr="004359B6">
        <w:rPr>
          <w:snapToGrid w:val="0"/>
          <w:kern w:val="22"/>
          <w:szCs w:val="22"/>
          <w:lang w:val="fr-FR"/>
        </w:rPr>
        <w:t>Encourager et faciliter la publication de toutes les informations nationales disponibles, en particulier celles des autorités nationales compétentes, sur les mesures et les procédures d'accès et de partage des avantages et sur les certificats de conformité internationalement reconnus, selon le cas ;</w:t>
      </w:r>
    </w:p>
    <w:p w:rsidR="004359B6" w:rsidRPr="004359B6" w:rsidRDefault="004359B6" w:rsidP="004359B6">
      <w:pPr>
        <w:pBdr>
          <w:top w:val="nil"/>
          <w:left w:val="nil"/>
          <w:bottom w:val="nil"/>
          <w:right w:val="nil"/>
          <w:between w:val="nil"/>
          <w:bar w:val="nil"/>
        </w:pBdr>
        <w:spacing w:before="120" w:after="120"/>
        <w:ind w:firstLine="709"/>
        <w:rPr>
          <w:kern w:val="22"/>
          <w:szCs w:val="22"/>
          <w:lang w:val="fr-FR"/>
        </w:rPr>
      </w:pPr>
      <w:r w:rsidRPr="004359B6">
        <w:rPr>
          <w:color w:val="000000"/>
          <w:kern w:val="22"/>
          <w:szCs w:val="22"/>
          <w:lang w:val="fr-FR"/>
        </w:rPr>
        <w:t>c)</w:t>
      </w:r>
      <w:r w:rsidRPr="004359B6">
        <w:rPr>
          <w:color w:val="000000"/>
          <w:kern w:val="22"/>
          <w:szCs w:val="22"/>
          <w:lang w:val="fr-FR"/>
        </w:rPr>
        <w:tab/>
      </w:r>
      <w:r w:rsidRPr="004359B6">
        <w:rPr>
          <w:snapToGrid w:val="0"/>
          <w:kern w:val="22"/>
          <w:szCs w:val="22"/>
          <w:lang w:val="fr-FR"/>
        </w:rPr>
        <w:t xml:space="preserve">Engager le dialogue avec les </w:t>
      </w:r>
      <w:r w:rsidR="009F213D">
        <w:rPr>
          <w:snapToGrid w:val="0"/>
          <w:kern w:val="22"/>
          <w:szCs w:val="22"/>
          <w:lang w:val="fr-FR"/>
        </w:rPr>
        <w:t>peuples</w:t>
      </w:r>
      <w:r w:rsidRPr="004359B6">
        <w:rPr>
          <w:snapToGrid w:val="0"/>
          <w:kern w:val="22"/>
          <w:szCs w:val="22"/>
          <w:lang w:val="fr-FR"/>
        </w:rPr>
        <w:t xml:space="preserve"> autochtones et</w:t>
      </w:r>
      <w:r w:rsidR="009F213D">
        <w:rPr>
          <w:snapToGrid w:val="0"/>
          <w:kern w:val="22"/>
          <w:szCs w:val="22"/>
          <w:lang w:val="fr-FR"/>
        </w:rPr>
        <w:t xml:space="preserve"> les communautés</w:t>
      </w:r>
      <w:r w:rsidRPr="004359B6">
        <w:rPr>
          <w:snapToGrid w:val="0"/>
          <w:kern w:val="22"/>
          <w:szCs w:val="22"/>
          <w:lang w:val="fr-FR"/>
        </w:rPr>
        <w:t xml:space="preserve"> locales, ainsi qu'avec les autres parties prenantes et les organisations concernées pour encourager la soumission de documents de référence ;</w:t>
      </w:r>
    </w:p>
    <w:p w:rsidR="004359B6" w:rsidRPr="004359B6" w:rsidRDefault="004359B6" w:rsidP="004359B6">
      <w:pPr>
        <w:pBdr>
          <w:top w:val="nil"/>
          <w:left w:val="nil"/>
          <w:bottom w:val="nil"/>
          <w:right w:val="nil"/>
          <w:between w:val="nil"/>
          <w:bar w:val="nil"/>
        </w:pBdr>
        <w:spacing w:before="120" w:after="120"/>
        <w:ind w:firstLine="709"/>
        <w:rPr>
          <w:kern w:val="22"/>
          <w:szCs w:val="22"/>
          <w:lang w:val="fr-FR"/>
        </w:rPr>
      </w:pPr>
      <w:r w:rsidRPr="004359B6">
        <w:rPr>
          <w:color w:val="000000"/>
          <w:kern w:val="22"/>
          <w:szCs w:val="22"/>
          <w:lang w:val="fr-FR"/>
        </w:rPr>
        <w:t>d)</w:t>
      </w:r>
      <w:r w:rsidRPr="004359B6">
        <w:rPr>
          <w:color w:val="000000"/>
          <w:kern w:val="22"/>
          <w:szCs w:val="22"/>
          <w:lang w:val="fr-FR"/>
        </w:rPr>
        <w:tab/>
      </w:r>
      <w:r w:rsidRPr="004359B6">
        <w:rPr>
          <w:snapToGrid w:val="0"/>
          <w:kern w:val="22"/>
          <w:szCs w:val="22"/>
          <w:lang w:val="fr-FR"/>
        </w:rPr>
        <w:t>Fournir régulièrement aux utilisateurs du Centre d'échange sur l'accès et le partage des avantages, en particulier les correspondants nationaux, les autorités chargées de la publication et les utilisateurs nationaux autorisés, des annonces sur les mises à jour et les changements, ainsi que des informations connexes ;</w:t>
      </w:r>
    </w:p>
    <w:p w:rsidR="004359B6" w:rsidRPr="004359B6" w:rsidRDefault="004359B6" w:rsidP="004359B6">
      <w:pPr>
        <w:keepNext/>
        <w:pBdr>
          <w:top w:val="nil"/>
          <w:left w:val="nil"/>
          <w:bottom w:val="nil"/>
          <w:right w:val="nil"/>
          <w:between w:val="nil"/>
          <w:bar w:val="nil"/>
        </w:pBdr>
        <w:spacing w:before="120" w:after="120"/>
        <w:rPr>
          <w:i/>
          <w:snapToGrid w:val="0"/>
          <w:kern w:val="22"/>
          <w:szCs w:val="22"/>
          <w:lang w:val="fr-FR"/>
        </w:rPr>
      </w:pPr>
      <w:r w:rsidRPr="004359B6">
        <w:rPr>
          <w:i/>
          <w:snapToGrid w:val="0"/>
          <w:kern w:val="22"/>
          <w:szCs w:val="22"/>
          <w:lang w:val="fr-FR"/>
        </w:rPr>
        <w:lastRenderedPageBreak/>
        <w:t>Renforcement des capacités</w:t>
      </w:r>
    </w:p>
    <w:p w:rsidR="004359B6" w:rsidRPr="004359B6" w:rsidRDefault="004359B6" w:rsidP="004359B6">
      <w:pPr>
        <w:pBdr>
          <w:top w:val="nil"/>
          <w:left w:val="nil"/>
          <w:bottom w:val="nil"/>
          <w:right w:val="nil"/>
          <w:between w:val="nil"/>
          <w:bar w:val="nil"/>
        </w:pBdr>
        <w:spacing w:before="120" w:after="120"/>
        <w:ind w:firstLine="720"/>
        <w:rPr>
          <w:snapToGrid w:val="0"/>
          <w:kern w:val="22"/>
          <w:szCs w:val="22"/>
          <w:lang w:val="fr-FR"/>
        </w:rPr>
      </w:pPr>
      <w:r w:rsidRPr="004359B6">
        <w:rPr>
          <w:snapToGrid w:val="0"/>
          <w:color w:val="000000"/>
          <w:kern w:val="22"/>
          <w:szCs w:val="22"/>
          <w:lang w:val="fr-FR"/>
        </w:rPr>
        <w:t>a)</w:t>
      </w:r>
      <w:r w:rsidRPr="004359B6">
        <w:rPr>
          <w:snapToGrid w:val="0"/>
          <w:color w:val="000000"/>
          <w:kern w:val="22"/>
          <w:szCs w:val="22"/>
          <w:lang w:val="fr-FR"/>
        </w:rPr>
        <w:tab/>
      </w:r>
      <w:r w:rsidRPr="004359B6">
        <w:rPr>
          <w:snapToGrid w:val="0"/>
          <w:kern w:val="22"/>
          <w:szCs w:val="22"/>
          <w:lang w:val="fr-FR"/>
        </w:rPr>
        <w:t>Diffuser et promouvoir l'utilisation des ressources du Centre d'échange sur l'accès et le partage des avantages pour le renforcement des capacités, y compris le module d'apprentissage en ligne et les guides étape par étape ;</w:t>
      </w:r>
    </w:p>
    <w:p w:rsidR="004359B6" w:rsidRPr="004359B6" w:rsidRDefault="004359B6" w:rsidP="004359B6">
      <w:pPr>
        <w:pBdr>
          <w:top w:val="nil"/>
          <w:left w:val="nil"/>
          <w:bottom w:val="nil"/>
          <w:right w:val="nil"/>
          <w:between w:val="nil"/>
          <w:bar w:val="nil"/>
        </w:pBdr>
        <w:spacing w:before="120" w:after="120"/>
        <w:ind w:firstLine="720"/>
        <w:rPr>
          <w:snapToGrid w:val="0"/>
          <w:kern w:val="22"/>
          <w:szCs w:val="22"/>
          <w:lang w:val="fr-FR"/>
        </w:rPr>
      </w:pPr>
      <w:r w:rsidRPr="004359B6">
        <w:rPr>
          <w:snapToGrid w:val="0"/>
          <w:color w:val="000000"/>
          <w:kern w:val="22"/>
          <w:szCs w:val="22"/>
          <w:lang w:val="fr-FR"/>
        </w:rPr>
        <w:t>b)</w:t>
      </w:r>
      <w:r w:rsidRPr="004359B6">
        <w:rPr>
          <w:snapToGrid w:val="0"/>
          <w:color w:val="000000"/>
          <w:kern w:val="22"/>
          <w:szCs w:val="22"/>
          <w:lang w:val="fr-FR"/>
        </w:rPr>
        <w:tab/>
      </w:r>
      <w:r w:rsidRPr="004359B6">
        <w:rPr>
          <w:snapToGrid w:val="0"/>
          <w:kern w:val="22"/>
          <w:szCs w:val="22"/>
          <w:lang w:val="fr-FR"/>
        </w:rPr>
        <w:t>Traduire les ressources sur le renforcement des capacités élaborées par la Secrétaire exécutive pour le Centre d’échange sur l’accès et le partage des avantages, et les mettre à disposition dans toutes les langues officielles des Nations Unies ;</w:t>
      </w:r>
    </w:p>
    <w:p w:rsidR="004359B6" w:rsidRPr="004359B6" w:rsidRDefault="004359B6" w:rsidP="004359B6">
      <w:pPr>
        <w:pBdr>
          <w:top w:val="nil"/>
          <w:left w:val="nil"/>
          <w:bottom w:val="nil"/>
          <w:right w:val="nil"/>
          <w:between w:val="nil"/>
          <w:bar w:val="nil"/>
        </w:pBdr>
        <w:spacing w:before="120" w:after="120"/>
        <w:ind w:firstLine="720"/>
        <w:rPr>
          <w:snapToGrid w:val="0"/>
          <w:kern w:val="22"/>
          <w:szCs w:val="22"/>
          <w:lang w:val="fr-FR"/>
        </w:rPr>
      </w:pPr>
      <w:r w:rsidRPr="004359B6">
        <w:rPr>
          <w:snapToGrid w:val="0"/>
          <w:color w:val="000000"/>
          <w:kern w:val="22"/>
          <w:szCs w:val="22"/>
          <w:lang w:val="fr-FR"/>
        </w:rPr>
        <w:t>c)</w:t>
      </w:r>
      <w:r w:rsidRPr="004359B6">
        <w:rPr>
          <w:snapToGrid w:val="0"/>
          <w:color w:val="000000"/>
          <w:kern w:val="22"/>
          <w:szCs w:val="22"/>
          <w:lang w:val="fr-FR"/>
        </w:rPr>
        <w:tab/>
      </w:r>
      <w:r w:rsidRPr="004359B6">
        <w:rPr>
          <w:snapToGrid w:val="0"/>
          <w:kern w:val="22"/>
          <w:szCs w:val="22"/>
          <w:lang w:val="fr-FR"/>
        </w:rPr>
        <w:t>Continuer de dispenser une formation en face à face (sous réserve des financements disponibles), ainsi qu'une formation à distance sur demande, selon les besoins ;</w:t>
      </w:r>
    </w:p>
    <w:p w:rsidR="004359B6" w:rsidRPr="004359B6" w:rsidRDefault="004359B6" w:rsidP="004359B6">
      <w:pPr>
        <w:pBdr>
          <w:top w:val="nil"/>
          <w:left w:val="nil"/>
          <w:bottom w:val="nil"/>
          <w:right w:val="nil"/>
          <w:between w:val="nil"/>
          <w:bar w:val="nil"/>
        </w:pBdr>
        <w:spacing w:before="120" w:after="120"/>
        <w:ind w:firstLine="720"/>
        <w:rPr>
          <w:snapToGrid w:val="0"/>
          <w:kern w:val="22"/>
          <w:szCs w:val="22"/>
          <w:lang w:val="fr-FR"/>
        </w:rPr>
      </w:pPr>
      <w:r w:rsidRPr="004359B6">
        <w:rPr>
          <w:snapToGrid w:val="0"/>
          <w:color w:val="000000"/>
          <w:kern w:val="22"/>
          <w:szCs w:val="22"/>
          <w:lang w:val="fr-FR"/>
        </w:rPr>
        <w:t>d)</w:t>
      </w:r>
      <w:r w:rsidRPr="004359B6">
        <w:rPr>
          <w:snapToGrid w:val="0"/>
          <w:color w:val="000000"/>
          <w:kern w:val="22"/>
          <w:szCs w:val="22"/>
          <w:lang w:val="fr-FR"/>
        </w:rPr>
        <w:tab/>
      </w:r>
      <w:r w:rsidRPr="004359B6">
        <w:rPr>
          <w:snapToGrid w:val="0"/>
          <w:kern w:val="22"/>
          <w:szCs w:val="22"/>
          <w:lang w:val="fr-FR"/>
        </w:rPr>
        <w:t>Collaborer avec les partenaires qui élaborent des projets de renforcement des capacités afin de s'assurer qu'y soient comprises des activités pertinentes pour appuyer et promouvoir l'utilisation du Centre d'échange sur l'accès et le partage des avantages ;</w:t>
      </w:r>
    </w:p>
    <w:p w:rsidR="004359B6" w:rsidRPr="004359B6" w:rsidRDefault="004359B6" w:rsidP="004359B6">
      <w:pPr>
        <w:pBdr>
          <w:top w:val="nil"/>
          <w:left w:val="nil"/>
          <w:bottom w:val="nil"/>
          <w:right w:val="nil"/>
          <w:between w:val="nil"/>
          <w:bar w:val="nil"/>
        </w:pBdr>
        <w:spacing w:before="120" w:after="120"/>
        <w:ind w:firstLine="720"/>
        <w:rPr>
          <w:snapToGrid w:val="0"/>
          <w:kern w:val="22"/>
          <w:szCs w:val="22"/>
          <w:lang w:val="fr-FR"/>
        </w:rPr>
      </w:pPr>
      <w:r w:rsidRPr="004359B6">
        <w:rPr>
          <w:snapToGrid w:val="0"/>
          <w:color w:val="000000"/>
          <w:kern w:val="22"/>
          <w:szCs w:val="22"/>
          <w:lang w:val="fr-FR"/>
        </w:rPr>
        <w:t>e)</w:t>
      </w:r>
      <w:r w:rsidRPr="004359B6">
        <w:rPr>
          <w:snapToGrid w:val="0"/>
          <w:color w:val="000000"/>
          <w:kern w:val="22"/>
          <w:szCs w:val="22"/>
          <w:lang w:val="fr-FR"/>
        </w:rPr>
        <w:tab/>
      </w:r>
      <w:r w:rsidRPr="004359B6">
        <w:rPr>
          <w:snapToGrid w:val="0"/>
          <w:kern w:val="22"/>
          <w:szCs w:val="22"/>
          <w:lang w:val="fr-FR"/>
        </w:rPr>
        <w:t xml:space="preserve">Faire mieux connaître le Centre d'échange sur l'accès et le partage des avantages aux </w:t>
      </w:r>
      <w:r w:rsidR="009F213D">
        <w:rPr>
          <w:snapToGrid w:val="0"/>
          <w:kern w:val="22"/>
          <w:szCs w:val="22"/>
          <w:lang w:val="fr-FR"/>
        </w:rPr>
        <w:t xml:space="preserve">peuples </w:t>
      </w:r>
      <w:r w:rsidRPr="004359B6">
        <w:rPr>
          <w:snapToGrid w:val="0"/>
          <w:kern w:val="22"/>
          <w:szCs w:val="22"/>
          <w:lang w:val="fr-FR"/>
        </w:rPr>
        <w:t xml:space="preserve">autochtones et </w:t>
      </w:r>
      <w:r w:rsidR="009F213D">
        <w:rPr>
          <w:snapToGrid w:val="0"/>
          <w:kern w:val="22"/>
          <w:szCs w:val="22"/>
          <w:lang w:val="fr-FR"/>
        </w:rPr>
        <w:t xml:space="preserve">communautés </w:t>
      </w:r>
      <w:r w:rsidRPr="004359B6">
        <w:rPr>
          <w:snapToGrid w:val="0"/>
          <w:kern w:val="22"/>
          <w:szCs w:val="22"/>
          <w:lang w:val="fr-FR"/>
        </w:rPr>
        <w:t>locales ainsi qu'aux autres parties prenantes concernées, telles que les milieux d'affaires et scientifiques ;</w:t>
      </w:r>
    </w:p>
    <w:p w:rsidR="004359B6" w:rsidRPr="004359B6" w:rsidRDefault="004359B6" w:rsidP="004359B6">
      <w:pPr>
        <w:pBdr>
          <w:top w:val="nil"/>
          <w:left w:val="nil"/>
          <w:bottom w:val="nil"/>
          <w:right w:val="nil"/>
          <w:between w:val="nil"/>
          <w:bar w:val="nil"/>
        </w:pBdr>
        <w:spacing w:before="120" w:after="120"/>
        <w:ind w:firstLine="720"/>
        <w:rPr>
          <w:snapToGrid w:val="0"/>
          <w:kern w:val="22"/>
          <w:szCs w:val="22"/>
          <w:lang w:val="fr-FR"/>
        </w:rPr>
      </w:pPr>
      <w:r w:rsidRPr="004359B6">
        <w:rPr>
          <w:snapToGrid w:val="0"/>
          <w:color w:val="000000"/>
          <w:kern w:val="22"/>
          <w:szCs w:val="22"/>
          <w:lang w:val="fr-FR"/>
        </w:rPr>
        <w:t>f)</w:t>
      </w:r>
      <w:r w:rsidRPr="004359B6">
        <w:rPr>
          <w:snapToGrid w:val="0"/>
          <w:color w:val="000000"/>
          <w:kern w:val="22"/>
          <w:szCs w:val="22"/>
          <w:lang w:val="fr-FR"/>
        </w:rPr>
        <w:tab/>
      </w:r>
      <w:r w:rsidRPr="004359B6">
        <w:rPr>
          <w:snapToGrid w:val="0"/>
          <w:kern w:val="22"/>
          <w:szCs w:val="22"/>
          <w:lang w:val="fr-FR"/>
        </w:rPr>
        <w:t>Faire mieux connaître le Centre d'échange sur l'accès et le partage des avantages dans les instances internationales compétentes traitant de questions liées à l'accès et au partage des avantages ;</w:t>
      </w:r>
    </w:p>
    <w:p w:rsidR="004359B6" w:rsidRPr="004359B6" w:rsidRDefault="004359B6" w:rsidP="004359B6">
      <w:pPr>
        <w:keepNext/>
        <w:pBdr>
          <w:top w:val="nil"/>
          <w:left w:val="nil"/>
          <w:bottom w:val="nil"/>
          <w:right w:val="nil"/>
          <w:between w:val="nil"/>
          <w:bar w:val="nil"/>
        </w:pBdr>
        <w:spacing w:before="120" w:after="120"/>
        <w:rPr>
          <w:i/>
          <w:snapToGrid w:val="0"/>
          <w:kern w:val="22"/>
          <w:szCs w:val="22"/>
          <w:lang w:val="fr-FR"/>
        </w:rPr>
      </w:pPr>
      <w:r w:rsidRPr="004359B6">
        <w:rPr>
          <w:i/>
          <w:snapToGrid w:val="0"/>
          <w:kern w:val="22"/>
          <w:szCs w:val="22"/>
          <w:lang w:val="fr-FR"/>
        </w:rPr>
        <w:t>Interopérabilité et collaboration</w:t>
      </w:r>
    </w:p>
    <w:p w:rsidR="004359B6" w:rsidRPr="004359B6" w:rsidRDefault="004359B6" w:rsidP="004359B6">
      <w:pPr>
        <w:pBdr>
          <w:top w:val="nil"/>
          <w:left w:val="nil"/>
          <w:bottom w:val="nil"/>
          <w:right w:val="nil"/>
          <w:between w:val="nil"/>
          <w:bar w:val="nil"/>
        </w:pBdr>
        <w:tabs>
          <w:tab w:val="left" w:pos="1260"/>
        </w:tabs>
        <w:spacing w:before="120" w:after="120"/>
        <w:ind w:firstLine="720"/>
        <w:rPr>
          <w:snapToGrid w:val="0"/>
          <w:kern w:val="22"/>
          <w:szCs w:val="22"/>
          <w:lang w:val="fr-FR"/>
        </w:rPr>
      </w:pPr>
      <w:r w:rsidRPr="004359B6">
        <w:rPr>
          <w:snapToGrid w:val="0"/>
          <w:color w:val="000000"/>
          <w:kern w:val="22"/>
          <w:szCs w:val="22"/>
          <w:lang w:val="fr-FR"/>
        </w:rPr>
        <w:t>a)</w:t>
      </w:r>
      <w:r w:rsidRPr="004359B6">
        <w:rPr>
          <w:snapToGrid w:val="0"/>
          <w:color w:val="000000"/>
          <w:kern w:val="22"/>
          <w:szCs w:val="22"/>
          <w:lang w:val="fr-FR"/>
        </w:rPr>
        <w:tab/>
      </w:r>
      <w:r w:rsidRPr="004359B6">
        <w:rPr>
          <w:snapToGrid w:val="0"/>
          <w:kern w:val="22"/>
          <w:szCs w:val="22"/>
          <w:lang w:val="fr-FR"/>
        </w:rPr>
        <w:t>Continuer de sensibiliser et soutenir le renforcement des capacités en ce qui concerne l'utilisation des mécanismes d'interopérabilité tels que l'interface de programmation d'applications (API), notamment en fournissant des documents pertinents, tels que les enseignements tirés et les exemples ;</w:t>
      </w:r>
    </w:p>
    <w:p w:rsidR="004359B6" w:rsidRPr="004359B6" w:rsidRDefault="004359B6" w:rsidP="004359B6">
      <w:pPr>
        <w:pBdr>
          <w:top w:val="nil"/>
          <w:left w:val="nil"/>
          <w:bottom w:val="nil"/>
          <w:right w:val="nil"/>
          <w:between w:val="nil"/>
          <w:bar w:val="nil"/>
        </w:pBdr>
        <w:tabs>
          <w:tab w:val="left" w:pos="1260"/>
        </w:tabs>
        <w:spacing w:before="120" w:after="120"/>
        <w:ind w:firstLine="720"/>
        <w:rPr>
          <w:snapToGrid w:val="0"/>
          <w:kern w:val="22"/>
          <w:szCs w:val="22"/>
          <w:lang w:val="fr-FR"/>
        </w:rPr>
      </w:pPr>
      <w:r w:rsidRPr="004359B6">
        <w:rPr>
          <w:snapToGrid w:val="0"/>
          <w:color w:val="000000"/>
          <w:kern w:val="22"/>
          <w:szCs w:val="22"/>
          <w:lang w:val="fr-FR"/>
        </w:rPr>
        <w:t>b)</w:t>
      </w:r>
      <w:r w:rsidRPr="004359B6">
        <w:rPr>
          <w:snapToGrid w:val="0"/>
          <w:color w:val="000000"/>
          <w:kern w:val="22"/>
          <w:szCs w:val="22"/>
          <w:lang w:val="fr-FR"/>
        </w:rPr>
        <w:tab/>
      </w:r>
      <w:r w:rsidRPr="004359B6">
        <w:rPr>
          <w:snapToGrid w:val="0"/>
          <w:kern w:val="22"/>
          <w:szCs w:val="22"/>
          <w:lang w:val="fr-FR"/>
        </w:rPr>
        <w:t>Faciliter l'échange d'informations avec les bases de données et systèmes nationaux pertinents ;</w:t>
      </w:r>
    </w:p>
    <w:p w:rsidR="004359B6" w:rsidRPr="004359B6" w:rsidRDefault="004359B6" w:rsidP="004359B6">
      <w:pPr>
        <w:pBdr>
          <w:top w:val="nil"/>
          <w:left w:val="nil"/>
          <w:bottom w:val="nil"/>
          <w:right w:val="nil"/>
          <w:between w:val="nil"/>
          <w:bar w:val="nil"/>
        </w:pBdr>
        <w:tabs>
          <w:tab w:val="left" w:pos="1260"/>
        </w:tabs>
        <w:spacing w:before="120" w:after="120"/>
        <w:ind w:firstLine="720"/>
        <w:rPr>
          <w:noProof/>
          <w:snapToGrid w:val="0"/>
          <w:kern w:val="22"/>
          <w:szCs w:val="22"/>
          <w:lang w:val="fr-FR"/>
        </w:rPr>
      </w:pPr>
      <w:r w:rsidRPr="004359B6">
        <w:rPr>
          <w:snapToGrid w:val="0"/>
          <w:kern w:val="22"/>
          <w:szCs w:val="22"/>
          <w:lang w:val="fr-FR"/>
        </w:rPr>
        <w:t>c)</w:t>
      </w:r>
      <w:r w:rsidRPr="004359B6">
        <w:rPr>
          <w:snapToGrid w:val="0"/>
          <w:kern w:val="22"/>
          <w:szCs w:val="22"/>
          <w:lang w:val="fr-FR"/>
        </w:rPr>
        <w:tab/>
      </w:r>
      <w:r w:rsidRPr="004359B6">
        <w:rPr>
          <w:noProof/>
          <w:snapToGrid w:val="0"/>
          <w:kern w:val="22"/>
          <w:szCs w:val="22"/>
          <w:lang w:val="fr-FR"/>
        </w:rPr>
        <w:t>Examiner comment utiliser l'outil Bioland pour faciliter l'échange d'informations relatives à l'accès et au partage des avantages dans le cadre des mécanismes nationaux d'échange d'informations ;</w:t>
      </w:r>
    </w:p>
    <w:p w:rsidR="004359B6" w:rsidRPr="004359B6" w:rsidRDefault="004359B6" w:rsidP="004359B6">
      <w:pPr>
        <w:pBdr>
          <w:top w:val="nil"/>
          <w:left w:val="nil"/>
          <w:bottom w:val="nil"/>
          <w:right w:val="nil"/>
          <w:between w:val="nil"/>
          <w:bar w:val="nil"/>
        </w:pBdr>
        <w:tabs>
          <w:tab w:val="left" w:pos="1260"/>
        </w:tabs>
        <w:spacing w:before="120" w:after="120"/>
        <w:ind w:firstLine="720"/>
        <w:rPr>
          <w:noProof/>
          <w:snapToGrid w:val="0"/>
          <w:kern w:val="22"/>
          <w:szCs w:val="22"/>
          <w:lang w:val="fr-FR"/>
        </w:rPr>
      </w:pPr>
      <w:r w:rsidRPr="004359B6">
        <w:rPr>
          <w:noProof/>
          <w:snapToGrid w:val="0"/>
          <w:color w:val="000000"/>
          <w:kern w:val="22"/>
          <w:szCs w:val="22"/>
          <w:lang w:val="fr-FR"/>
        </w:rPr>
        <w:t>d)</w:t>
      </w:r>
      <w:r w:rsidRPr="004359B6">
        <w:rPr>
          <w:noProof/>
          <w:snapToGrid w:val="0"/>
          <w:color w:val="000000"/>
          <w:kern w:val="22"/>
          <w:szCs w:val="22"/>
          <w:lang w:val="fr-FR"/>
        </w:rPr>
        <w:tab/>
      </w:r>
      <w:r w:rsidRPr="004359B6">
        <w:rPr>
          <w:noProof/>
          <w:snapToGrid w:val="0"/>
          <w:kern w:val="22"/>
          <w:szCs w:val="22"/>
          <w:lang w:val="fr-FR"/>
        </w:rPr>
        <w:t>Continuer de collaborer avec les instruments et initiatives pertinents (tels que le Traité international sur les ressources phytogénétiques pour l'alimentation et l'agriculture–Système mondial d'information, InforMEA, la World Federation for Culture Collections) ;</w:t>
      </w:r>
    </w:p>
    <w:p w:rsidR="004359B6" w:rsidRPr="004359B6" w:rsidRDefault="004359B6" w:rsidP="004359B6">
      <w:pPr>
        <w:keepNext/>
        <w:pBdr>
          <w:top w:val="nil"/>
          <w:left w:val="nil"/>
          <w:bottom w:val="nil"/>
          <w:right w:val="nil"/>
          <w:between w:val="nil"/>
          <w:bar w:val="nil"/>
        </w:pBdr>
        <w:spacing w:before="120" w:after="120"/>
        <w:ind w:left="864" w:hanging="864"/>
        <w:rPr>
          <w:b/>
          <w:snapToGrid w:val="0"/>
          <w:kern w:val="22"/>
          <w:szCs w:val="22"/>
          <w:lang w:val="fr-FR"/>
        </w:rPr>
      </w:pPr>
      <w:r w:rsidRPr="004359B6">
        <w:rPr>
          <w:b/>
          <w:snapToGrid w:val="0"/>
          <w:kern w:val="22"/>
          <w:szCs w:val="22"/>
          <w:lang w:val="fr-FR"/>
        </w:rPr>
        <w:t>Objectif n° 2.</w:t>
      </w:r>
      <w:r w:rsidRPr="004359B6">
        <w:rPr>
          <w:b/>
          <w:snapToGrid w:val="0"/>
          <w:kern w:val="22"/>
          <w:szCs w:val="22"/>
          <w:lang w:val="fr-FR"/>
        </w:rPr>
        <w:tab/>
        <w:t>Traduction et fonctionnalité pour rendre opérationnel le Centre d'échange sur l'accès et le partage des avantages dans les six langues officielles des Nations Unies</w:t>
      </w:r>
    </w:p>
    <w:p w:rsidR="004359B6" w:rsidRPr="004359B6" w:rsidRDefault="004359B6" w:rsidP="004359B6">
      <w:pPr>
        <w:pBdr>
          <w:top w:val="nil"/>
          <w:left w:val="nil"/>
          <w:bottom w:val="nil"/>
          <w:right w:val="nil"/>
          <w:between w:val="nil"/>
          <w:bar w:val="nil"/>
        </w:pBdr>
        <w:tabs>
          <w:tab w:val="left" w:pos="1260"/>
        </w:tabs>
        <w:spacing w:before="120" w:after="120"/>
        <w:ind w:firstLine="720"/>
        <w:rPr>
          <w:snapToGrid w:val="0"/>
          <w:kern w:val="22"/>
          <w:szCs w:val="22"/>
          <w:lang w:val="fr-FR"/>
        </w:rPr>
      </w:pPr>
      <w:r w:rsidRPr="004359B6">
        <w:rPr>
          <w:snapToGrid w:val="0"/>
          <w:color w:val="000000"/>
          <w:kern w:val="22"/>
          <w:szCs w:val="22"/>
          <w:lang w:val="fr-FR"/>
        </w:rPr>
        <w:t>a)</w:t>
      </w:r>
      <w:r w:rsidRPr="004359B6">
        <w:rPr>
          <w:snapToGrid w:val="0"/>
          <w:color w:val="000000"/>
          <w:kern w:val="22"/>
          <w:szCs w:val="22"/>
          <w:lang w:val="fr-FR"/>
        </w:rPr>
        <w:tab/>
      </w:r>
      <w:r w:rsidRPr="004359B6">
        <w:rPr>
          <w:snapToGrid w:val="0"/>
          <w:kern w:val="22"/>
          <w:szCs w:val="22"/>
          <w:lang w:val="fr-FR"/>
        </w:rPr>
        <w:t>Poursuivre en priorité la traduction du Centre d'échange sur l'accès et le partage des avantages ;</w:t>
      </w:r>
    </w:p>
    <w:p w:rsidR="004359B6" w:rsidRPr="004359B6" w:rsidRDefault="004359B6" w:rsidP="004359B6">
      <w:pPr>
        <w:pBdr>
          <w:top w:val="nil"/>
          <w:left w:val="nil"/>
          <w:bottom w:val="nil"/>
          <w:right w:val="nil"/>
          <w:between w:val="nil"/>
          <w:bar w:val="nil"/>
        </w:pBdr>
        <w:tabs>
          <w:tab w:val="left" w:pos="1260"/>
        </w:tabs>
        <w:spacing w:before="120" w:after="120"/>
        <w:ind w:firstLine="720"/>
        <w:rPr>
          <w:snapToGrid w:val="0"/>
          <w:kern w:val="22"/>
          <w:szCs w:val="22"/>
          <w:lang w:val="fr-FR"/>
        </w:rPr>
      </w:pPr>
      <w:r w:rsidRPr="004359B6">
        <w:rPr>
          <w:snapToGrid w:val="0"/>
          <w:color w:val="000000"/>
          <w:kern w:val="22"/>
          <w:szCs w:val="22"/>
          <w:lang w:val="fr-FR"/>
        </w:rPr>
        <w:t>b)</w:t>
      </w:r>
      <w:r w:rsidRPr="004359B6">
        <w:rPr>
          <w:snapToGrid w:val="0"/>
          <w:color w:val="000000"/>
          <w:kern w:val="22"/>
          <w:szCs w:val="22"/>
          <w:lang w:val="fr-FR"/>
        </w:rPr>
        <w:tab/>
      </w:r>
      <w:r w:rsidRPr="004359B6">
        <w:rPr>
          <w:snapToGrid w:val="0"/>
          <w:kern w:val="22"/>
          <w:szCs w:val="22"/>
          <w:lang w:val="fr-FR"/>
        </w:rPr>
        <w:t>Veiller à ce que des mécanismes et des procédures normalisées demeurent en place pour que la traduction du site Web puisse se poursuivre en temps voulu.</w:t>
      </w:r>
    </w:p>
    <w:p w:rsidR="004359B6" w:rsidRPr="004359B6" w:rsidRDefault="004359B6" w:rsidP="004359B6">
      <w:pPr>
        <w:keepNext/>
        <w:pBdr>
          <w:top w:val="nil"/>
          <w:left w:val="nil"/>
          <w:bottom w:val="nil"/>
          <w:right w:val="nil"/>
          <w:between w:val="nil"/>
          <w:bar w:val="nil"/>
        </w:pBdr>
        <w:spacing w:before="120" w:after="120"/>
        <w:ind w:left="864" w:hanging="864"/>
        <w:rPr>
          <w:b/>
          <w:snapToGrid w:val="0"/>
          <w:kern w:val="22"/>
          <w:szCs w:val="22"/>
          <w:lang w:val="fr-FR"/>
        </w:rPr>
      </w:pPr>
      <w:r w:rsidRPr="004359B6">
        <w:rPr>
          <w:b/>
          <w:snapToGrid w:val="0"/>
          <w:kern w:val="22"/>
          <w:szCs w:val="22"/>
          <w:lang w:val="fr-FR"/>
        </w:rPr>
        <w:t>Objectif n°3.</w:t>
      </w:r>
      <w:r w:rsidRPr="004359B6">
        <w:rPr>
          <w:b/>
          <w:snapToGrid w:val="0"/>
          <w:kern w:val="22"/>
          <w:szCs w:val="22"/>
          <w:lang w:val="fr-FR"/>
        </w:rPr>
        <w:tab/>
        <w:t>Maintenance et amélioration de la fonctionnalité</w:t>
      </w:r>
    </w:p>
    <w:p w:rsidR="004359B6" w:rsidRPr="004359B6" w:rsidRDefault="004359B6" w:rsidP="004359B6">
      <w:pPr>
        <w:pBdr>
          <w:top w:val="nil"/>
          <w:left w:val="nil"/>
          <w:bottom w:val="nil"/>
          <w:right w:val="nil"/>
          <w:between w:val="nil"/>
          <w:bar w:val="nil"/>
        </w:pBdr>
        <w:tabs>
          <w:tab w:val="left" w:pos="1260"/>
        </w:tabs>
        <w:spacing w:before="120" w:after="120"/>
        <w:ind w:firstLine="720"/>
        <w:rPr>
          <w:snapToGrid w:val="0"/>
          <w:kern w:val="22"/>
          <w:szCs w:val="22"/>
          <w:lang w:val="fr-FR"/>
        </w:rPr>
      </w:pPr>
      <w:r w:rsidRPr="004359B6">
        <w:rPr>
          <w:snapToGrid w:val="0"/>
          <w:color w:val="000000"/>
          <w:kern w:val="22"/>
          <w:szCs w:val="22"/>
          <w:lang w:val="fr-FR"/>
        </w:rPr>
        <w:t>a)</w:t>
      </w:r>
      <w:r w:rsidRPr="004359B6">
        <w:rPr>
          <w:snapToGrid w:val="0"/>
          <w:color w:val="000000"/>
          <w:kern w:val="22"/>
          <w:szCs w:val="22"/>
          <w:lang w:val="fr-FR"/>
        </w:rPr>
        <w:tab/>
      </w:r>
      <w:r w:rsidRPr="004359B6">
        <w:rPr>
          <w:snapToGrid w:val="0"/>
          <w:kern w:val="22"/>
          <w:szCs w:val="22"/>
          <w:lang w:val="fr-FR"/>
        </w:rPr>
        <w:t>Maintenir et améliorer les fonctionnalités et régler les questions en suspens ;</w:t>
      </w:r>
    </w:p>
    <w:p w:rsidR="004359B6" w:rsidRPr="004359B6" w:rsidRDefault="004359B6" w:rsidP="004359B6">
      <w:pPr>
        <w:pBdr>
          <w:top w:val="nil"/>
          <w:left w:val="nil"/>
          <w:bottom w:val="nil"/>
          <w:right w:val="nil"/>
          <w:between w:val="nil"/>
          <w:bar w:val="nil"/>
        </w:pBdr>
        <w:tabs>
          <w:tab w:val="left" w:pos="1260"/>
        </w:tabs>
        <w:spacing w:before="120" w:after="120"/>
        <w:ind w:firstLine="720"/>
        <w:rPr>
          <w:snapToGrid w:val="0"/>
          <w:kern w:val="22"/>
          <w:szCs w:val="22"/>
          <w:lang w:val="fr-FR"/>
        </w:rPr>
      </w:pPr>
      <w:r w:rsidRPr="004359B6">
        <w:rPr>
          <w:snapToGrid w:val="0"/>
          <w:color w:val="000000"/>
          <w:kern w:val="22"/>
          <w:szCs w:val="22"/>
          <w:lang w:val="fr-FR"/>
        </w:rPr>
        <w:t>b)</w:t>
      </w:r>
      <w:r w:rsidRPr="004359B6">
        <w:rPr>
          <w:snapToGrid w:val="0"/>
          <w:color w:val="000000"/>
          <w:kern w:val="22"/>
          <w:szCs w:val="22"/>
          <w:lang w:val="fr-FR"/>
        </w:rPr>
        <w:tab/>
      </w:r>
      <w:r w:rsidRPr="004359B6">
        <w:rPr>
          <w:snapToGrid w:val="0"/>
          <w:kern w:val="22"/>
          <w:szCs w:val="22"/>
          <w:lang w:val="fr-FR"/>
        </w:rPr>
        <w:t>Finaliser la documentation de l'interface de programmation d'applications, principal mécanisme d'interopérabilité ;</w:t>
      </w:r>
    </w:p>
    <w:p w:rsidR="004359B6" w:rsidRPr="004359B6" w:rsidRDefault="004359B6" w:rsidP="004359B6">
      <w:pPr>
        <w:pBdr>
          <w:top w:val="nil"/>
          <w:left w:val="nil"/>
          <w:bottom w:val="nil"/>
          <w:right w:val="nil"/>
          <w:between w:val="nil"/>
          <w:bar w:val="nil"/>
        </w:pBdr>
        <w:tabs>
          <w:tab w:val="left" w:pos="1260"/>
        </w:tabs>
        <w:spacing w:before="120" w:after="120"/>
        <w:ind w:firstLine="720"/>
        <w:rPr>
          <w:snapToGrid w:val="0"/>
          <w:kern w:val="22"/>
          <w:szCs w:val="22"/>
          <w:lang w:val="fr-FR"/>
        </w:rPr>
      </w:pPr>
      <w:r w:rsidRPr="004359B6">
        <w:rPr>
          <w:snapToGrid w:val="0"/>
          <w:color w:val="000000"/>
          <w:kern w:val="22"/>
          <w:szCs w:val="22"/>
          <w:lang w:val="fr-FR"/>
        </w:rPr>
        <w:t>c)</w:t>
      </w:r>
      <w:r w:rsidRPr="004359B6">
        <w:rPr>
          <w:snapToGrid w:val="0"/>
          <w:color w:val="000000"/>
          <w:kern w:val="22"/>
          <w:szCs w:val="22"/>
          <w:lang w:val="fr-FR"/>
        </w:rPr>
        <w:tab/>
      </w:r>
      <w:r w:rsidRPr="004359B6">
        <w:rPr>
          <w:snapToGrid w:val="0"/>
          <w:kern w:val="22"/>
          <w:szCs w:val="22"/>
          <w:lang w:val="fr-FR"/>
        </w:rPr>
        <w:t xml:space="preserve">Améliorer la fonction de recherche afin de trier et de regrouper les dossiers, ainsi que d'explorer, d'analyser et de présenter l'information publiée de manière utile, y compris l'information relative au renforcement des capacités, </w:t>
      </w:r>
      <w:r w:rsidR="00776372">
        <w:rPr>
          <w:snapToGrid w:val="0"/>
          <w:kern w:val="22"/>
          <w:szCs w:val="22"/>
          <w:lang w:val="fr-FR"/>
        </w:rPr>
        <w:t>et l’utilisation</w:t>
      </w:r>
      <w:r w:rsidRPr="004359B6">
        <w:rPr>
          <w:snapToGrid w:val="0"/>
          <w:kern w:val="22"/>
          <w:szCs w:val="22"/>
          <w:lang w:val="fr-FR"/>
        </w:rPr>
        <w:t xml:space="preserve"> de cartes, de tableaux et de graphiques, selon le cas ;</w:t>
      </w:r>
    </w:p>
    <w:p w:rsidR="004359B6" w:rsidRPr="004359B6" w:rsidRDefault="004359B6" w:rsidP="004359B6">
      <w:pPr>
        <w:pBdr>
          <w:top w:val="nil"/>
          <w:left w:val="nil"/>
          <w:bottom w:val="nil"/>
          <w:right w:val="nil"/>
          <w:between w:val="nil"/>
          <w:bar w:val="nil"/>
        </w:pBdr>
        <w:tabs>
          <w:tab w:val="left" w:pos="1260"/>
        </w:tabs>
        <w:spacing w:before="120" w:after="120"/>
        <w:ind w:firstLine="720"/>
        <w:rPr>
          <w:snapToGrid w:val="0"/>
          <w:kern w:val="22"/>
          <w:szCs w:val="22"/>
          <w:lang w:val="fr-FR"/>
        </w:rPr>
      </w:pPr>
      <w:r w:rsidRPr="004359B6">
        <w:rPr>
          <w:snapToGrid w:val="0"/>
          <w:color w:val="000000"/>
          <w:kern w:val="22"/>
          <w:szCs w:val="22"/>
          <w:lang w:val="fr-FR"/>
        </w:rPr>
        <w:t>d)</w:t>
      </w:r>
      <w:r w:rsidRPr="004359B6">
        <w:rPr>
          <w:snapToGrid w:val="0"/>
          <w:color w:val="000000"/>
          <w:kern w:val="22"/>
          <w:szCs w:val="22"/>
          <w:lang w:val="fr-FR"/>
        </w:rPr>
        <w:tab/>
      </w:r>
      <w:r w:rsidRPr="004359B6">
        <w:rPr>
          <w:snapToGrid w:val="0"/>
          <w:kern w:val="22"/>
          <w:szCs w:val="22"/>
          <w:lang w:val="fr-FR"/>
        </w:rPr>
        <w:t>Améliorer la gestion des vocabulaires communs (thésaurus), y compris la façon dont les informations sont balisées avec des mots-clés pour améliorer la recherche d'informations ;</w:t>
      </w:r>
    </w:p>
    <w:p w:rsidR="004359B6" w:rsidRPr="004359B6" w:rsidRDefault="004359B6" w:rsidP="004359B6">
      <w:pPr>
        <w:pBdr>
          <w:top w:val="nil"/>
          <w:left w:val="nil"/>
          <w:bottom w:val="nil"/>
          <w:right w:val="nil"/>
          <w:between w:val="nil"/>
          <w:bar w:val="nil"/>
        </w:pBdr>
        <w:tabs>
          <w:tab w:val="left" w:pos="1260"/>
        </w:tabs>
        <w:spacing w:before="120" w:after="120"/>
        <w:ind w:firstLine="709"/>
        <w:rPr>
          <w:snapToGrid w:val="0"/>
          <w:kern w:val="22"/>
          <w:szCs w:val="22"/>
          <w:lang w:val="fr-FR"/>
        </w:rPr>
      </w:pPr>
      <w:r w:rsidRPr="004359B6">
        <w:rPr>
          <w:snapToGrid w:val="0"/>
          <w:color w:val="000000"/>
          <w:kern w:val="22"/>
          <w:szCs w:val="22"/>
          <w:lang w:val="fr-FR"/>
        </w:rPr>
        <w:lastRenderedPageBreak/>
        <w:t>e)</w:t>
      </w:r>
      <w:r w:rsidRPr="004359B6">
        <w:rPr>
          <w:snapToGrid w:val="0"/>
          <w:color w:val="000000"/>
          <w:kern w:val="22"/>
          <w:szCs w:val="22"/>
          <w:lang w:val="fr-FR"/>
        </w:rPr>
        <w:tab/>
      </w:r>
      <w:r w:rsidRPr="004359B6">
        <w:rPr>
          <w:snapToGrid w:val="0"/>
          <w:kern w:val="22"/>
          <w:szCs w:val="22"/>
          <w:lang w:val="fr-FR"/>
        </w:rPr>
        <w:t>Améliorer l'analyse des sites Web pour y inclure le suivi des téléchargements et des visualisations des différents dossiers et des fichiers qui y sont joints, et fournir aux utilisateurs nationaux des analyses et des informations pertinentes ;</w:t>
      </w:r>
    </w:p>
    <w:p w:rsidR="004359B6" w:rsidRPr="004359B6" w:rsidRDefault="004359B6" w:rsidP="004359B6">
      <w:pPr>
        <w:pBdr>
          <w:top w:val="nil"/>
          <w:left w:val="nil"/>
          <w:bottom w:val="nil"/>
          <w:right w:val="nil"/>
          <w:between w:val="nil"/>
          <w:bar w:val="nil"/>
        </w:pBdr>
        <w:tabs>
          <w:tab w:val="left" w:pos="1260"/>
        </w:tabs>
        <w:spacing w:before="120" w:after="120"/>
        <w:ind w:firstLine="709"/>
        <w:rPr>
          <w:snapToGrid w:val="0"/>
          <w:kern w:val="22"/>
          <w:szCs w:val="22"/>
          <w:lang w:val="fr-FR"/>
        </w:rPr>
      </w:pPr>
      <w:r w:rsidRPr="004359B6">
        <w:rPr>
          <w:snapToGrid w:val="0"/>
          <w:color w:val="000000"/>
          <w:kern w:val="22"/>
          <w:szCs w:val="22"/>
          <w:lang w:val="fr-FR"/>
        </w:rPr>
        <w:t>f)</w:t>
      </w:r>
      <w:r w:rsidRPr="004359B6">
        <w:rPr>
          <w:snapToGrid w:val="0"/>
          <w:color w:val="000000"/>
          <w:kern w:val="22"/>
          <w:szCs w:val="22"/>
          <w:lang w:val="fr-FR"/>
        </w:rPr>
        <w:tab/>
      </w:r>
      <w:r w:rsidRPr="004359B6">
        <w:rPr>
          <w:snapToGrid w:val="0"/>
          <w:kern w:val="22"/>
          <w:szCs w:val="22"/>
          <w:lang w:val="fr-FR"/>
        </w:rPr>
        <w:t>Améliorer la fonctionnalité pour faciliter la mise à jour des dossiers qui contiennent des références à d'anciennes versions des dossiers ;</w:t>
      </w:r>
    </w:p>
    <w:p w:rsidR="004359B6" w:rsidRPr="004359B6" w:rsidRDefault="004359B6" w:rsidP="004359B6">
      <w:pPr>
        <w:keepNext/>
        <w:pBdr>
          <w:top w:val="nil"/>
          <w:left w:val="nil"/>
          <w:bottom w:val="nil"/>
          <w:right w:val="nil"/>
          <w:between w:val="nil"/>
          <w:bar w:val="nil"/>
        </w:pBdr>
        <w:spacing w:before="120" w:after="120"/>
        <w:ind w:left="864" w:hanging="864"/>
        <w:rPr>
          <w:b/>
          <w:snapToGrid w:val="0"/>
          <w:kern w:val="22"/>
          <w:szCs w:val="22"/>
          <w:lang w:val="fr-FR"/>
        </w:rPr>
      </w:pPr>
      <w:r w:rsidRPr="004359B6">
        <w:rPr>
          <w:b/>
          <w:snapToGrid w:val="0"/>
          <w:kern w:val="22"/>
          <w:szCs w:val="22"/>
          <w:lang w:val="fr-FR"/>
        </w:rPr>
        <w:t>Objectif n°4.</w:t>
      </w:r>
      <w:r w:rsidRPr="004359B6">
        <w:rPr>
          <w:b/>
          <w:snapToGrid w:val="0"/>
          <w:kern w:val="22"/>
          <w:szCs w:val="22"/>
          <w:lang w:val="fr-FR"/>
        </w:rPr>
        <w:tab/>
        <w:t xml:space="preserve">Intégration au </w:t>
      </w:r>
      <w:r w:rsidRPr="00E073BD">
        <w:rPr>
          <w:b/>
          <w:snapToGrid w:val="0"/>
          <w:kern w:val="22"/>
          <w:szCs w:val="22"/>
          <w:lang w:val="fr-FR"/>
        </w:rPr>
        <w:t>Centre</w:t>
      </w:r>
      <w:r w:rsidRPr="004359B6">
        <w:rPr>
          <w:b/>
          <w:snapToGrid w:val="0"/>
          <w:kern w:val="22"/>
          <w:szCs w:val="22"/>
          <w:lang w:val="fr-FR"/>
        </w:rPr>
        <w:t xml:space="preserve"> d'échange</w:t>
      </w:r>
    </w:p>
    <w:p w:rsidR="004359B6" w:rsidRPr="004359B6" w:rsidRDefault="004359B6" w:rsidP="004359B6">
      <w:pPr>
        <w:pBdr>
          <w:top w:val="nil"/>
          <w:left w:val="nil"/>
          <w:bottom w:val="nil"/>
          <w:right w:val="nil"/>
          <w:between w:val="nil"/>
          <w:bar w:val="nil"/>
        </w:pBdr>
        <w:tabs>
          <w:tab w:val="left" w:pos="1260"/>
        </w:tabs>
        <w:spacing w:before="120" w:after="120"/>
        <w:ind w:firstLine="720"/>
        <w:rPr>
          <w:snapToGrid w:val="0"/>
          <w:kern w:val="22"/>
          <w:szCs w:val="22"/>
          <w:lang w:val="fr-FR"/>
        </w:rPr>
      </w:pPr>
      <w:r w:rsidRPr="004359B6">
        <w:rPr>
          <w:snapToGrid w:val="0"/>
          <w:color w:val="000000"/>
          <w:kern w:val="22"/>
          <w:szCs w:val="22"/>
          <w:lang w:val="fr-FR"/>
        </w:rPr>
        <w:t>a)</w:t>
      </w:r>
      <w:r w:rsidRPr="004359B6">
        <w:rPr>
          <w:snapToGrid w:val="0"/>
          <w:color w:val="000000"/>
          <w:kern w:val="22"/>
          <w:szCs w:val="22"/>
          <w:lang w:val="fr-FR"/>
        </w:rPr>
        <w:tab/>
      </w:r>
      <w:r w:rsidRPr="004359B6">
        <w:rPr>
          <w:snapToGrid w:val="0"/>
          <w:kern w:val="22"/>
          <w:szCs w:val="22"/>
          <w:lang w:val="fr-FR"/>
        </w:rPr>
        <w:t>Continuer à soutenir la mise en œuvre de la stratégie Web de la CDB ;</w:t>
      </w:r>
    </w:p>
    <w:p w:rsidR="004359B6" w:rsidRPr="004359B6" w:rsidRDefault="00776372" w:rsidP="00776372">
      <w:pPr>
        <w:keepNext/>
        <w:pBdr>
          <w:top w:val="nil"/>
          <w:left w:val="nil"/>
          <w:bottom w:val="nil"/>
          <w:right w:val="nil"/>
          <w:between w:val="nil"/>
          <w:bar w:val="nil"/>
        </w:pBdr>
        <w:tabs>
          <w:tab w:val="left" w:pos="1260"/>
        </w:tabs>
        <w:spacing w:before="120" w:after="120"/>
        <w:ind w:firstLine="720"/>
        <w:rPr>
          <w:rFonts w:eastAsia="Arial Unicode MS"/>
          <w:i/>
          <w:snapToGrid w:val="0"/>
          <w:kern w:val="22"/>
          <w:szCs w:val="22"/>
          <w:u w:color="000000"/>
          <w:bdr w:val="nil"/>
          <w:lang w:val="fr-FR"/>
        </w:rPr>
      </w:pPr>
      <w:r>
        <w:rPr>
          <w:snapToGrid w:val="0"/>
          <w:color w:val="000000"/>
          <w:kern w:val="22"/>
          <w:szCs w:val="22"/>
          <w:lang w:val="fr-FR"/>
        </w:rPr>
        <w:t>b)</w:t>
      </w:r>
      <w:r>
        <w:rPr>
          <w:snapToGrid w:val="0"/>
          <w:color w:val="000000"/>
          <w:kern w:val="22"/>
          <w:szCs w:val="22"/>
          <w:lang w:val="fr-FR"/>
        </w:rPr>
        <w:tab/>
      </w:r>
      <w:r w:rsidR="004359B6" w:rsidRPr="004359B6">
        <w:rPr>
          <w:snapToGrid w:val="0"/>
          <w:kern w:val="22"/>
          <w:szCs w:val="22"/>
          <w:lang w:val="fr-FR"/>
        </w:rPr>
        <w:t xml:space="preserve">Appuyer l'intégration du </w:t>
      </w:r>
      <w:r w:rsidR="004359B6" w:rsidRPr="00E073BD">
        <w:rPr>
          <w:snapToGrid w:val="0"/>
          <w:kern w:val="22"/>
          <w:szCs w:val="22"/>
          <w:lang w:val="fr-FR"/>
        </w:rPr>
        <w:t>Centre</w:t>
      </w:r>
      <w:r w:rsidR="004359B6" w:rsidRPr="004359B6">
        <w:rPr>
          <w:snapToGrid w:val="0"/>
          <w:kern w:val="22"/>
          <w:szCs w:val="22"/>
          <w:lang w:val="fr-FR"/>
        </w:rPr>
        <w:t xml:space="preserve"> d'échange principal de la Convention et du Centre d'échange pour la prévention des risques biotechnologiques avec le Centre d'échange sur l'accès et le partage des avantages sous une plateforme unique afin d'assurer une approche coordonnée du développement du Web et des infrastructures informatiques connexes.</w:t>
      </w:r>
    </w:p>
    <w:p w:rsidR="00A725CF" w:rsidRPr="00E073BD" w:rsidRDefault="00A725CF" w:rsidP="00820A4F">
      <w:pPr>
        <w:pBdr>
          <w:top w:val="nil"/>
          <w:left w:val="nil"/>
          <w:bottom w:val="nil"/>
          <w:right w:val="nil"/>
          <w:between w:val="nil"/>
          <w:bar w:val="nil"/>
        </w:pBdr>
        <w:tabs>
          <w:tab w:val="left" w:pos="1260"/>
        </w:tabs>
        <w:spacing w:before="120" w:after="120"/>
        <w:ind w:firstLine="720"/>
        <w:rPr>
          <w:snapToGrid w:val="0"/>
          <w:kern w:val="22"/>
          <w:szCs w:val="22"/>
          <w:lang w:val="fr-CA"/>
        </w:rPr>
      </w:pPr>
      <w:r w:rsidRPr="00E073BD">
        <w:rPr>
          <w:snapToGrid w:val="0"/>
          <w:kern w:val="22"/>
          <w:szCs w:val="22"/>
          <w:lang w:val="fr-CA"/>
        </w:rPr>
        <w:t>.</w:t>
      </w:r>
    </w:p>
    <w:p w:rsidR="00A725CF" w:rsidRPr="009E77BE" w:rsidRDefault="00A725CF" w:rsidP="00820A4F">
      <w:pPr>
        <w:rPr>
          <w:kern w:val="22"/>
          <w:szCs w:val="22"/>
          <w:lang w:val="fr-CA"/>
        </w:rPr>
      </w:pPr>
    </w:p>
    <w:p w:rsidR="00B3369F" w:rsidRPr="009E77BE" w:rsidRDefault="00DD2DE5" w:rsidP="00742858">
      <w:pPr>
        <w:jc w:val="center"/>
        <w:rPr>
          <w:kern w:val="22"/>
          <w:lang w:val="fr-CA"/>
        </w:rPr>
      </w:pPr>
      <w:bookmarkStart w:id="1" w:name="_GoBack"/>
      <w:bookmarkEnd w:id="1"/>
      <w:r w:rsidRPr="009E77BE">
        <w:rPr>
          <w:kern w:val="22"/>
          <w:szCs w:val="22"/>
          <w:lang w:val="fr-CA"/>
        </w:rPr>
        <w:t>__________</w:t>
      </w:r>
    </w:p>
    <w:sectPr w:rsidR="00B3369F" w:rsidRPr="009E77BE" w:rsidSect="007B078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9BA" w:rsidRDefault="000459BA" w:rsidP="00CF1848">
      <w:r>
        <w:separator/>
      </w:r>
    </w:p>
  </w:endnote>
  <w:endnote w:type="continuationSeparator" w:id="0">
    <w:p w:rsidR="000459BA" w:rsidRDefault="000459B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9BA" w:rsidRDefault="000459BA" w:rsidP="00CF1848">
      <w:r>
        <w:separator/>
      </w:r>
    </w:p>
  </w:footnote>
  <w:footnote w:type="continuationSeparator" w:id="0">
    <w:p w:rsidR="000459BA" w:rsidRDefault="000459BA" w:rsidP="00CF1848">
      <w:r>
        <w:continuationSeparator/>
      </w:r>
    </w:p>
  </w:footnote>
  <w:footnote w:id="1">
    <w:p w:rsidR="004359B6" w:rsidRPr="00312199" w:rsidRDefault="004359B6" w:rsidP="004359B6">
      <w:pPr>
        <w:pStyle w:val="Notedebasdepage"/>
        <w:ind w:firstLine="0"/>
        <w:rPr>
          <w:szCs w:val="18"/>
          <w:lang w:val="fr-FR"/>
        </w:rPr>
      </w:pPr>
      <w:r w:rsidRPr="00312199">
        <w:rPr>
          <w:rStyle w:val="Appelnotedebasdep"/>
          <w:rFonts w:eastAsiaTheme="majorEastAsia"/>
          <w:szCs w:val="18"/>
          <w:lang w:val="fr-FR"/>
        </w:rPr>
        <w:footnoteRef/>
      </w:r>
      <w:r w:rsidRPr="00312199">
        <w:rPr>
          <w:szCs w:val="18"/>
          <w:lang w:val="fr-FR"/>
        </w:rPr>
        <w:t xml:space="preserve"> </w:t>
      </w:r>
      <w:r w:rsidR="00E073BD">
        <w:rPr>
          <w:szCs w:val="18"/>
          <w:lang w:val="fr-FR"/>
        </w:rPr>
        <w:t xml:space="preserve">Voir </w:t>
      </w:r>
      <w:r w:rsidRPr="00312199">
        <w:rPr>
          <w:szCs w:val="18"/>
          <w:lang w:val="fr-FR"/>
        </w:rPr>
        <w:t>CBD/</w:t>
      </w:r>
      <w:proofErr w:type="spellStart"/>
      <w:r w:rsidRPr="00312199">
        <w:rPr>
          <w:szCs w:val="18"/>
          <w:lang w:val="fr-FR"/>
        </w:rPr>
        <w:t>NP</w:t>
      </w:r>
      <w:proofErr w:type="spellEnd"/>
      <w:r w:rsidRPr="00312199">
        <w:rPr>
          <w:szCs w:val="18"/>
          <w:lang w:val="fr-FR"/>
        </w:rPr>
        <w:t>/</w:t>
      </w:r>
      <w:proofErr w:type="spellStart"/>
      <w:r w:rsidRPr="00312199">
        <w:rPr>
          <w:szCs w:val="18"/>
          <w:lang w:val="fr-FR"/>
        </w:rPr>
        <w:t>MOP</w:t>
      </w:r>
      <w:proofErr w:type="spellEnd"/>
      <w:r w:rsidRPr="00312199">
        <w:rPr>
          <w:szCs w:val="18"/>
          <w:lang w:val="fr-FR"/>
        </w:rPr>
        <w:t>/3/8.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C81D9D" w:rsidRDefault="00B8695A" w:rsidP="009B0CB8">
        <w:pPr>
          <w:pStyle w:val="En-tte"/>
          <w:tabs>
            <w:tab w:val="clear" w:pos="4320"/>
            <w:tab w:val="clear" w:pos="8640"/>
          </w:tabs>
          <w:jc w:val="left"/>
          <w:rPr>
            <w:noProof/>
            <w:kern w:val="22"/>
            <w:lang w:val="fr-FR"/>
          </w:rPr>
        </w:pPr>
        <w:r w:rsidRPr="00C81D9D">
          <w:rPr>
            <w:noProof/>
            <w:kern w:val="22"/>
            <w:lang w:val="fr-FR"/>
          </w:rPr>
          <w:t>CBD/NP/MOP/DEC/3/3</w:t>
        </w:r>
      </w:p>
    </w:sdtContent>
  </w:sdt>
  <w:p w:rsidR="00534681" w:rsidRPr="00C81D9D" w:rsidRDefault="00534681" w:rsidP="009B0CB8">
    <w:pPr>
      <w:pStyle w:val="En-tte"/>
      <w:tabs>
        <w:tab w:val="clear" w:pos="4320"/>
        <w:tab w:val="clear" w:pos="8640"/>
      </w:tabs>
      <w:jc w:val="left"/>
      <w:rPr>
        <w:noProof/>
        <w:kern w:val="22"/>
        <w:lang w:val="fr-FR"/>
      </w:rPr>
    </w:pPr>
    <w:r w:rsidRPr="00C81D9D">
      <w:rPr>
        <w:noProof/>
        <w:kern w:val="22"/>
        <w:lang w:val="fr-FR"/>
      </w:rPr>
      <w:t xml:space="preserve">Page </w:t>
    </w:r>
    <w:r w:rsidRPr="009B0CB8">
      <w:rPr>
        <w:noProof/>
        <w:kern w:val="22"/>
      </w:rPr>
      <w:fldChar w:fldCharType="begin"/>
    </w:r>
    <w:r w:rsidRPr="00C81D9D">
      <w:rPr>
        <w:noProof/>
        <w:kern w:val="22"/>
        <w:lang w:val="fr-FR"/>
      </w:rPr>
      <w:instrText xml:space="preserve"> PAGE   \* MERGEFORMAT </w:instrText>
    </w:r>
    <w:r w:rsidRPr="009B0CB8">
      <w:rPr>
        <w:noProof/>
        <w:kern w:val="22"/>
      </w:rPr>
      <w:fldChar w:fldCharType="separate"/>
    </w:r>
    <w:r w:rsidR="00776372">
      <w:rPr>
        <w:noProof/>
        <w:kern w:val="22"/>
        <w:lang w:val="fr-FR"/>
      </w:rPr>
      <w:t>4</w:t>
    </w:r>
    <w:r w:rsidRPr="009B0CB8">
      <w:rPr>
        <w:noProof/>
        <w:kern w:val="22"/>
      </w:rPr>
      <w:fldChar w:fldCharType="end"/>
    </w:r>
  </w:p>
  <w:p w:rsidR="00534681" w:rsidRPr="00C81D9D" w:rsidRDefault="00534681" w:rsidP="009B0CB8">
    <w:pPr>
      <w:pStyle w:val="En-tte"/>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C81D9D" w:rsidRDefault="00B8695A" w:rsidP="009B0CB8">
        <w:pPr>
          <w:pStyle w:val="En-tte"/>
          <w:tabs>
            <w:tab w:val="clear" w:pos="4320"/>
            <w:tab w:val="clear" w:pos="8640"/>
          </w:tabs>
          <w:jc w:val="right"/>
          <w:rPr>
            <w:noProof/>
            <w:kern w:val="22"/>
            <w:lang w:val="fr-FR"/>
          </w:rPr>
        </w:pPr>
        <w:r w:rsidRPr="00C81D9D">
          <w:rPr>
            <w:noProof/>
            <w:kern w:val="22"/>
            <w:lang w:val="fr-FR"/>
          </w:rPr>
          <w:t>CBD/NP/MOP/DEC/3/3</w:t>
        </w:r>
      </w:p>
    </w:sdtContent>
  </w:sdt>
  <w:p w:rsidR="009505C9" w:rsidRPr="00C81D9D" w:rsidRDefault="009505C9" w:rsidP="009B0CB8">
    <w:pPr>
      <w:pStyle w:val="En-tte"/>
      <w:tabs>
        <w:tab w:val="clear" w:pos="4320"/>
        <w:tab w:val="clear" w:pos="8640"/>
      </w:tabs>
      <w:jc w:val="right"/>
      <w:rPr>
        <w:noProof/>
        <w:kern w:val="22"/>
        <w:lang w:val="fr-FR"/>
      </w:rPr>
    </w:pPr>
    <w:r w:rsidRPr="00C81D9D">
      <w:rPr>
        <w:noProof/>
        <w:kern w:val="22"/>
        <w:lang w:val="fr-FR"/>
      </w:rPr>
      <w:t xml:space="preserve">Page </w:t>
    </w:r>
    <w:r w:rsidRPr="009B0CB8">
      <w:rPr>
        <w:noProof/>
        <w:kern w:val="22"/>
      </w:rPr>
      <w:fldChar w:fldCharType="begin"/>
    </w:r>
    <w:r w:rsidRPr="00C81D9D">
      <w:rPr>
        <w:noProof/>
        <w:kern w:val="22"/>
        <w:lang w:val="fr-FR"/>
      </w:rPr>
      <w:instrText xml:space="preserve"> PAGE   \* MERGEFORMAT </w:instrText>
    </w:r>
    <w:r w:rsidRPr="009B0CB8">
      <w:rPr>
        <w:noProof/>
        <w:kern w:val="22"/>
      </w:rPr>
      <w:fldChar w:fldCharType="separate"/>
    </w:r>
    <w:r w:rsidR="00776372">
      <w:rPr>
        <w:noProof/>
        <w:kern w:val="22"/>
        <w:lang w:val="fr-FR"/>
      </w:rPr>
      <w:t>3</w:t>
    </w:r>
    <w:r w:rsidRPr="009B0CB8">
      <w:rPr>
        <w:noProof/>
        <w:kern w:val="22"/>
      </w:rPr>
      <w:fldChar w:fldCharType="end"/>
    </w:r>
  </w:p>
  <w:p w:rsidR="009505C9" w:rsidRPr="00C81D9D" w:rsidRDefault="009505C9" w:rsidP="009B0CB8">
    <w:pPr>
      <w:pStyle w:val="En-tte"/>
      <w:tabs>
        <w:tab w:val="clear" w:pos="4320"/>
        <w:tab w:val="clear" w:pos="8640"/>
      </w:tabs>
      <w:jc w:val="right"/>
      <w:rPr>
        <w:noProof/>
        <w:kern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0" w:nlCheck="1" w:checkStyle="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7CB3"/>
    <w:rsid w:val="00012319"/>
    <w:rsid w:val="000459BA"/>
    <w:rsid w:val="000A5FB9"/>
    <w:rsid w:val="000D4C6E"/>
    <w:rsid w:val="000E673A"/>
    <w:rsid w:val="000F4914"/>
    <w:rsid w:val="000F59AE"/>
    <w:rsid w:val="000F74F5"/>
    <w:rsid w:val="00105372"/>
    <w:rsid w:val="00113C53"/>
    <w:rsid w:val="00131E7A"/>
    <w:rsid w:val="001712DA"/>
    <w:rsid w:val="00172AF6"/>
    <w:rsid w:val="00176CEE"/>
    <w:rsid w:val="00186DD8"/>
    <w:rsid w:val="00193BA3"/>
    <w:rsid w:val="00221E73"/>
    <w:rsid w:val="00273079"/>
    <w:rsid w:val="002A675D"/>
    <w:rsid w:val="002B245A"/>
    <w:rsid w:val="002D48EB"/>
    <w:rsid w:val="0030209B"/>
    <w:rsid w:val="00372F74"/>
    <w:rsid w:val="003D5698"/>
    <w:rsid w:val="003D6DF7"/>
    <w:rsid w:val="003F7224"/>
    <w:rsid w:val="00427D21"/>
    <w:rsid w:val="00431164"/>
    <w:rsid w:val="004359B6"/>
    <w:rsid w:val="004644C2"/>
    <w:rsid w:val="00466AB3"/>
    <w:rsid w:val="00467F9C"/>
    <w:rsid w:val="0047087A"/>
    <w:rsid w:val="004A504A"/>
    <w:rsid w:val="0050493B"/>
    <w:rsid w:val="00533D7A"/>
    <w:rsid w:val="00534681"/>
    <w:rsid w:val="00536867"/>
    <w:rsid w:val="006122BA"/>
    <w:rsid w:val="00614952"/>
    <w:rsid w:val="00621BA5"/>
    <w:rsid w:val="00664A88"/>
    <w:rsid w:val="00681150"/>
    <w:rsid w:val="0068672C"/>
    <w:rsid w:val="006B2290"/>
    <w:rsid w:val="006E35B7"/>
    <w:rsid w:val="00717D88"/>
    <w:rsid w:val="00742858"/>
    <w:rsid w:val="00745D12"/>
    <w:rsid w:val="00776372"/>
    <w:rsid w:val="007942D3"/>
    <w:rsid w:val="007B078D"/>
    <w:rsid w:val="007B6C09"/>
    <w:rsid w:val="007E09DA"/>
    <w:rsid w:val="008178B6"/>
    <w:rsid w:val="00822E25"/>
    <w:rsid w:val="00865B74"/>
    <w:rsid w:val="008A31C9"/>
    <w:rsid w:val="008C068E"/>
    <w:rsid w:val="008D3740"/>
    <w:rsid w:val="008E3488"/>
    <w:rsid w:val="00900DEC"/>
    <w:rsid w:val="00917A5E"/>
    <w:rsid w:val="00924D0B"/>
    <w:rsid w:val="00930BA1"/>
    <w:rsid w:val="0093169E"/>
    <w:rsid w:val="009505C9"/>
    <w:rsid w:val="00954F7F"/>
    <w:rsid w:val="00970E3C"/>
    <w:rsid w:val="00975523"/>
    <w:rsid w:val="009B0CB8"/>
    <w:rsid w:val="009E77BE"/>
    <w:rsid w:val="009F213D"/>
    <w:rsid w:val="00A03E60"/>
    <w:rsid w:val="00A313BF"/>
    <w:rsid w:val="00A50AC7"/>
    <w:rsid w:val="00A725CF"/>
    <w:rsid w:val="00A83C08"/>
    <w:rsid w:val="00AB0B62"/>
    <w:rsid w:val="00AB6884"/>
    <w:rsid w:val="00AC3393"/>
    <w:rsid w:val="00AD22A8"/>
    <w:rsid w:val="00AE7D82"/>
    <w:rsid w:val="00B171B6"/>
    <w:rsid w:val="00B3369F"/>
    <w:rsid w:val="00B52B56"/>
    <w:rsid w:val="00B8695A"/>
    <w:rsid w:val="00BA479D"/>
    <w:rsid w:val="00BE4429"/>
    <w:rsid w:val="00C34937"/>
    <w:rsid w:val="00C443BD"/>
    <w:rsid w:val="00C73E7E"/>
    <w:rsid w:val="00C81D9D"/>
    <w:rsid w:val="00C9161D"/>
    <w:rsid w:val="00CA79DF"/>
    <w:rsid w:val="00CF1848"/>
    <w:rsid w:val="00D00AEA"/>
    <w:rsid w:val="00D12044"/>
    <w:rsid w:val="00D51365"/>
    <w:rsid w:val="00D7081C"/>
    <w:rsid w:val="00D76A18"/>
    <w:rsid w:val="00DB5AA8"/>
    <w:rsid w:val="00DC3A07"/>
    <w:rsid w:val="00DD113B"/>
    <w:rsid w:val="00DD118C"/>
    <w:rsid w:val="00DD2DE5"/>
    <w:rsid w:val="00DE0328"/>
    <w:rsid w:val="00DE6C89"/>
    <w:rsid w:val="00E073BD"/>
    <w:rsid w:val="00E25895"/>
    <w:rsid w:val="00E6555B"/>
    <w:rsid w:val="00E66235"/>
    <w:rsid w:val="00E83C24"/>
    <w:rsid w:val="00E87BD5"/>
    <w:rsid w:val="00E9318D"/>
    <w:rsid w:val="00EC35FF"/>
    <w:rsid w:val="00ED72FA"/>
    <w:rsid w:val="00F02950"/>
    <w:rsid w:val="00F47C3A"/>
    <w:rsid w:val="00F6586C"/>
    <w:rsid w:val="00F84551"/>
    <w:rsid w:val="00F94774"/>
    <w:rsid w:val="00FC2AD0"/>
    <w:rsid w:val="00FC53DB"/>
    <w:rsid w:val="00FD16A3"/>
    <w:rsid w:val="00FD2CE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styleId="Sansinterligne">
    <w:name w:val="No Spacing"/>
    <w:link w:val="SansinterligneCar"/>
    <w:uiPriority w:val="1"/>
    <w:qFormat/>
    <w:rsid w:val="00273079"/>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4A504A"/>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BE4429"/>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BE442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1/np-mop-01-dec-02-f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edelespacerserv"/>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FCFBB4AD6B4743009C538F98CA314449"/>
        <w:category>
          <w:name w:val="General"/>
          <w:gallery w:val="placeholder"/>
        </w:category>
        <w:types>
          <w:type w:val="bbPlcHdr"/>
        </w:types>
        <w:behaviors>
          <w:behavior w:val="content"/>
        </w:behaviors>
        <w:guid w:val="{7BF787F8-22DC-46D5-98E2-039C0F091C19}"/>
      </w:docPartPr>
      <w:docPartBody>
        <w:p w:rsidR="005B7414" w:rsidRDefault="004C6590" w:rsidP="004C6590">
          <w:pPr>
            <w:pStyle w:val="FCFBB4AD6B4743009C538F98CA314449"/>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330363"/>
    <w:rsid w:val="00354E5F"/>
    <w:rsid w:val="004C6590"/>
    <w:rsid w:val="00500A2B"/>
    <w:rsid w:val="0058288D"/>
    <w:rsid w:val="005B7414"/>
    <w:rsid w:val="006801B3"/>
    <w:rsid w:val="00810A55"/>
    <w:rsid w:val="008C6619"/>
    <w:rsid w:val="008D420E"/>
    <w:rsid w:val="00956852"/>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54E5F"/>
    <w:rPr>
      <w:color w:val="808080"/>
    </w:rPr>
  </w:style>
  <w:style w:type="paragraph" w:customStyle="1" w:styleId="FCFBB4AD6B4743009C538F98CA314449">
    <w:name w:val="FCFBB4AD6B4743009C538F98CA314449"/>
    <w:rsid w:val="004C6590"/>
    <w:pPr>
      <w:spacing w:after="160" w:line="259" w:lineRule="auto"/>
    </w:pPr>
  </w:style>
  <w:style w:type="paragraph" w:customStyle="1" w:styleId="EF99C62EC93E4F8DAD63DE791E434D8C">
    <w:name w:val="EF99C62EC93E4F8DAD63DE791E434D8C"/>
    <w:rsid w:val="00354E5F"/>
    <w:pPr>
      <w:spacing w:after="160" w:line="259" w:lineRule="auto"/>
    </w:pPr>
    <w:rPr>
      <w:lang w:val="en-CA" w:eastAsia="en-CA"/>
    </w:rPr>
  </w:style>
  <w:style w:type="paragraph" w:customStyle="1" w:styleId="37EA1D7971534AC5B95EA97602CF9D06">
    <w:name w:val="37EA1D7971534AC5B95EA97602CF9D06"/>
    <w:rsid w:val="00354E5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B46AC3-49C3-434A-82CE-8D2D37D6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1595</Words>
  <Characters>8778</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3/3.	The Access and Benefit-sharing Clearing-House and information sharing (Article 14)</vt:lpstr>
      <vt:lpstr>3/3.	The Access and Benefit-sharing Clearing-House and information sharing (Article 14)</vt:lpstr>
    </vt:vector>
  </TitlesOfParts>
  <Company>SCBD</Company>
  <LinksUpToDate>false</LinksUpToDate>
  <CharactersWithSpaces>10353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	Le Centre d’échange sur l’accès et le partage des avantages et l’échange d’information (article 14)</dc:title>
  <dc:subject>CBD/NP/MOP/DEC/3/3</dc:subject>
  <dc:creator>NP MOP 3</dc:creator>
  <cp:keywords>The Access and Benefit-sharing Clearing-House and information-sharing, Nagoya Protocol on Access and Benefit-sharing (Article 14), Convention on Biological Diversity</cp:keywords>
  <cp:lastModifiedBy>Louise</cp:lastModifiedBy>
  <cp:revision>3</cp:revision>
  <dcterms:created xsi:type="dcterms:W3CDTF">2019-02-06T15:10:00Z</dcterms:created>
  <dcterms:modified xsi:type="dcterms:W3CDTF">2019-02-06T15:48:00Z</dcterms:modified>
  <cp:contentStatus>GÉNÉRALE</cp:contentStatus>
</cp:coreProperties>
</file>