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AB5E35" w:rsidRPr="00A9106C" w:rsidTr="006D7473">
        <w:trPr>
          <w:trHeight w:val="709"/>
        </w:trPr>
        <w:tc>
          <w:tcPr>
            <w:tcW w:w="977" w:type="dxa"/>
            <w:tcBorders>
              <w:bottom w:val="single" w:sz="12" w:space="0" w:color="auto"/>
            </w:tcBorders>
          </w:tcPr>
          <w:p w:rsidR="00AB5E35" w:rsidRPr="00A9106C" w:rsidRDefault="00AB5E35" w:rsidP="00A9106C">
            <w:pPr>
              <w:suppressLineNumbers/>
              <w:suppressAutoHyphens/>
              <w:rPr>
                <w:kern w:val="22"/>
              </w:rPr>
            </w:pPr>
            <w:bookmarkStart w:id="0" w:name="_Hlk532291424"/>
            <w:r w:rsidRPr="00A9106C">
              <w:rPr>
                <w:noProof/>
                <w:kern w:val="22"/>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AB5E35" w:rsidRPr="00A9106C" w:rsidRDefault="00AB5E35" w:rsidP="00A9106C">
            <w:pPr>
              <w:suppressLineNumbers/>
              <w:suppressAutoHyphens/>
              <w:rPr>
                <w:kern w:val="22"/>
              </w:rPr>
            </w:pPr>
            <w:r w:rsidRPr="00A9106C">
              <w:rPr>
                <w:noProof/>
                <w:kern w:val="22"/>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AB5E35" w:rsidRPr="00A9106C" w:rsidRDefault="00AB5E35" w:rsidP="00A9106C">
            <w:pPr>
              <w:suppressLineNumbers/>
              <w:suppressAutoHyphens/>
              <w:jc w:val="right"/>
              <w:rPr>
                <w:rFonts w:ascii="Arial" w:hAnsi="Arial" w:cs="Arial"/>
                <w:b/>
                <w:kern w:val="22"/>
                <w:sz w:val="32"/>
                <w:szCs w:val="32"/>
              </w:rPr>
            </w:pPr>
            <w:r w:rsidRPr="00A9106C">
              <w:rPr>
                <w:rFonts w:ascii="Arial" w:hAnsi="Arial" w:cs="Arial"/>
                <w:b/>
                <w:kern w:val="22"/>
                <w:sz w:val="32"/>
                <w:szCs w:val="32"/>
              </w:rPr>
              <w:t>CBD</w:t>
            </w:r>
          </w:p>
        </w:tc>
      </w:tr>
      <w:tr w:rsidR="00AB5E35" w:rsidRPr="00667DF2" w:rsidTr="00AB5E35">
        <w:tc>
          <w:tcPr>
            <w:tcW w:w="6117" w:type="dxa"/>
            <w:gridSpan w:val="2"/>
            <w:tcBorders>
              <w:top w:val="single" w:sz="12" w:space="0" w:color="auto"/>
              <w:bottom w:val="single" w:sz="36" w:space="0" w:color="auto"/>
            </w:tcBorders>
            <w:vAlign w:val="center"/>
          </w:tcPr>
          <w:p w:rsidR="00AB5E35" w:rsidRPr="00A9106C" w:rsidRDefault="007D7467" w:rsidP="00A9106C">
            <w:pPr>
              <w:suppressLineNumbers/>
              <w:suppressAutoHyphens/>
              <w:rPr>
                <w:kern w:val="22"/>
              </w:rPr>
            </w:pPr>
            <w:r>
              <w:rPr>
                <w:noProof/>
                <w:kern w:val="22"/>
                <w:lang w:val="es-ES" w:eastAsia="es-ES"/>
              </w:rPr>
              <w:drawing>
                <wp:inline distT="0" distB="0" distL="0" distR="0">
                  <wp:extent cx="2867025" cy="1057275"/>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867025" cy="105727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AB5E35" w:rsidRPr="00A9106C" w:rsidRDefault="00AB5E35" w:rsidP="00A9106C">
            <w:pPr>
              <w:suppressLineNumbers/>
              <w:suppressAutoHyphens/>
              <w:ind w:left="1215"/>
              <w:jc w:val="left"/>
              <w:rPr>
                <w:kern w:val="22"/>
              </w:rPr>
            </w:pPr>
            <w:r w:rsidRPr="00A9106C">
              <w:rPr>
                <w:kern w:val="22"/>
              </w:rPr>
              <w:t>Distr.</w:t>
            </w:r>
          </w:p>
          <w:p w:rsidR="00AB5E35" w:rsidRPr="00A9106C" w:rsidRDefault="008B729E" w:rsidP="00A9106C">
            <w:pPr>
              <w:suppressLineNumbers/>
              <w:suppressAutoHyphens/>
              <w:ind w:left="1215"/>
              <w:jc w:val="left"/>
              <w:rPr>
                <w:kern w:val="22"/>
              </w:rPr>
            </w:pPr>
            <w:sdt>
              <w:sdtPr>
                <w:rPr>
                  <w:kern w:val="22"/>
                </w:rPr>
                <w:alias w:val="Status"/>
                <w:tag w:val=""/>
                <w:id w:val="307985777"/>
                <w:placeholder>
                  <w:docPart w:val="CCAA5FC3BCD24FAB86B3D44B91E65003"/>
                </w:placeholder>
                <w:dataBinding w:prefixMappings="xmlns:ns0='http://purl.org/dc/elements/1.1/' xmlns:ns1='http://schemas.openxmlformats.org/package/2006/metadata/core-properties' " w:xpath="/ns1:coreProperties[1]/ns1:contentStatus[1]" w:storeItemID="{6C3C8BC8-F283-45AE-878A-BAB7291924A1}"/>
                <w:text/>
              </w:sdtPr>
              <w:sdtContent>
                <w:r w:rsidR="00031F4E" w:rsidRPr="00A9106C">
                  <w:rPr>
                    <w:kern w:val="22"/>
                  </w:rPr>
                  <w:t>GENERAL</w:t>
                </w:r>
              </w:sdtContent>
            </w:sdt>
          </w:p>
          <w:p w:rsidR="00AB5E35" w:rsidRPr="00A9106C" w:rsidRDefault="00AB5E35" w:rsidP="00A9106C">
            <w:pPr>
              <w:suppressLineNumbers/>
              <w:suppressAutoHyphens/>
              <w:ind w:left="1215"/>
              <w:jc w:val="left"/>
              <w:rPr>
                <w:kern w:val="22"/>
              </w:rPr>
            </w:pPr>
          </w:p>
          <w:p w:rsidR="00AB5E35" w:rsidRPr="00A9106C" w:rsidRDefault="008B729E" w:rsidP="00A9106C">
            <w:pPr>
              <w:suppressLineNumbers/>
              <w:suppressAutoHyphens/>
              <w:ind w:left="1215"/>
              <w:jc w:val="left"/>
              <w:rPr>
                <w:kern w:val="22"/>
              </w:rPr>
            </w:pPr>
            <w:sdt>
              <w:sdtPr>
                <w:rPr>
                  <w:kern w:val="22"/>
                </w:rPr>
                <w:alias w:val="Subject"/>
                <w:tag w:val=""/>
                <w:id w:val="2137136483"/>
                <w:placeholder>
                  <w:docPart w:val="B8D04D9641D74F4DBE59E781E854DC4E"/>
                </w:placeholder>
                <w:dataBinding w:prefixMappings="xmlns:ns0='http://purl.org/dc/elements/1.1/' xmlns:ns1='http://schemas.openxmlformats.org/package/2006/metadata/core-properties' " w:xpath="/ns1:coreProperties[1]/ns0:subject[1]" w:storeItemID="{6C3C8BC8-F283-45AE-878A-BAB7291924A1}"/>
                <w:text/>
              </w:sdtPr>
              <w:sdtContent>
                <w:r w:rsidR="00DB5713" w:rsidRPr="00A9106C">
                  <w:rPr>
                    <w:kern w:val="22"/>
                  </w:rPr>
                  <w:t>CBD/NP/</w:t>
                </w:r>
                <w:r w:rsidR="00031F4E" w:rsidRPr="00A9106C">
                  <w:rPr>
                    <w:kern w:val="22"/>
                  </w:rPr>
                  <w:t>MOP/DEC/3/4</w:t>
                </w:r>
              </w:sdtContent>
            </w:sdt>
          </w:p>
          <w:p w:rsidR="00AB5E35" w:rsidRPr="00667DF2" w:rsidRDefault="00031F4E" w:rsidP="00A9106C">
            <w:pPr>
              <w:suppressLineNumbers/>
              <w:suppressAutoHyphens/>
              <w:ind w:left="1215"/>
              <w:jc w:val="left"/>
              <w:rPr>
                <w:kern w:val="22"/>
                <w:lang w:val="es-ES"/>
              </w:rPr>
            </w:pPr>
            <w:r w:rsidRPr="00667DF2">
              <w:rPr>
                <w:kern w:val="22"/>
                <w:lang w:val="es-ES"/>
              </w:rPr>
              <w:t xml:space="preserve">30 </w:t>
            </w:r>
            <w:r w:rsidR="007D7467" w:rsidRPr="00667DF2">
              <w:rPr>
                <w:kern w:val="22"/>
                <w:lang w:val="es-ES"/>
              </w:rPr>
              <w:t xml:space="preserve">de noviembre de </w:t>
            </w:r>
            <w:r w:rsidR="00AB5E35" w:rsidRPr="00667DF2">
              <w:rPr>
                <w:kern w:val="22"/>
                <w:lang w:val="es-ES"/>
              </w:rPr>
              <w:t>2018</w:t>
            </w:r>
          </w:p>
          <w:p w:rsidR="00AB5E35" w:rsidRPr="00667DF2" w:rsidRDefault="00AB5E35" w:rsidP="00A9106C">
            <w:pPr>
              <w:suppressLineNumbers/>
              <w:suppressAutoHyphens/>
              <w:ind w:left="1215"/>
              <w:jc w:val="left"/>
              <w:rPr>
                <w:kern w:val="22"/>
                <w:lang w:val="es-ES"/>
              </w:rPr>
            </w:pPr>
          </w:p>
          <w:p w:rsidR="00667DF2" w:rsidRPr="00667DF2" w:rsidRDefault="00667DF2" w:rsidP="00A9106C">
            <w:pPr>
              <w:suppressLineNumbers/>
              <w:suppressAutoHyphens/>
              <w:ind w:left="1215"/>
              <w:jc w:val="left"/>
              <w:rPr>
                <w:kern w:val="22"/>
                <w:lang w:val="es-ES"/>
              </w:rPr>
            </w:pPr>
            <w:r w:rsidRPr="00667DF2">
              <w:rPr>
                <w:kern w:val="22"/>
                <w:lang w:val="es-ES"/>
              </w:rPr>
              <w:t>ESPAÑOL</w:t>
            </w:r>
          </w:p>
          <w:p w:rsidR="00AB5E35" w:rsidRPr="00667DF2" w:rsidRDefault="00AB5E35" w:rsidP="00A9106C">
            <w:pPr>
              <w:suppressLineNumbers/>
              <w:suppressAutoHyphens/>
              <w:ind w:left="1215"/>
              <w:jc w:val="left"/>
              <w:rPr>
                <w:kern w:val="22"/>
                <w:lang w:val="es-ES"/>
              </w:rPr>
            </w:pPr>
            <w:r w:rsidRPr="00667DF2">
              <w:rPr>
                <w:kern w:val="22"/>
                <w:lang w:val="es-ES"/>
              </w:rPr>
              <w:t xml:space="preserve">ORIGINAL: </w:t>
            </w:r>
            <w:r w:rsidR="00667DF2" w:rsidRPr="00667DF2">
              <w:rPr>
                <w:kern w:val="22"/>
                <w:lang w:val="es-ES"/>
              </w:rPr>
              <w:t>I</w:t>
            </w:r>
            <w:r w:rsidRPr="00667DF2">
              <w:rPr>
                <w:kern w:val="22"/>
                <w:lang w:val="es-ES"/>
              </w:rPr>
              <w:t>NGL</w:t>
            </w:r>
            <w:r w:rsidR="00667DF2" w:rsidRPr="00667DF2">
              <w:rPr>
                <w:kern w:val="22"/>
                <w:lang w:val="es-ES"/>
              </w:rPr>
              <w:t>ÉS</w:t>
            </w:r>
          </w:p>
          <w:p w:rsidR="00AB5E35" w:rsidRPr="00667DF2" w:rsidRDefault="00AB5E35" w:rsidP="00A9106C">
            <w:pPr>
              <w:suppressLineNumbers/>
              <w:suppressAutoHyphens/>
              <w:ind w:left="1215"/>
              <w:jc w:val="left"/>
              <w:rPr>
                <w:kern w:val="22"/>
                <w:lang w:val="es-ES"/>
              </w:rPr>
            </w:pPr>
          </w:p>
        </w:tc>
      </w:tr>
    </w:tbl>
    <w:bookmarkEnd w:id="0"/>
    <w:p w:rsidR="005345E1" w:rsidRPr="006D7473" w:rsidRDefault="006D7473" w:rsidP="003F0771">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es-ES"/>
        </w:rPr>
      </w:pPr>
      <w:r w:rsidRPr="001B5065">
        <w:rPr>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5345E1" w:rsidRPr="006D7473" w:rsidRDefault="006D7473" w:rsidP="005F5FBA">
      <w:pPr>
        <w:suppressLineNumbers/>
        <w:suppressAutoHyphens/>
        <w:kinsoku w:val="0"/>
        <w:overflowPunct w:val="0"/>
        <w:autoSpaceDE w:val="0"/>
        <w:autoSpaceDN w:val="0"/>
        <w:ind w:left="170" w:right="3119" w:hanging="170"/>
        <w:jc w:val="left"/>
        <w:rPr>
          <w:rFonts w:eastAsia="Batang"/>
          <w:snapToGrid w:val="0"/>
          <w:kern w:val="22"/>
          <w:szCs w:val="22"/>
          <w:lang w:val="es-ES"/>
        </w:rPr>
      </w:pPr>
      <w:r w:rsidRPr="006D7473">
        <w:rPr>
          <w:rFonts w:eastAsia="Batang"/>
          <w:snapToGrid w:val="0"/>
          <w:kern w:val="22"/>
          <w:szCs w:val="22"/>
          <w:lang w:val="es-ES"/>
        </w:rPr>
        <w:t>Tercera reunión</w:t>
      </w:r>
    </w:p>
    <w:p w:rsidR="006F1189" w:rsidRPr="006D7473" w:rsidRDefault="006F1189" w:rsidP="005F5FBA">
      <w:pPr>
        <w:suppressLineNumbers/>
        <w:suppressAutoHyphens/>
        <w:kinsoku w:val="0"/>
        <w:overflowPunct w:val="0"/>
        <w:autoSpaceDE w:val="0"/>
        <w:autoSpaceDN w:val="0"/>
        <w:rPr>
          <w:snapToGrid w:val="0"/>
          <w:kern w:val="22"/>
          <w:szCs w:val="22"/>
          <w:lang w:val="es-ES" w:eastAsia="nb-NO"/>
        </w:rPr>
      </w:pPr>
      <w:bookmarkStart w:id="1" w:name="_Hlk505863673"/>
      <w:r w:rsidRPr="006D7473">
        <w:rPr>
          <w:snapToGrid w:val="0"/>
          <w:kern w:val="22"/>
          <w:szCs w:val="22"/>
          <w:lang w:val="es-ES" w:eastAsia="nb-NO"/>
        </w:rPr>
        <w:t>Sharm El-Sheikh, Eg</w:t>
      </w:r>
      <w:r w:rsidR="006D7473" w:rsidRPr="006D7473">
        <w:rPr>
          <w:snapToGrid w:val="0"/>
          <w:kern w:val="22"/>
          <w:szCs w:val="22"/>
          <w:lang w:val="es-ES" w:eastAsia="nb-NO"/>
        </w:rPr>
        <w:t>ipto</w:t>
      </w:r>
      <w:bookmarkEnd w:id="1"/>
      <w:r w:rsidRPr="006D7473">
        <w:rPr>
          <w:snapToGrid w:val="0"/>
          <w:kern w:val="22"/>
          <w:szCs w:val="22"/>
          <w:lang w:val="es-ES" w:eastAsia="nb-NO"/>
        </w:rPr>
        <w:t>, 17</w:t>
      </w:r>
      <w:r w:rsidR="006D7473" w:rsidRPr="006D7473">
        <w:rPr>
          <w:snapToGrid w:val="0"/>
          <w:kern w:val="22"/>
          <w:szCs w:val="22"/>
          <w:lang w:val="es-ES" w:eastAsia="nb-NO"/>
        </w:rPr>
        <w:t xml:space="preserve"> a </w:t>
      </w:r>
      <w:r w:rsidRPr="006D7473">
        <w:rPr>
          <w:snapToGrid w:val="0"/>
          <w:kern w:val="22"/>
          <w:szCs w:val="22"/>
          <w:lang w:val="es-ES" w:eastAsia="nb-NO"/>
        </w:rPr>
        <w:t xml:space="preserve">29 </w:t>
      </w:r>
      <w:r w:rsidR="006D7473" w:rsidRPr="006D7473">
        <w:rPr>
          <w:snapToGrid w:val="0"/>
          <w:kern w:val="22"/>
          <w:szCs w:val="22"/>
          <w:lang w:val="es-ES" w:eastAsia="nb-NO"/>
        </w:rPr>
        <w:t>de noviembre de</w:t>
      </w:r>
      <w:r w:rsidRPr="006D7473">
        <w:rPr>
          <w:snapToGrid w:val="0"/>
          <w:kern w:val="22"/>
          <w:szCs w:val="22"/>
          <w:lang w:val="es-ES" w:eastAsia="nb-NO"/>
        </w:rPr>
        <w:t xml:space="preserve"> 2018</w:t>
      </w:r>
    </w:p>
    <w:p w:rsidR="00C9161D" w:rsidRPr="00667DF2" w:rsidRDefault="006D7473" w:rsidP="00A9106C">
      <w:pPr>
        <w:suppressLineNumbers/>
        <w:suppressAutoHyphens/>
        <w:rPr>
          <w:kern w:val="22"/>
          <w:szCs w:val="22"/>
          <w:lang w:val="es-ES"/>
        </w:rPr>
      </w:pPr>
      <w:r w:rsidRPr="00667DF2">
        <w:rPr>
          <w:kern w:val="22"/>
          <w:szCs w:val="22"/>
          <w:lang w:val="es-ES"/>
        </w:rPr>
        <w:t>Tema 11 del programa</w:t>
      </w:r>
    </w:p>
    <w:p w:rsidR="00031F4E" w:rsidRPr="006D7473" w:rsidRDefault="006D7473" w:rsidP="00A9106C">
      <w:pPr>
        <w:pStyle w:val="Ttulo1"/>
        <w:suppressLineNumbers/>
        <w:suppressAutoHyphens/>
        <w:rPr>
          <w:kern w:val="22"/>
          <w:szCs w:val="22"/>
          <w:lang w:val="es-ES"/>
        </w:rPr>
      </w:pPr>
      <w:bookmarkStart w:id="2" w:name="_Hlk532291362"/>
      <w:r w:rsidRPr="006D7473">
        <w:rPr>
          <w:kern w:val="22"/>
          <w:szCs w:val="22"/>
          <w:lang w:val="es-ES"/>
        </w:rPr>
        <w:t>DecisiÓn adoptADA POR LAS PARTES EN EL PROTOCOLO DE N</w:t>
      </w:r>
      <w:r w:rsidR="00F60979" w:rsidRPr="006D7473">
        <w:rPr>
          <w:kern w:val="22"/>
          <w:szCs w:val="22"/>
          <w:lang w:val="es-ES"/>
        </w:rPr>
        <w:t>agoya</w:t>
      </w:r>
      <w:r>
        <w:rPr>
          <w:kern w:val="22"/>
          <w:szCs w:val="22"/>
          <w:lang w:val="es-ES"/>
        </w:rPr>
        <w:t xml:space="preserve"> SOBRE ACCESO Y PARTICIPACIÓN EN LOS BENEFICIOS</w:t>
      </w:r>
    </w:p>
    <w:bookmarkEnd w:id="2"/>
    <w:p w:rsidR="00C9161D" w:rsidRPr="006D7473" w:rsidRDefault="008B729E" w:rsidP="00A9106C">
      <w:pPr>
        <w:pStyle w:val="recommendationheader"/>
        <w:suppressLineNumbers/>
        <w:suppressAutoHyphens/>
        <w:rPr>
          <w:caps/>
          <w:kern w:val="22"/>
          <w:szCs w:val="22"/>
          <w:lang w:val="es-ES"/>
        </w:rPr>
      </w:pPr>
      <w:sdt>
        <w:sdtPr>
          <w:rPr>
            <w:snapToGrid w:val="0"/>
            <w:kern w:val="22"/>
            <w:szCs w:val="22"/>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031F4E" w:rsidRPr="006D7473">
            <w:rPr>
              <w:snapToGrid w:val="0"/>
              <w:kern w:val="22"/>
              <w:szCs w:val="22"/>
              <w:lang w:val="es-ES"/>
            </w:rPr>
            <w:t>3/4.</w:t>
          </w:r>
          <w:r w:rsidR="00031F4E" w:rsidRPr="006D7473">
            <w:rPr>
              <w:snapToGrid w:val="0"/>
              <w:kern w:val="22"/>
              <w:szCs w:val="22"/>
              <w:lang w:val="es-ES"/>
            </w:rPr>
            <w:tab/>
          </w:r>
          <w:r w:rsidR="006D7473" w:rsidRPr="006D7473">
            <w:rPr>
              <w:snapToGrid w:val="0"/>
              <w:kern w:val="22"/>
              <w:szCs w:val="22"/>
              <w:lang w:val="es-ES"/>
            </w:rPr>
            <w:t>Vigilancia y presentación de informes</w:t>
          </w:r>
          <w:r w:rsidR="00031F4E" w:rsidRPr="006D7473">
            <w:rPr>
              <w:snapToGrid w:val="0"/>
              <w:kern w:val="22"/>
              <w:szCs w:val="22"/>
              <w:lang w:val="es-ES"/>
            </w:rPr>
            <w:t xml:space="preserve"> (</w:t>
          </w:r>
          <w:r w:rsidR="006D7473" w:rsidRPr="006D7473">
            <w:rPr>
              <w:snapToGrid w:val="0"/>
              <w:kern w:val="22"/>
              <w:szCs w:val="22"/>
              <w:lang w:val="es-ES"/>
            </w:rPr>
            <w:t>a</w:t>
          </w:r>
          <w:r w:rsidR="00031F4E" w:rsidRPr="006D7473">
            <w:rPr>
              <w:snapToGrid w:val="0"/>
              <w:kern w:val="22"/>
              <w:szCs w:val="22"/>
              <w:lang w:val="es-ES"/>
            </w:rPr>
            <w:t>rt</w:t>
          </w:r>
          <w:r w:rsidR="006D7473" w:rsidRPr="006D7473">
            <w:rPr>
              <w:snapToGrid w:val="0"/>
              <w:kern w:val="22"/>
              <w:szCs w:val="22"/>
              <w:lang w:val="es-ES"/>
            </w:rPr>
            <w:t>ículo</w:t>
          </w:r>
          <w:r w:rsidR="00031F4E" w:rsidRPr="006D7473">
            <w:rPr>
              <w:snapToGrid w:val="0"/>
              <w:kern w:val="22"/>
              <w:szCs w:val="22"/>
              <w:lang w:val="es-ES"/>
            </w:rPr>
            <w:t xml:space="preserve"> 29)</w:t>
          </w:r>
        </w:sdtContent>
      </w:sdt>
    </w:p>
    <w:p w:rsidR="006809B3" w:rsidRPr="006D7473" w:rsidRDefault="006D7473" w:rsidP="00A9106C">
      <w:pPr>
        <w:pStyle w:val="Para1"/>
        <w:numPr>
          <w:ilvl w:val="0"/>
          <w:numId w:val="0"/>
        </w:numPr>
        <w:suppressLineNumbers/>
        <w:suppressAutoHyphens/>
        <w:kinsoku w:val="0"/>
        <w:overflowPunct w:val="0"/>
        <w:autoSpaceDE w:val="0"/>
        <w:autoSpaceDN w:val="0"/>
        <w:adjustRightInd w:val="0"/>
        <w:snapToGrid w:val="0"/>
        <w:ind w:firstLine="720"/>
        <w:rPr>
          <w:i/>
          <w:kern w:val="22"/>
          <w:szCs w:val="22"/>
          <w:lang w:val="es-ES"/>
        </w:rPr>
      </w:pPr>
      <w:r w:rsidRPr="007E6249">
        <w:rPr>
          <w:i/>
          <w:iCs/>
          <w:kern w:val="22"/>
          <w:szCs w:val="22"/>
          <w:lang w:val="es-ES"/>
        </w:rPr>
        <w:t>La Conferencia de las Partes que actúa como reunión de las Partes en el Protocolo de Nagoya sobre Acceso y Participación en los Beneficios</w:t>
      </w:r>
      <w:r w:rsidR="006809B3" w:rsidRPr="006D7473">
        <w:rPr>
          <w:i/>
          <w:kern w:val="22"/>
          <w:szCs w:val="22"/>
          <w:lang w:val="es-ES"/>
        </w:rPr>
        <w:t>,</w:t>
      </w:r>
    </w:p>
    <w:p w:rsidR="006809B3" w:rsidRPr="006D7473" w:rsidRDefault="006D7473" w:rsidP="00A9106C">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7E6249">
        <w:rPr>
          <w:i/>
          <w:iCs/>
          <w:kern w:val="22"/>
          <w:szCs w:val="22"/>
          <w:lang w:val="es-ES"/>
        </w:rPr>
        <w:t>Reconociendo</w:t>
      </w:r>
      <w:r w:rsidRPr="007E6249">
        <w:rPr>
          <w:kern w:val="22"/>
          <w:szCs w:val="22"/>
          <w:lang w:val="es-ES"/>
        </w:rPr>
        <w:t xml:space="preserve"> la importancia de mejorar la armonización de los informes nacionales que se presentan en el marco del Convenio y sus Protocolos, y de aumentar las sinergias entre las convenciones relativas a la diversidad biológica y las convenciones de Río, así como la Agenda 2030 para el Desarrollo Sostenibl</w:t>
      </w:r>
      <w:r>
        <w:rPr>
          <w:kern w:val="22"/>
          <w:szCs w:val="22"/>
          <w:lang w:val="es-ES"/>
        </w:rPr>
        <w:t>e</w:t>
      </w:r>
      <w:r w:rsidR="006809B3" w:rsidRPr="005F5FBA">
        <w:rPr>
          <w:rStyle w:val="Refdenotaalpie"/>
          <w:rFonts w:eastAsiaTheme="majorEastAsia"/>
          <w:kern w:val="22"/>
          <w:szCs w:val="22"/>
        </w:rPr>
        <w:footnoteReference w:id="1"/>
      </w:r>
      <w:r>
        <w:rPr>
          <w:kern w:val="22"/>
          <w:szCs w:val="22"/>
          <w:lang w:val="es-ES"/>
        </w:rPr>
        <w:t xml:space="preserve"> </w:t>
      </w:r>
      <w:r w:rsidRPr="007E6249">
        <w:rPr>
          <w:kern w:val="22"/>
          <w:szCs w:val="22"/>
          <w:lang w:val="es-ES"/>
        </w:rPr>
        <w:t xml:space="preserve">y las herramientas de presentación de informes para los Objetivos de Desarrollo Sostenible, y </w:t>
      </w:r>
      <w:r w:rsidRPr="007E6249">
        <w:rPr>
          <w:i/>
          <w:iCs/>
          <w:kern w:val="22"/>
          <w:szCs w:val="22"/>
          <w:lang w:val="es-ES"/>
        </w:rPr>
        <w:t>señalando</w:t>
      </w:r>
      <w:r w:rsidRPr="007E6249">
        <w:rPr>
          <w:kern w:val="22"/>
          <w:szCs w:val="22"/>
          <w:lang w:val="es-ES"/>
        </w:rPr>
        <w:t xml:space="preserve"> el progreso alcanzado al respecto hasta ahora</w:t>
      </w:r>
      <w:r w:rsidR="006809B3" w:rsidRPr="006D7473">
        <w:rPr>
          <w:kern w:val="22"/>
          <w:szCs w:val="22"/>
          <w:lang w:val="es-ES"/>
        </w:rPr>
        <w:t>,</w:t>
      </w:r>
    </w:p>
    <w:p w:rsidR="006809B3" w:rsidRPr="006D7473" w:rsidRDefault="006D7473" w:rsidP="003F0771">
      <w:pPr>
        <w:pStyle w:val="Para1"/>
        <w:suppressLineNumbers/>
        <w:suppressAutoHyphens/>
        <w:kinsoku w:val="0"/>
        <w:overflowPunct w:val="0"/>
        <w:autoSpaceDE w:val="0"/>
        <w:autoSpaceDN w:val="0"/>
        <w:adjustRightInd w:val="0"/>
        <w:snapToGrid w:val="0"/>
        <w:ind w:firstLine="720"/>
        <w:rPr>
          <w:kern w:val="22"/>
          <w:szCs w:val="22"/>
          <w:lang w:val="es-ES"/>
        </w:rPr>
      </w:pPr>
      <w:r w:rsidRPr="007E6249">
        <w:rPr>
          <w:i/>
          <w:iCs/>
          <w:kern w:val="22"/>
          <w:szCs w:val="22"/>
          <w:lang w:val="es-ES"/>
        </w:rPr>
        <w:t>Acepta</w:t>
      </w:r>
      <w:r w:rsidRPr="007E6249">
        <w:rPr>
          <w:kern w:val="22"/>
          <w:szCs w:val="22"/>
          <w:lang w:val="es-ES"/>
        </w:rPr>
        <w:t xml:space="preserve"> la invitación de la Conferencia de las Partes en el Convenio que figura en </w:t>
      </w:r>
      <w:r>
        <w:rPr>
          <w:kern w:val="22"/>
          <w:szCs w:val="22"/>
          <w:lang w:val="es-ES"/>
        </w:rPr>
        <w:t>el párrafo 1 de la</w:t>
      </w:r>
      <w:r w:rsidRPr="007E6249">
        <w:rPr>
          <w:kern w:val="22"/>
          <w:szCs w:val="22"/>
          <w:lang w:val="es-ES"/>
        </w:rPr>
        <w:t xml:space="preserve"> decisión</w:t>
      </w:r>
      <w:r w:rsidR="006809B3" w:rsidRPr="006D7473">
        <w:rPr>
          <w:kern w:val="22"/>
          <w:szCs w:val="22"/>
          <w:lang w:val="es-ES"/>
        </w:rPr>
        <w:t xml:space="preserve"> 14</w:t>
      </w:r>
      <w:r w:rsidR="00031F4E" w:rsidRPr="006D7473">
        <w:rPr>
          <w:kern w:val="22"/>
          <w:szCs w:val="22"/>
          <w:lang w:val="es-ES"/>
        </w:rPr>
        <w:t xml:space="preserve">/27, </w:t>
      </w:r>
      <w:r w:rsidRPr="007E6249">
        <w:rPr>
          <w:i/>
          <w:iCs/>
          <w:kern w:val="22"/>
          <w:szCs w:val="22"/>
          <w:lang w:val="es-ES"/>
        </w:rPr>
        <w:t>acuerda</w:t>
      </w:r>
      <w:r w:rsidRPr="007E6249">
        <w:rPr>
          <w:kern w:val="22"/>
          <w:szCs w:val="22"/>
          <w:lang w:val="es-ES"/>
        </w:rPr>
        <w:t xml:space="preserve"> tener un ciclo sincronizado de presentación de los informes nacionales a partir de 2023</w:t>
      </w:r>
      <w:r w:rsidR="00595B13" w:rsidRPr="006D7473">
        <w:rPr>
          <w:kern w:val="22"/>
          <w:szCs w:val="22"/>
          <w:lang w:val="es-ES"/>
        </w:rPr>
        <w:t>;</w:t>
      </w:r>
    </w:p>
    <w:p w:rsidR="006809B3" w:rsidRPr="006D7473"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lang w:val="es-ES"/>
        </w:rPr>
      </w:pPr>
      <w:r w:rsidRPr="006D7473">
        <w:rPr>
          <w:snapToGrid w:val="0"/>
          <w:kern w:val="22"/>
          <w:szCs w:val="22"/>
          <w:lang w:val="es-ES"/>
        </w:rPr>
        <w:t>2.</w:t>
      </w:r>
      <w:r w:rsidRPr="006D7473">
        <w:rPr>
          <w:snapToGrid w:val="0"/>
          <w:kern w:val="22"/>
          <w:szCs w:val="22"/>
          <w:lang w:val="es-ES"/>
        </w:rPr>
        <w:tab/>
      </w:r>
      <w:r w:rsidR="006D7473" w:rsidRPr="007E6249">
        <w:rPr>
          <w:i/>
          <w:iCs/>
          <w:szCs w:val="22"/>
          <w:lang w:val="es-ES"/>
        </w:rPr>
        <w:t>Acoge con beneplácito</w:t>
      </w:r>
      <w:r w:rsidR="006D7473" w:rsidRPr="007E6249">
        <w:rPr>
          <w:szCs w:val="22"/>
          <w:lang w:val="es-ES"/>
        </w:rPr>
        <w:t xml:space="preserve"> el hecho de que 82 de las 100 Partes obligadas a proporcionar información hayan presentado sus informes nacionales provisionales</w:t>
      </w:r>
      <w:r w:rsidRPr="006D7473">
        <w:rPr>
          <w:snapToGrid w:val="0"/>
          <w:kern w:val="22"/>
          <w:szCs w:val="22"/>
          <w:lang w:val="es-ES"/>
        </w:rPr>
        <w:t>;</w:t>
      </w:r>
    </w:p>
    <w:p w:rsidR="006809B3" w:rsidRPr="006D7473"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lang w:val="es-ES"/>
        </w:rPr>
      </w:pPr>
      <w:r w:rsidRPr="006D7473">
        <w:rPr>
          <w:snapToGrid w:val="0"/>
          <w:kern w:val="22"/>
          <w:szCs w:val="22"/>
          <w:lang w:val="es-ES"/>
        </w:rPr>
        <w:t>3.</w:t>
      </w:r>
      <w:r w:rsidRPr="006D7473">
        <w:rPr>
          <w:snapToGrid w:val="0"/>
          <w:kern w:val="22"/>
          <w:szCs w:val="22"/>
          <w:lang w:val="es-ES"/>
        </w:rPr>
        <w:tab/>
      </w:r>
      <w:r w:rsidR="006D7473" w:rsidRPr="007E6249">
        <w:rPr>
          <w:i/>
          <w:iCs/>
          <w:szCs w:val="22"/>
          <w:lang w:val="es-ES"/>
        </w:rPr>
        <w:t xml:space="preserve">También acoge con beneplácito </w:t>
      </w:r>
      <w:r w:rsidR="006D7473" w:rsidRPr="007E6249">
        <w:rPr>
          <w:szCs w:val="22"/>
          <w:lang w:val="es-ES"/>
        </w:rPr>
        <w:t>los informes nacionales provisionales presentados por Estados que no son Partes</w:t>
      </w:r>
      <w:r w:rsidRPr="006D7473">
        <w:rPr>
          <w:snapToGrid w:val="0"/>
          <w:kern w:val="22"/>
          <w:szCs w:val="22"/>
          <w:lang w:val="es-ES"/>
        </w:rPr>
        <w:t>;</w:t>
      </w:r>
    </w:p>
    <w:p w:rsidR="006809B3" w:rsidRPr="006D7473"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lang w:val="es-ES"/>
        </w:rPr>
      </w:pPr>
      <w:r w:rsidRPr="006D7473">
        <w:rPr>
          <w:snapToGrid w:val="0"/>
          <w:kern w:val="22"/>
          <w:szCs w:val="22"/>
          <w:lang w:val="es-ES"/>
        </w:rPr>
        <w:t>4.</w:t>
      </w:r>
      <w:r w:rsidRPr="006D7473">
        <w:rPr>
          <w:snapToGrid w:val="0"/>
          <w:kern w:val="22"/>
          <w:szCs w:val="22"/>
          <w:lang w:val="es-ES"/>
        </w:rPr>
        <w:tab/>
      </w:r>
      <w:r w:rsidR="006D7473" w:rsidRPr="007E6249">
        <w:rPr>
          <w:i/>
          <w:iCs/>
          <w:szCs w:val="22"/>
          <w:lang w:val="es-ES"/>
        </w:rPr>
        <w:t>Insta</w:t>
      </w:r>
      <w:r w:rsidR="006D7473" w:rsidRPr="007E6249">
        <w:rPr>
          <w:szCs w:val="22"/>
          <w:lang w:val="es-ES"/>
        </w:rPr>
        <w:t xml:space="preserve"> a las Partes que no hayan presentado su informe nacional provisional a que lo hagan lo antes posible</w:t>
      </w:r>
      <w:r w:rsidRPr="006D7473">
        <w:rPr>
          <w:snapToGrid w:val="0"/>
          <w:kern w:val="22"/>
          <w:szCs w:val="22"/>
          <w:lang w:val="es-ES"/>
        </w:rPr>
        <w:t>;</w:t>
      </w:r>
    </w:p>
    <w:p w:rsidR="006809B3" w:rsidRPr="006D7473"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lang w:val="es-ES"/>
        </w:rPr>
      </w:pPr>
      <w:r w:rsidRPr="006D7473">
        <w:rPr>
          <w:snapToGrid w:val="0"/>
          <w:kern w:val="22"/>
          <w:szCs w:val="22"/>
          <w:lang w:val="es-ES"/>
        </w:rPr>
        <w:t>5.</w:t>
      </w:r>
      <w:r w:rsidRPr="006D7473">
        <w:rPr>
          <w:snapToGrid w:val="0"/>
          <w:kern w:val="22"/>
          <w:szCs w:val="22"/>
          <w:lang w:val="es-ES"/>
        </w:rPr>
        <w:tab/>
      </w:r>
      <w:r w:rsidR="006D7473" w:rsidRPr="007E6249">
        <w:rPr>
          <w:i/>
          <w:iCs/>
          <w:szCs w:val="22"/>
          <w:lang w:val="es-ES"/>
        </w:rPr>
        <w:t xml:space="preserve">Expresa su agradecimiento </w:t>
      </w:r>
      <w:r w:rsidR="006D7473" w:rsidRPr="007E6249">
        <w:rPr>
          <w:szCs w:val="22"/>
          <w:lang w:val="es-ES"/>
        </w:rPr>
        <w:t xml:space="preserve">por el apoyo financiero proporcionado por el Fondo para el Medio Ambiente Mundial a un conjunto de Partes admisibles en apoyo a la elaboración de sus informes nacionales provisionales, y </w:t>
      </w:r>
      <w:r w:rsidR="006D7473" w:rsidRPr="007E6249">
        <w:rPr>
          <w:i/>
          <w:iCs/>
          <w:szCs w:val="22"/>
          <w:lang w:val="es-ES"/>
        </w:rPr>
        <w:t>señala</w:t>
      </w:r>
      <w:r w:rsidR="006D7473" w:rsidRPr="007E6249">
        <w:rPr>
          <w:szCs w:val="22"/>
          <w:lang w:val="es-ES"/>
        </w:rPr>
        <w:t xml:space="preserve"> la importancia de la disponibilidad oportuna de recursos financieros para apoyar la elaboración y presentación de informes nacionales antes de que finalice el plazo de presentación de informes</w:t>
      </w:r>
      <w:r w:rsidRPr="006D7473">
        <w:rPr>
          <w:snapToGrid w:val="0"/>
          <w:kern w:val="22"/>
          <w:szCs w:val="22"/>
          <w:lang w:val="es-ES"/>
        </w:rPr>
        <w:t>;</w:t>
      </w:r>
    </w:p>
    <w:p w:rsidR="006809B3" w:rsidRPr="006D7473"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lang w:val="es-ES"/>
        </w:rPr>
      </w:pPr>
      <w:r w:rsidRPr="006D7473">
        <w:rPr>
          <w:snapToGrid w:val="0"/>
          <w:kern w:val="22"/>
          <w:szCs w:val="22"/>
          <w:lang w:val="es-ES"/>
        </w:rPr>
        <w:t>6.</w:t>
      </w:r>
      <w:r w:rsidRPr="006D7473">
        <w:rPr>
          <w:snapToGrid w:val="0"/>
          <w:kern w:val="22"/>
          <w:szCs w:val="22"/>
          <w:lang w:val="es-ES"/>
        </w:rPr>
        <w:tab/>
      </w:r>
      <w:r w:rsidR="006D7473" w:rsidRPr="007E6249">
        <w:rPr>
          <w:i/>
          <w:iCs/>
          <w:kern w:val="22"/>
          <w:lang w:val="es-ES"/>
        </w:rPr>
        <w:t>Acoge con beneplácito</w:t>
      </w:r>
      <w:r w:rsidR="006D7473" w:rsidRPr="007E6249">
        <w:rPr>
          <w:kern w:val="22"/>
          <w:lang w:val="es-ES"/>
        </w:rPr>
        <w:t xml:space="preserve"> </w:t>
      </w:r>
      <w:r w:rsidR="006D7473" w:rsidRPr="007E6249">
        <w:rPr>
          <w:lang w:val="es-ES"/>
        </w:rPr>
        <w:t>los esfuerzos realizados por la Secretaría para asistir a las Partes en la presentación de sus informes nacionales provisionales</w:t>
      </w:r>
      <w:r w:rsidRPr="006D7473">
        <w:rPr>
          <w:snapToGrid w:val="0"/>
          <w:kern w:val="22"/>
          <w:szCs w:val="22"/>
          <w:lang w:val="es-ES"/>
        </w:rPr>
        <w:t>;</w:t>
      </w:r>
    </w:p>
    <w:p w:rsidR="006809B3" w:rsidRPr="006D7473"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lang w:val="es-ES"/>
        </w:rPr>
      </w:pPr>
      <w:r w:rsidRPr="006D7473">
        <w:rPr>
          <w:snapToGrid w:val="0"/>
          <w:kern w:val="22"/>
          <w:szCs w:val="22"/>
          <w:lang w:val="es-ES"/>
        </w:rPr>
        <w:lastRenderedPageBreak/>
        <w:t>7.</w:t>
      </w:r>
      <w:r w:rsidRPr="006D7473">
        <w:rPr>
          <w:snapToGrid w:val="0"/>
          <w:kern w:val="22"/>
          <w:szCs w:val="22"/>
          <w:lang w:val="es-ES"/>
        </w:rPr>
        <w:tab/>
      </w:r>
      <w:r w:rsidR="006D7473" w:rsidRPr="007E6249">
        <w:rPr>
          <w:i/>
          <w:iCs/>
          <w:kern w:val="22"/>
          <w:lang w:val="es-ES"/>
        </w:rPr>
        <w:t>Pide</w:t>
      </w:r>
      <w:r w:rsidR="006D7473" w:rsidRPr="007E6249">
        <w:rPr>
          <w:kern w:val="22"/>
          <w:lang w:val="es-ES"/>
        </w:rPr>
        <w:t xml:space="preserve"> al Comité de Cumplimiento que contribuya a la revisión del formato de informes para el siguiente período de presentación de informes</w:t>
      </w:r>
      <w:r w:rsidRPr="006D7473">
        <w:rPr>
          <w:snapToGrid w:val="0"/>
          <w:kern w:val="22"/>
          <w:szCs w:val="22"/>
          <w:lang w:val="es-ES"/>
        </w:rPr>
        <w:t>;</w:t>
      </w:r>
    </w:p>
    <w:p w:rsidR="006809B3" w:rsidRPr="006D7473" w:rsidRDefault="006809B3" w:rsidP="00A9106C">
      <w:pPr>
        <w:suppressLineNumbers/>
        <w:suppressAutoHyphens/>
        <w:kinsoku w:val="0"/>
        <w:overflowPunct w:val="0"/>
        <w:autoSpaceDE w:val="0"/>
        <w:autoSpaceDN w:val="0"/>
        <w:snapToGrid w:val="0"/>
        <w:spacing w:before="120" w:after="120"/>
        <w:ind w:firstLine="720"/>
        <w:rPr>
          <w:snapToGrid w:val="0"/>
          <w:kern w:val="22"/>
          <w:szCs w:val="22"/>
          <w:lang w:val="es-ES"/>
        </w:rPr>
      </w:pPr>
      <w:r w:rsidRPr="006D7473">
        <w:rPr>
          <w:snapToGrid w:val="0"/>
          <w:kern w:val="22"/>
          <w:szCs w:val="22"/>
          <w:lang w:val="es-ES"/>
        </w:rPr>
        <w:t>8.</w:t>
      </w:r>
      <w:r w:rsidRPr="006D7473">
        <w:rPr>
          <w:snapToGrid w:val="0"/>
          <w:kern w:val="22"/>
          <w:szCs w:val="22"/>
          <w:lang w:val="es-ES"/>
        </w:rPr>
        <w:tab/>
      </w:r>
      <w:r w:rsidR="006D7473" w:rsidRPr="00D54E8A">
        <w:rPr>
          <w:i/>
          <w:iCs/>
          <w:kern w:val="22"/>
          <w:lang w:val="es-ES"/>
        </w:rPr>
        <w:t>Pide</w:t>
      </w:r>
      <w:r w:rsidR="006D7473" w:rsidRPr="00D54E8A">
        <w:rPr>
          <w:kern w:val="22"/>
          <w:lang w:val="es-ES"/>
        </w:rPr>
        <w:t xml:space="preserve"> a la Secretaria Ejecutiva que revise el formato de presentación de informes para someterlo a la consideración de la Conferencia de las Partes que actúa como reunión de las Partes en el Protocolo en su cuarta reunión, teniendo en cuenta las observaciones recibidas, aportes del Comité de Cumplimiento, el marco de indicadores que consta en la decisión </w:t>
      </w:r>
      <w:r w:rsidRPr="006D7473">
        <w:rPr>
          <w:snapToGrid w:val="0"/>
          <w:kern w:val="22"/>
          <w:szCs w:val="22"/>
          <w:lang w:val="es-ES"/>
        </w:rPr>
        <w:t>NP-3</w:t>
      </w:r>
      <w:r w:rsidR="007642CA" w:rsidRPr="006D7473">
        <w:rPr>
          <w:snapToGrid w:val="0"/>
          <w:kern w:val="22"/>
          <w:szCs w:val="22"/>
          <w:lang w:val="es-ES"/>
        </w:rPr>
        <w:t xml:space="preserve">/1, </w:t>
      </w:r>
      <w:r w:rsidR="006D7473" w:rsidRPr="00D54E8A">
        <w:rPr>
          <w:kern w:val="22"/>
          <w:lang w:val="es-ES"/>
        </w:rPr>
        <w:t>el marco mundial para la diversidad biológica posterior a 2020 y la armonización de los informes nacionales con arreglo al Convenio y sus Protocolos, teniendo presente la necesidad de una continuidad en el formato para determinar los progresos en la aplicación</w:t>
      </w:r>
      <w:r w:rsidRPr="006D7473">
        <w:rPr>
          <w:snapToGrid w:val="0"/>
          <w:kern w:val="22"/>
          <w:szCs w:val="22"/>
          <w:lang w:val="es-ES"/>
        </w:rPr>
        <w:t>;</w:t>
      </w:r>
    </w:p>
    <w:p w:rsidR="006809B3" w:rsidRPr="006D7473" w:rsidRDefault="006809B3" w:rsidP="00A9106C">
      <w:pPr>
        <w:suppressLineNumbers/>
        <w:suppressAutoHyphens/>
        <w:kinsoku w:val="0"/>
        <w:overflowPunct w:val="0"/>
        <w:autoSpaceDE w:val="0"/>
        <w:autoSpaceDN w:val="0"/>
        <w:snapToGrid w:val="0"/>
        <w:spacing w:before="120" w:after="120"/>
        <w:ind w:firstLine="720"/>
        <w:rPr>
          <w:snapToGrid w:val="0"/>
          <w:kern w:val="22"/>
          <w:szCs w:val="22"/>
          <w:lang w:val="es-ES"/>
        </w:rPr>
      </w:pPr>
      <w:r w:rsidRPr="006D7473">
        <w:rPr>
          <w:snapToGrid w:val="0"/>
          <w:kern w:val="22"/>
          <w:szCs w:val="22"/>
          <w:lang w:val="es-ES"/>
        </w:rPr>
        <w:t>9.</w:t>
      </w:r>
      <w:r w:rsidRPr="006D7473">
        <w:rPr>
          <w:snapToGrid w:val="0"/>
          <w:kern w:val="22"/>
          <w:szCs w:val="22"/>
          <w:lang w:val="es-ES"/>
        </w:rPr>
        <w:tab/>
      </w:r>
      <w:r w:rsidRPr="006D7473">
        <w:rPr>
          <w:i/>
          <w:snapToGrid w:val="0"/>
          <w:kern w:val="22"/>
          <w:szCs w:val="22"/>
          <w:lang w:val="es-ES"/>
        </w:rPr>
        <w:t>D</w:t>
      </w:r>
      <w:r w:rsidR="006D7473" w:rsidRPr="00D54E8A">
        <w:rPr>
          <w:i/>
          <w:iCs/>
          <w:kern w:val="22"/>
          <w:lang w:val="es-ES"/>
        </w:rPr>
        <w:t>ecide</w:t>
      </w:r>
      <w:r w:rsidR="006D7473" w:rsidRPr="00D54E8A">
        <w:rPr>
          <w:kern w:val="22"/>
          <w:lang w:val="es-ES"/>
        </w:rPr>
        <w:t xml:space="preserve"> volver a tratar la cuestión relacionada con la frecuencia de la presentación de informes en una reunión posterior de la Conferencia de las Partes que actúa como reunión de las Partes en el Protocolo, teniendo en cuenta la armonización de los informes nacionales con arreglo al Convenio y sus Protocolos y el marco para la diversidad biológica posterior a 2020</w:t>
      </w:r>
      <w:r w:rsidRPr="006D7473">
        <w:rPr>
          <w:snapToGrid w:val="0"/>
          <w:kern w:val="22"/>
          <w:szCs w:val="22"/>
          <w:lang w:val="es-ES"/>
        </w:rPr>
        <w:t>.</w:t>
      </w:r>
    </w:p>
    <w:p w:rsidR="00464FF7" w:rsidRPr="006D7473" w:rsidRDefault="00464FF7" w:rsidP="00A9106C">
      <w:pPr>
        <w:suppressLineNumbers/>
        <w:suppressAutoHyphens/>
        <w:rPr>
          <w:kern w:val="22"/>
          <w:szCs w:val="22"/>
          <w:lang w:val="es-ES"/>
        </w:rPr>
      </w:pPr>
    </w:p>
    <w:p w:rsidR="00B3369F" w:rsidRPr="00A9106C" w:rsidRDefault="00A41B97" w:rsidP="00A9106C">
      <w:pPr>
        <w:keepNext/>
        <w:suppressLineNumbers/>
        <w:suppressAutoHyphens/>
        <w:spacing w:after="120"/>
        <w:ind w:left="4320"/>
        <w:jc w:val="left"/>
        <w:rPr>
          <w:kern w:val="22"/>
          <w:szCs w:val="22"/>
        </w:rPr>
      </w:pPr>
      <w:r w:rsidRPr="00A9106C">
        <w:rPr>
          <w:kern w:val="22"/>
          <w:szCs w:val="22"/>
        </w:rPr>
        <w:t>__________</w:t>
      </w:r>
    </w:p>
    <w:sectPr w:rsidR="00B3369F" w:rsidRPr="00A9106C"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900" w:rsidRDefault="00E12900" w:rsidP="00CF1848">
      <w:r>
        <w:separator/>
      </w:r>
    </w:p>
  </w:endnote>
  <w:endnote w:type="continuationSeparator" w:id="0">
    <w:p w:rsidR="00E12900" w:rsidRDefault="00E12900"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900" w:rsidRDefault="00E12900" w:rsidP="00CF1848">
      <w:r>
        <w:separator/>
      </w:r>
    </w:p>
  </w:footnote>
  <w:footnote w:type="continuationSeparator" w:id="0">
    <w:p w:rsidR="00E12900" w:rsidRDefault="00E12900" w:rsidP="00CF1848">
      <w:r>
        <w:continuationSeparator/>
      </w:r>
    </w:p>
  </w:footnote>
  <w:footnote w:id="1">
    <w:p w:rsidR="00AB5E35" w:rsidRPr="006D7473" w:rsidRDefault="00AB5E35" w:rsidP="00A9106C">
      <w:pPr>
        <w:pStyle w:val="Textonotapie"/>
        <w:kinsoku w:val="0"/>
        <w:overflowPunct w:val="0"/>
        <w:autoSpaceDE w:val="0"/>
        <w:autoSpaceDN w:val="0"/>
        <w:ind w:firstLine="0"/>
        <w:jc w:val="left"/>
        <w:rPr>
          <w:kern w:val="18"/>
          <w:szCs w:val="18"/>
          <w:lang w:val="es-ES"/>
        </w:rPr>
      </w:pPr>
      <w:r w:rsidRPr="00A9106C">
        <w:rPr>
          <w:rStyle w:val="Refdenotaalpie"/>
          <w:rFonts w:eastAsiaTheme="majorEastAsia"/>
          <w:kern w:val="18"/>
          <w:sz w:val="18"/>
          <w:szCs w:val="18"/>
        </w:rPr>
        <w:footnoteRef/>
      </w:r>
      <w:r w:rsidRPr="006D7473">
        <w:rPr>
          <w:kern w:val="18"/>
          <w:szCs w:val="18"/>
          <w:lang w:val="es-ES"/>
        </w:rPr>
        <w:t xml:space="preserve"> </w:t>
      </w:r>
      <w:r w:rsidR="006D7473" w:rsidRPr="006D7473">
        <w:rPr>
          <w:kern w:val="18"/>
          <w:szCs w:val="18"/>
          <w:lang w:val="es-ES"/>
        </w:rPr>
        <w:t xml:space="preserve">Véase la </w:t>
      </w:r>
      <w:r w:rsidR="006D7473" w:rsidRPr="009C72BA">
        <w:rPr>
          <w:lang w:val="es-ES"/>
        </w:rPr>
        <w:t>Resoluc</w:t>
      </w:r>
      <w:r w:rsidR="006D7473">
        <w:rPr>
          <w:lang w:val="es-ES"/>
        </w:rPr>
        <w:t>ión de la Asamblea General</w:t>
      </w:r>
      <w:r w:rsidRPr="006D7473">
        <w:rPr>
          <w:kern w:val="18"/>
          <w:szCs w:val="18"/>
          <w:lang w:val="es-ES"/>
        </w:rPr>
        <w:t xml:space="preserve"> </w:t>
      </w:r>
      <w:hyperlink r:id="rId1" w:history="1">
        <w:r w:rsidRPr="006D7473">
          <w:rPr>
            <w:rStyle w:val="Hipervnculo"/>
            <w:kern w:val="18"/>
            <w:szCs w:val="18"/>
            <w:lang w:val="es-ES"/>
          </w:rPr>
          <w:t>70</w:t>
        </w:r>
        <w:r w:rsidRPr="006D7473">
          <w:rPr>
            <w:rStyle w:val="Hipervnculo"/>
            <w:kern w:val="18"/>
            <w:szCs w:val="18"/>
            <w:lang w:val="es-ES"/>
          </w:rPr>
          <w:t>/</w:t>
        </w:r>
        <w:r w:rsidRPr="006D7473">
          <w:rPr>
            <w:rStyle w:val="Hipervnculo"/>
            <w:kern w:val="18"/>
            <w:szCs w:val="18"/>
            <w:lang w:val="es-ES"/>
          </w:rPr>
          <w:t>1</w:t>
        </w:r>
      </w:hyperlink>
      <w:r w:rsidR="006D7473">
        <w:rPr>
          <w:kern w:val="18"/>
          <w:szCs w:val="18"/>
          <w:lang w:val="es-ES"/>
        </w:rPr>
        <w:t xml:space="preserve"> </w:t>
      </w:r>
      <w:r w:rsidR="006D7473" w:rsidRPr="009C72BA">
        <w:rPr>
          <w:lang w:val="es-ES"/>
        </w:rPr>
        <w:t>del 25 de septiembre de 2015</w:t>
      </w:r>
      <w:r w:rsidRPr="006D7473">
        <w:rPr>
          <w:kern w:val="18"/>
          <w:szCs w:val="18"/>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lang w:val="es-E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AB5E35" w:rsidRPr="00667DF2" w:rsidRDefault="00DB5713" w:rsidP="00A9106C">
        <w:pPr>
          <w:pStyle w:val="Encabezado"/>
          <w:tabs>
            <w:tab w:val="clear" w:pos="4320"/>
            <w:tab w:val="clear" w:pos="8640"/>
          </w:tabs>
          <w:jc w:val="left"/>
          <w:rPr>
            <w:noProof/>
            <w:kern w:val="22"/>
            <w:lang w:val="es-ES"/>
          </w:rPr>
        </w:pPr>
        <w:r w:rsidRPr="00667DF2">
          <w:rPr>
            <w:noProof/>
            <w:kern w:val="22"/>
            <w:lang w:val="es-ES"/>
          </w:rPr>
          <w:t>CBD/NP/MOP/DEC/3/4</w:t>
        </w:r>
      </w:p>
    </w:sdtContent>
  </w:sdt>
  <w:p w:rsidR="00AB5E35" w:rsidRPr="00667DF2" w:rsidRDefault="00AB5E35" w:rsidP="00A9106C">
    <w:pPr>
      <w:pStyle w:val="Encabezado"/>
      <w:tabs>
        <w:tab w:val="clear" w:pos="4320"/>
        <w:tab w:val="clear" w:pos="8640"/>
      </w:tabs>
      <w:jc w:val="left"/>
      <w:rPr>
        <w:noProof/>
        <w:kern w:val="22"/>
        <w:lang w:val="es-ES"/>
      </w:rPr>
    </w:pPr>
    <w:r w:rsidRPr="00667DF2">
      <w:rPr>
        <w:noProof/>
        <w:kern w:val="22"/>
        <w:lang w:val="es-ES"/>
      </w:rPr>
      <w:t>P</w:t>
    </w:r>
    <w:r w:rsidR="00D51664" w:rsidRPr="00667DF2">
      <w:rPr>
        <w:noProof/>
        <w:kern w:val="22"/>
        <w:lang w:val="es-ES"/>
      </w:rPr>
      <w:t>ágina</w:t>
    </w:r>
    <w:r w:rsidRPr="00667DF2">
      <w:rPr>
        <w:noProof/>
        <w:kern w:val="22"/>
        <w:lang w:val="es-ES"/>
      </w:rPr>
      <w:t xml:space="preserve"> </w:t>
    </w:r>
    <w:r w:rsidR="008B729E" w:rsidRPr="00A9106C">
      <w:rPr>
        <w:noProof/>
        <w:kern w:val="22"/>
      </w:rPr>
      <w:fldChar w:fldCharType="begin"/>
    </w:r>
    <w:r w:rsidRPr="00667DF2">
      <w:rPr>
        <w:noProof/>
        <w:kern w:val="22"/>
        <w:lang w:val="es-ES"/>
      </w:rPr>
      <w:instrText xml:space="preserve"> PAGE   \* MERGEFORMAT </w:instrText>
    </w:r>
    <w:r w:rsidR="008B729E" w:rsidRPr="00A9106C">
      <w:rPr>
        <w:noProof/>
        <w:kern w:val="22"/>
      </w:rPr>
      <w:fldChar w:fldCharType="separate"/>
    </w:r>
    <w:r w:rsidR="00202A1C">
      <w:rPr>
        <w:noProof/>
        <w:kern w:val="22"/>
        <w:lang w:val="es-ES"/>
      </w:rPr>
      <w:t>2</w:t>
    </w:r>
    <w:r w:rsidR="008B729E" w:rsidRPr="00A9106C">
      <w:rPr>
        <w:noProof/>
        <w:kern w:val="22"/>
      </w:rPr>
      <w:fldChar w:fldCharType="end"/>
    </w:r>
  </w:p>
  <w:p w:rsidR="00AB5E35" w:rsidRPr="00667DF2" w:rsidRDefault="00AB5E35" w:rsidP="00A9106C">
    <w:pPr>
      <w:pStyle w:val="Encabezado"/>
      <w:tabs>
        <w:tab w:val="clear" w:pos="4320"/>
        <w:tab w:val="clear" w:pos="8640"/>
      </w:tabs>
      <w:jc w:val="left"/>
      <w:rPr>
        <w:noProof/>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AB5E35" w:rsidRPr="00A9106C" w:rsidRDefault="00DB5713" w:rsidP="009505C9">
        <w:pPr>
          <w:pStyle w:val="Encabezado"/>
          <w:jc w:val="right"/>
          <w:rPr>
            <w:lang w:val="fr-FR"/>
          </w:rPr>
        </w:pPr>
        <w:r>
          <w:rPr>
            <w:lang w:val="fr-FR"/>
          </w:rPr>
          <w:t>CBD/NP/MOP/DEC/3/4</w:t>
        </w:r>
      </w:p>
    </w:sdtContent>
  </w:sdt>
  <w:p w:rsidR="00AB5E35" w:rsidRPr="00000614" w:rsidRDefault="00AB5E35" w:rsidP="009505C9">
    <w:pPr>
      <w:pStyle w:val="Encabezado"/>
      <w:jc w:val="right"/>
      <w:rPr>
        <w:lang w:val="fr-FR"/>
      </w:rPr>
    </w:pPr>
    <w:r w:rsidRPr="00000614">
      <w:rPr>
        <w:lang w:val="fr-FR"/>
      </w:rPr>
      <w:t xml:space="preserve">Page </w:t>
    </w:r>
    <w:r w:rsidR="008B729E">
      <w:fldChar w:fldCharType="begin"/>
    </w:r>
    <w:r w:rsidRPr="00000614">
      <w:rPr>
        <w:lang w:val="fr-FR"/>
      </w:rPr>
      <w:instrText xml:space="preserve"> PAGE   \* MERGEFORMAT </w:instrText>
    </w:r>
    <w:r w:rsidR="008B729E">
      <w:fldChar w:fldCharType="separate"/>
    </w:r>
    <w:r w:rsidRPr="00000614">
      <w:rPr>
        <w:noProof/>
        <w:lang w:val="fr-FR"/>
      </w:rPr>
      <w:t>1</w:t>
    </w:r>
    <w:r w:rsidR="008B729E">
      <w:rPr>
        <w:noProof/>
      </w:rPr>
      <w:fldChar w:fldCharType="end"/>
    </w:r>
  </w:p>
  <w:p w:rsidR="00AB5E35" w:rsidRPr="00000614" w:rsidRDefault="00AB5E35">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
  <w:rsids>
    <w:rsidRoot w:val="00C9161D"/>
    <w:rsid w:val="00000614"/>
    <w:rsid w:val="0002482D"/>
    <w:rsid w:val="00031F4E"/>
    <w:rsid w:val="0003770F"/>
    <w:rsid w:val="00090407"/>
    <w:rsid w:val="000E418F"/>
    <w:rsid w:val="000E673A"/>
    <w:rsid w:val="000F74F5"/>
    <w:rsid w:val="00105372"/>
    <w:rsid w:val="00131E7A"/>
    <w:rsid w:val="00172AF6"/>
    <w:rsid w:val="00176CEE"/>
    <w:rsid w:val="0019663B"/>
    <w:rsid w:val="001D3C54"/>
    <w:rsid w:val="001E7718"/>
    <w:rsid w:val="00202A1C"/>
    <w:rsid w:val="0022005D"/>
    <w:rsid w:val="00223736"/>
    <w:rsid w:val="00224608"/>
    <w:rsid w:val="00225055"/>
    <w:rsid w:val="00242C90"/>
    <w:rsid w:val="00251792"/>
    <w:rsid w:val="00276741"/>
    <w:rsid w:val="003336D5"/>
    <w:rsid w:val="00372F74"/>
    <w:rsid w:val="003F0771"/>
    <w:rsid w:val="003F7224"/>
    <w:rsid w:val="003F7861"/>
    <w:rsid w:val="00405146"/>
    <w:rsid w:val="0042412C"/>
    <w:rsid w:val="00427D21"/>
    <w:rsid w:val="004343D2"/>
    <w:rsid w:val="004433C2"/>
    <w:rsid w:val="004644C2"/>
    <w:rsid w:val="00464FF7"/>
    <w:rsid w:val="00467F9C"/>
    <w:rsid w:val="0047609D"/>
    <w:rsid w:val="004D6737"/>
    <w:rsid w:val="004F5506"/>
    <w:rsid w:val="004F6165"/>
    <w:rsid w:val="00530E2B"/>
    <w:rsid w:val="005345E1"/>
    <w:rsid w:val="00534681"/>
    <w:rsid w:val="00546B4B"/>
    <w:rsid w:val="005654DB"/>
    <w:rsid w:val="00595B13"/>
    <w:rsid w:val="005F5FBA"/>
    <w:rsid w:val="006122BA"/>
    <w:rsid w:val="0061445E"/>
    <w:rsid w:val="00667DF2"/>
    <w:rsid w:val="006809B3"/>
    <w:rsid w:val="006B2290"/>
    <w:rsid w:val="006D52E4"/>
    <w:rsid w:val="006D7473"/>
    <w:rsid w:val="006F1189"/>
    <w:rsid w:val="00717D88"/>
    <w:rsid w:val="007461DD"/>
    <w:rsid w:val="007642CA"/>
    <w:rsid w:val="007648AF"/>
    <w:rsid w:val="007942D3"/>
    <w:rsid w:val="007B6C09"/>
    <w:rsid w:val="007D1E61"/>
    <w:rsid w:val="007D7467"/>
    <w:rsid w:val="007E09DA"/>
    <w:rsid w:val="008016A2"/>
    <w:rsid w:val="00810C13"/>
    <w:rsid w:val="008178B6"/>
    <w:rsid w:val="00833344"/>
    <w:rsid w:val="0085653F"/>
    <w:rsid w:val="00865B74"/>
    <w:rsid w:val="00881A5E"/>
    <w:rsid w:val="008B729E"/>
    <w:rsid w:val="009301DA"/>
    <w:rsid w:val="00930BA1"/>
    <w:rsid w:val="0093169E"/>
    <w:rsid w:val="009505C9"/>
    <w:rsid w:val="009C200D"/>
    <w:rsid w:val="00A039B5"/>
    <w:rsid w:val="00A41B97"/>
    <w:rsid w:val="00A6214B"/>
    <w:rsid w:val="00A71B7A"/>
    <w:rsid w:val="00A86C9B"/>
    <w:rsid w:val="00A9106C"/>
    <w:rsid w:val="00AB5E35"/>
    <w:rsid w:val="00AC1F6B"/>
    <w:rsid w:val="00B14D46"/>
    <w:rsid w:val="00B22F46"/>
    <w:rsid w:val="00B3369F"/>
    <w:rsid w:val="00BE502E"/>
    <w:rsid w:val="00C35537"/>
    <w:rsid w:val="00C427DE"/>
    <w:rsid w:val="00C9161D"/>
    <w:rsid w:val="00CB4BF4"/>
    <w:rsid w:val="00CF1848"/>
    <w:rsid w:val="00D12044"/>
    <w:rsid w:val="00D30710"/>
    <w:rsid w:val="00D33891"/>
    <w:rsid w:val="00D51664"/>
    <w:rsid w:val="00D76A18"/>
    <w:rsid w:val="00D77466"/>
    <w:rsid w:val="00D87DC3"/>
    <w:rsid w:val="00DB5713"/>
    <w:rsid w:val="00DD118C"/>
    <w:rsid w:val="00DD418D"/>
    <w:rsid w:val="00DF1B84"/>
    <w:rsid w:val="00E12900"/>
    <w:rsid w:val="00E14C61"/>
    <w:rsid w:val="00E229A8"/>
    <w:rsid w:val="00E26ACF"/>
    <w:rsid w:val="00E422DA"/>
    <w:rsid w:val="00E66235"/>
    <w:rsid w:val="00E83C24"/>
    <w:rsid w:val="00E9318D"/>
    <w:rsid w:val="00ED10D5"/>
    <w:rsid w:val="00F27A1E"/>
    <w:rsid w:val="00F60979"/>
    <w:rsid w:val="00F828EE"/>
    <w:rsid w:val="00F94774"/>
    <w:rsid w:val="00FC53DB"/>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rPr>
  </w:style>
  <w:style w:type="paragraph" w:styleId="Asuntodelcomentario">
    <w:name w:val="annotation subject"/>
    <w:basedOn w:val="Textocomentario"/>
    <w:next w:val="Textocomentario"/>
    <w:link w:val="AsuntodelcomentarioCar"/>
    <w:uiPriority w:val="99"/>
    <w:semiHidden/>
    <w:unhideWhenUsed/>
    <w:rsid w:val="00E26ACF"/>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E26ACF"/>
    <w:rPr>
      <w:rFonts w:ascii="Times New Roman" w:eastAsia="Times New Roman" w:hAnsi="Times New Roman" w:cs="Times New Roman"/>
      <w:b/>
      <w:bCs/>
      <w:sz w:val="20"/>
      <w:szCs w:val="20"/>
      <w:lang w:val="en-GB"/>
    </w:rPr>
  </w:style>
  <w:style w:type="character" w:customStyle="1" w:styleId="UnresolvedMention">
    <w:name w:val="Unresolved Mention"/>
    <w:basedOn w:val="Fuentedeprrafopredeter"/>
    <w:uiPriority w:val="99"/>
    <w:semiHidden/>
    <w:unhideWhenUsed/>
    <w:rsid w:val="00595B13"/>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n/ga/search/view_doc.asp?symbol=A/RES/70/1&amp;Lang=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CCAA5FC3BCD24FAB86B3D44B91E65003"/>
        <w:category>
          <w:name w:val="General"/>
          <w:gallery w:val="placeholder"/>
        </w:category>
        <w:types>
          <w:type w:val="bbPlcHdr"/>
        </w:types>
        <w:behaviors>
          <w:behavior w:val="content"/>
        </w:behaviors>
        <w:guid w:val="{BB05B625-0153-420A-B975-4899175B0337}"/>
      </w:docPartPr>
      <w:docPartBody>
        <w:p w:rsidR="007108C6" w:rsidRDefault="007108C6" w:rsidP="007108C6">
          <w:pPr>
            <w:pStyle w:val="CCAA5FC3BCD24FAB86B3D44B91E65003"/>
          </w:pPr>
          <w:r w:rsidRPr="007E02EB">
            <w:rPr>
              <w:rStyle w:val="Textodelmarcadordeposicin"/>
            </w:rPr>
            <w:t>[Status]</w:t>
          </w:r>
        </w:p>
      </w:docPartBody>
    </w:docPart>
    <w:docPart>
      <w:docPartPr>
        <w:name w:val="B8D04D9641D74F4DBE59E781E854DC4E"/>
        <w:category>
          <w:name w:val="General"/>
          <w:gallery w:val="placeholder"/>
        </w:category>
        <w:types>
          <w:type w:val="bbPlcHdr"/>
        </w:types>
        <w:behaviors>
          <w:behavior w:val="content"/>
        </w:behaviors>
        <w:guid w:val="{526955FB-1DBD-4F76-BC42-D3FFF7CB38D4}"/>
      </w:docPartPr>
      <w:docPartBody>
        <w:p w:rsidR="007108C6" w:rsidRDefault="007108C6" w:rsidP="007108C6">
          <w:pPr>
            <w:pStyle w:val="B8D04D9641D74F4DBE59E781E854DC4E"/>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114517"/>
    <w:rsid w:val="00261E9A"/>
    <w:rsid w:val="00450D4E"/>
    <w:rsid w:val="00500A2B"/>
    <w:rsid w:val="005461E8"/>
    <w:rsid w:val="00573998"/>
    <w:rsid w:val="0058288D"/>
    <w:rsid w:val="005C667B"/>
    <w:rsid w:val="00640257"/>
    <w:rsid w:val="006801B3"/>
    <w:rsid w:val="007108C6"/>
    <w:rsid w:val="00720F63"/>
    <w:rsid w:val="007F1B76"/>
    <w:rsid w:val="00810A55"/>
    <w:rsid w:val="008C6619"/>
    <w:rsid w:val="008D420E"/>
    <w:rsid w:val="0098642F"/>
    <w:rsid w:val="00986ADD"/>
    <w:rsid w:val="00A41DE5"/>
    <w:rsid w:val="00B92240"/>
    <w:rsid w:val="00B97654"/>
    <w:rsid w:val="00CE6602"/>
    <w:rsid w:val="00D21909"/>
    <w:rsid w:val="00DA04E6"/>
    <w:rsid w:val="00F64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A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108C6"/>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CCAA5FC3BCD24FAB86B3D44B91E65003">
    <w:name w:val="CCAA5FC3BCD24FAB86B3D44B91E65003"/>
    <w:rsid w:val="007108C6"/>
    <w:pPr>
      <w:spacing w:after="160" w:line="259" w:lineRule="auto"/>
    </w:pPr>
  </w:style>
  <w:style w:type="paragraph" w:customStyle="1" w:styleId="B8D04D9641D74F4DBE59E781E854DC4E">
    <w:name w:val="B8D04D9641D74F4DBE59E781E854DC4E"/>
    <w:rsid w:val="007108C6"/>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C00793-9C07-47B5-B180-AE3499E5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544</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3/4.	Monitoring and reporting (Article 29)</vt:lpstr>
    </vt:vector>
  </TitlesOfParts>
  <Company>SCBD</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Vigilancia y presentación de informes (artículo 29)</dc:title>
  <dc:subject>CBD/NP/MOP/DEC/3/4</dc:subject>
  <dc:creator>NP MOP 3</dc:creator>
  <cp:keywords>Monitoring and reporting (Article 29), Nagoya Protocol on Access to Genetic Resources and the Fair and Equitable Sharing of Benefits Arising from their Utilization, Convention on Biological Diversity</cp:keywords>
  <cp:lastModifiedBy>HP</cp:lastModifiedBy>
  <cp:revision>9</cp:revision>
  <cp:lastPrinted>2018-12-10T21:40:00Z</cp:lastPrinted>
  <dcterms:created xsi:type="dcterms:W3CDTF">2019-02-11T17:26:00Z</dcterms:created>
  <dcterms:modified xsi:type="dcterms:W3CDTF">2019-02-12T16:17:00Z</dcterms:modified>
  <cp:contentStatus>GENERAL</cp:contentStatus>
</cp:coreProperties>
</file>