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B5E35" w:rsidRPr="00A9106C" w:rsidTr="00AB5E35">
        <w:trPr>
          <w:trHeight w:val="709"/>
        </w:trPr>
        <w:tc>
          <w:tcPr>
            <w:tcW w:w="976" w:type="dxa"/>
            <w:tcBorders>
              <w:bottom w:val="single" w:sz="12" w:space="0" w:color="auto"/>
            </w:tcBorders>
          </w:tcPr>
          <w:p w:rsidR="00AB5E35" w:rsidRPr="00A9106C" w:rsidRDefault="00AB5E35" w:rsidP="00A9106C">
            <w:pPr>
              <w:suppressLineNumbers/>
              <w:suppressAutoHyphens/>
              <w:rPr>
                <w:kern w:val="22"/>
              </w:rPr>
            </w:pPr>
            <w:bookmarkStart w:id="0" w:name="_Hlk532291424"/>
            <w:r w:rsidRPr="00A9106C">
              <w:rPr>
                <w:noProof/>
                <w:kern w:val="22"/>
                <w:lang w:val="fr-CA" w:eastAsia="fr-CA"/>
              </w:rPr>
              <w:drawing>
                <wp:inline distT="0" distB="0" distL="0" distR="0" wp14:anchorId="6176E5DD" wp14:editId="295D3E5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AB5E35" w:rsidRPr="00A9106C" w:rsidRDefault="00AB5E35" w:rsidP="00A9106C">
            <w:pPr>
              <w:suppressLineNumbers/>
              <w:suppressAutoHyphens/>
              <w:rPr>
                <w:kern w:val="22"/>
              </w:rPr>
            </w:pPr>
            <w:r w:rsidRPr="00A9106C">
              <w:rPr>
                <w:noProof/>
                <w:kern w:val="22"/>
                <w:lang w:val="fr-CA" w:eastAsia="fr-CA"/>
              </w:rPr>
              <w:drawing>
                <wp:inline distT="0" distB="0" distL="0" distR="0" wp14:anchorId="792CFDB2" wp14:editId="4E0D860E">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AB5E35" w:rsidRPr="00A9106C" w:rsidRDefault="00AB5E35" w:rsidP="00A9106C">
            <w:pPr>
              <w:suppressLineNumbers/>
              <w:suppressAutoHyphens/>
              <w:jc w:val="right"/>
              <w:rPr>
                <w:rFonts w:ascii="Arial" w:hAnsi="Arial" w:cs="Arial"/>
                <w:b/>
                <w:kern w:val="22"/>
                <w:sz w:val="32"/>
                <w:szCs w:val="32"/>
              </w:rPr>
            </w:pPr>
            <w:r w:rsidRPr="00A9106C">
              <w:rPr>
                <w:rFonts w:ascii="Arial" w:hAnsi="Arial" w:cs="Arial"/>
                <w:b/>
                <w:kern w:val="22"/>
                <w:sz w:val="32"/>
                <w:szCs w:val="32"/>
              </w:rPr>
              <w:t>CBD</w:t>
            </w:r>
          </w:p>
        </w:tc>
      </w:tr>
      <w:tr w:rsidR="00AB5E35" w:rsidRPr="000264CA" w:rsidTr="00AB5E35">
        <w:tc>
          <w:tcPr>
            <w:tcW w:w="6117" w:type="dxa"/>
            <w:gridSpan w:val="2"/>
            <w:tcBorders>
              <w:top w:val="single" w:sz="12" w:space="0" w:color="auto"/>
              <w:bottom w:val="single" w:sz="36" w:space="0" w:color="auto"/>
            </w:tcBorders>
            <w:vAlign w:val="center"/>
          </w:tcPr>
          <w:p w:rsidR="00AB5E35" w:rsidRPr="000264CA" w:rsidRDefault="00361584" w:rsidP="00A9106C">
            <w:pPr>
              <w:suppressLineNumbers/>
              <w:suppressAutoHyphens/>
              <w:rPr>
                <w:kern w:val="22"/>
                <w:lang w:val="fr-CA"/>
              </w:rPr>
            </w:pPr>
            <w:r w:rsidRPr="000264CA">
              <w:rPr>
                <w:noProof/>
                <w:lang w:val="fr-CA" w:eastAsia="fr-CA"/>
              </w:rPr>
              <w:drawing>
                <wp:inline distT="0" distB="0" distL="0" distR="0" wp14:anchorId="13D8D7BC" wp14:editId="00D8F2C2">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AB5E35" w:rsidRPr="000264CA" w:rsidRDefault="00AB5E35" w:rsidP="00A9106C">
            <w:pPr>
              <w:suppressLineNumbers/>
              <w:suppressAutoHyphens/>
              <w:ind w:left="1215"/>
              <w:jc w:val="left"/>
              <w:rPr>
                <w:kern w:val="22"/>
                <w:lang w:val="fr-CA"/>
              </w:rPr>
            </w:pPr>
            <w:proofErr w:type="spellStart"/>
            <w:r w:rsidRPr="000264CA">
              <w:rPr>
                <w:kern w:val="22"/>
                <w:lang w:val="fr-CA"/>
              </w:rPr>
              <w:t>Distr</w:t>
            </w:r>
            <w:proofErr w:type="spellEnd"/>
            <w:r w:rsidRPr="000264CA">
              <w:rPr>
                <w:kern w:val="22"/>
                <w:lang w:val="fr-CA"/>
              </w:rPr>
              <w:t>.</w:t>
            </w:r>
          </w:p>
          <w:p w:rsidR="00AB5E35" w:rsidRPr="000264CA" w:rsidRDefault="00723396" w:rsidP="00A9106C">
            <w:pPr>
              <w:suppressLineNumbers/>
              <w:suppressAutoHyphens/>
              <w:ind w:left="1215"/>
              <w:jc w:val="left"/>
              <w:rPr>
                <w:kern w:val="22"/>
                <w:lang w:val="fr-CA"/>
              </w:rPr>
            </w:pPr>
            <w:sdt>
              <w:sdtPr>
                <w:rPr>
                  <w:kern w:val="22"/>
                  <w:lang w:val="fr-CA"/>
                </w:rPr>
                <w:alias w:val="Status"/>
                <w:tag w:val=""/>
                <w:id w:val="307985777"/>
                <w:placeholder>
                  <w:docPart w:val="CCAA5FC3BCD24FAB86B3D44B91E65003"/>
                </w:placeholder>
                <w:dataBinding w:prefixMappings="xmlns:ns0='http://purl.org/dc/elements/1.1/' xmlns:ns1='http://schemas.openxmlformats.org/package/2006/metadata/core-properties' " w:xpath="/ns1:coreProperties[1]/ns1:contentStatus[1]" w:storeItemID="{6C3C8BC8-F283-45AE-878A-BAB7291924A1}"/>
                <w:text/>
              </w:sdtPr>
              <w:sdtEndPr/>
              <w:sdtContent>
                <w:r w:rsidR="00361584" w:rsidRPr="000264CA">
                  <w:rPr>
                    <w:kern w:val="22"/>
                    <w:lang w:val="fr-CA"/>
                  </w:rPr>
                  <w:t>GÉNÉRALE</w:t>
                </w:r>
              </w:sdtContent>
            </w:sdt>
          </w:p>
          <w:p w:rsidR="00AB5E35" w:rsidRPr="000264CA" w:rsidRDefault="00AB5E35" w:rsidP="00A9106C">
            <w:pPr>
              <w:suppressLineNumbers/>
              <w:suppressAutoHyphens/>
              <w:ind w:left="1215"/>
              <w:jc w:val="left"/>
              <w:rPr>
                <w:kern w:val="22"/>
                <w:lang w:val="fr-CA"/>
              </w:rPr>
            </w:pPr>
          </w:p>
          <w:p w:rsidR="00AB5E35" w:rsidRPr="000264CA" w:rsidRDefault="00723396" w:rsidP="00A9106C">
            <w:pPr>
              <w:suppressLineNumbers/>
              <w:suppressAutoHyphens/>
              <w:ind w:left="1215"/>
              <w:jc w:val="left"/>
              <w:rPr>
                <w:kern w:val="22"/>
                <w:lang w:val="fr-CA"/>
              </w:rPr>
            </w:pPr>
            <w:sdt>
              <w:sdtPr>
                <w:rPr>
                  <w:kern w:val="22"/>
                  <w:lang w:val="fr-CA"/>
                </w:rPr>
                <w:alias w:val="Subject"/>
                <w:tag w:val=""/>
                <w:id w:val="2137136483"/>
                <w:placeholder>
                  <w:docPart w:val="B8D04D9641D74F4DBE59E781E854DC4E"/>
                </w:placeholder>
                <w:dataBinding w:prefixMappings="xmlns:ns0='http://purl.org/dc/elements/1.1/' xmlns:ns1='http://schemas.openxmlformats.org/package/2006/metadata/core-properties' " w:xpath="/ns1:coreProperties[1]/ns0:subject[1]" w:storeItemID="{6C3C8BC8-F283-45AE-878A-BAB7291924A1}"/>
                <w:text/>
              </w:sdtPr>
              <w:sdtEndPr/>
              <w:sdtContent>
                <w:r w:rsidR="00DB5713" w:rsidRPr="000264CA">
                  <w:rPr>
                    <w:kern w:val="22"/>
                    <w:lang w:val="fr-CA"/>
                  </w:rPr>
                  <w:t>CBD/</w:t>
                </w:r>
                <w:proofErr w:type="spellStart"/>
                <w:r w:rsidR="00DB5713" w:rsidRPr="000264CA">
                  <w:rPr>
                    <w:kern w:val="22"/>
                    <w:lang w:val="fr-CA"/>
                  </w:rPr>
                  <w:t>NP</w:t>
                </w:r>
                <w:proofErr w:type="spellEnd"/>
                <w:r w:rsidR="00DB5713" w:rsidRPr="000264CA">
                  <w:rPr>
                    <w:kern w:val="22"/>
                    <w:lang w:val="fr-CA"/>
                  </w:rPr>
                  <w:t>/</w:t>
                </w:r>
                <w:proofErr w:type="spellStart"/>
                <w:r w:rsidR="00031F4E" w:rsidRPr="000264CA">
                  <w:rPr>
                    <w:kern w:val="22"/>
                    <w:lang w:val="fr-CA"/>
                  </w:rPr>
                  <w:t>MOP</w:t>
                </w:r>
                <w:proofErr w:type="spellEnd"/>
                <w:r w:rsidR="00031F4E" w:rsidRPr="000264CA">
                  <w:rPr>
                    <w:kern w:val="22"/>
                    <w:lang w:val="fr-CA"/>
                  </w:rPr>
                  <w:t>/DEC/3/4</w:t>
                </w:r>
              </w:sdtContent>
            </w:sdt>
          </w:p>
          <w:p w:rsidR="00AB5E35" w:rsidRPr="000264CA" w:rsidRDefault="00031F4E" w:rsidP="00A9106C">
            <w:pPr>
              <w:suppressLineNumbers/>
              <w:suppressAutoHyphens/>
              <w:ind w:left="1215"/>
              <w:jc w:val="left"/>
              <w:rPr>
                <w:kern w:val="22"/>
                <w:lang w:val="fr-CA"/>
              </w:rPr>
            </w:pPr>
            <w:r w:rsidRPr="000264CA">
              <w:rPr>
                <w:kern w:val="22"/>
                <w:lang w:val="fr-CA"/>
              </w:rPr>
              <w:t xml:space="preserve">30 </w:t>
            </w:r>
            <w:r w:rsidR="00361584" w:rsidRPr="000264CA">
              <w:rPr>
                <w:kern w:val="22"/>
                <w:lang w:val="fr-CA"/>
              </w:rPr>
              <w:t>novembre</w:t>
            </w:r>
            <w:r w:rsidR="00AB5E35" w:rsidRPr="000264CA">
              <w:rPr>
                <w:kern w:val="22"/>
                <w:lang w:val="fr-CA"/>
              </w:rPr>
              <w:t xml:space="preserve"> 2018</w:t>
            </w:r>
          </w:p>
          <w:p w:rsidR="00AB5E35" w:rsidRPr="000264CA" w:rsidRDefault="00AB5E35" w:rsidP="00A9106C">
            <w:pPr>
              <w:suppressLineNumbers/>
              <w:suppressAutoHyphens/>
              <w:ind w:left="1215"/>
              <w:jc w:val="left"/>
              <w:rPr>
                <w:kern w:val="22"/>
                <w:lang w:val="fr-CA"/>
              </w:rPr>
            </w:pPr>
          </w:p>
          <w:p w:rsidR="00361584" w:rsidRPr="000264CA" w:rsidRDefault="00361584" w:rsidP="00A9106C">
            <w:pPr>
              <w:suppressLineNumbers/>
              <w:suppressAutoHyphens/>
              <w:ind w:left="1215"/>
              <w:jc w:val="left"/>
              <w:rPr>
                <w:kern w:val="22"/>
                <w:lang w:val="fr-CA"/>
              </w:rPr>
            </w:pPr>
            <w:r w:rsidRPr="000264CA">
              <w:rPr>
                <w:kern w:val="22"/>
                <w:lang w:val="fr-CA"/>
              </w:rPr>
              <w:t>FRANÇAIS</w:t>
            </w:r>
          </w:p>
          <w:p w:rsidR="00AB5E35" w:rsidRPr="000264CA" w:rsidRDefault="00AB5E35" w:rsidP="00A9106C">
            <w:pPr>
              <w:suppressLineNumbers/>
              <w:suppressAutoHyphens/>
              <w:ind w:left="1215"/>
              <w:jc w:val="left"/>
              <w:rPr>
                <w:kern w:val="22"/>
                <w:lang w:val="fr-CA"/>
              </w:rPr>
            </w:pPr>
            <w:r w:rsidRPr="000264CA">
              <w:rPr>
                <w:kern w:val="22"/>
                <w:lang w:val="fr-CA"/>
              </w:rPr>
              <w:t>ORIGINAL</w:t>
            </w:r>
            <w:r w:rsidR="00361584" w:rsidRPr="000264CA">
              <w:rPr>
                <w:kern w:val="22"/>
                <w:lang w:val="fr-CA"/>
              </w:rPr>
              <w:t xml:space="preserve"> </w:t>
            </w:r>
            <w:r w:rsidRPr="000264CA">
              <w:rPr>
                <w:kern w:val="22"/>
                <w:lang w:val="fr-CA"/>
              </w:rPr>
              <w:t xml:space="preserve">: </w:t>
            </w:r>
            <w:r w:rsidR="00361584" w:rsidRPr="000264CA">
              <w:rPr>
                <w:kern w:val="22"/>
                <w:lang w:val="fr-CA"/>
              </w:rPr>
              <w:t>ANGLAIS</w:t>
            </w:r>
          </w:p>
          <w:p w:rsidR="00AB5E35" w:rsidRPr="000264CA" w:rsidRDefault="00AB5E35" w:rsidP="00A9106C">
            <w:pPr>
              <w:suppressLineNumbers/>
              <w:suppressAutoHyphens/>
              <w:ind w:left="1215"/>
              <w:jc w:val="left"/>
              <w:rPr>
                <w:kern w:val="22"/>
                <w:lang w:val="fr-CA"/>
              </w:rPr>
            </w:pPr>
          </w:p>
        </w:tc>
      </w:tr>
    </w:tbl>
    <w:bookmarkEnd w:id="0"/>
    <w:p w:rsidR="00361584" w:rsidRPr="000264CA" w:rsidRDefault="00361584" w:rsidP="00361584">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fr-CA"/>
        </w:rPr>
      </w:pPr>
      <w:r w:rsidRPr="000264CA">
        <w:rPr>
          <w:snapToGrid w:val="0"/>
          <w:kern w:val="22"/>
          <w:lang w:val="fr-CA"/>
        </w:rPr>
        <w:t>CONFÉRENCE DES PARTIES À LA CONVENTION SUR LA DIVERSITÉ BIOLOGIQUE SIÉGEANT EN TANT QUE RÉUNION DES PARTIES AU PROTOCOLE DE NAGOYA SUR L’ACCÈS AUX RESSOURCES GÉNÉTIQUES ET LE PARTAGE JUSTE ET ÉQUITABLE DES AVANTAGES DÉCOULANT DE LEUR UTILISATION</w:t>
      </w:r>
    </w:p>
    <w:p w:rsidR="00361584" w:rsidRPr="000264CA" w:rsidRDefault="00361584" w:rsidP="00361584">
      <w:pPr>
        <w:suppressLineNumbers/>
        <w:suppressAutoHyphens/>
        <w:kinsoku w:val="0"/>
        <w:overflowPunct w:val="0"/>
        <w:autoSpaceDE w:val="0"/>
        <w:autoSpaceDN w:val="0"/>
        <w:ind w:left="170" w:right="3119" w:hanging="170"/>
        <w:jc w:val="left"/>
        <w:rPr>
          <w:rFonts w:eastAsia="Batang"/>
          <w:snapToGrid w:val="0"/>
          <w:kern w:val="22"/>
          <w:szCs w:val="22"/>
          <w:lang w:val="fr-CA"/>
        </w:rPr>
      </w:pPr>
      <w:r w:rsidRPr="000264CA">
        <w:rPr>
          <w:snapToGrid w:val="0"/>
          <w:color w:val="000000"/>
          <w:kern w:val="22"/>
          <w:lang w:val="fr-CA"/>
        </w:rPr>
        <w:t>Troisième réunion</w:t>
      </w:r>
    </w:p>
    <w:p w:rsidR="00361584" w:rsidRPr="000264CA" w:rsidRDefault="00361584" w:rsidP="00361584">
      <w:pPr>
        <w:suppressLineNumbers/>
        <w:suppressAutoHyphens/>
        <w:kinsoku w:val="0"/>
        <w:overflowPunct w:val="0"/>
        <w:autoSpaceDE w:val="0"/>
        <w:autoSpaceDN w:val="0"/>
        <w:rPr>
          <w:snapToGrid w:val="0"/>
          <w:kern w:val="22"/>
          <w:szCs w:val="22"/>
          <w:lang w:val="fr-CA" w:eastAsia="nb-NO"/>
        </w:rPr>
      </w:pPr>
      <w:bookmarkStart w:id="1" w:name="_Hlk505863673"/>
      <w:r w:rsidRPr="000264CA">
        <w:rPr>
          <w:noProof/>
          <w:snapToGrid w:val="0"/>
          <w:kern w:val="22"/>
          <w:szCs w:val="22"/>
          <w:lang w:val="fr-CA" w:eastAsia="nb-NO"/>
        </w:rPr>
        <w:t>Charm el</w:t>
      </w:r>
      <w:r w:rsidRPr="000264CA">
        <w:rPr>
          <w:noProof/>
          <w:snapToGrid w:val="0"/>
          <w:kern w:val="22"/>
          <w:szCs w:val="22"/>
          <w:lang w:val="fr-CA" w:eastAsia="nb-NO"/>
        </w:rPr>
        <w:noBreakHyphen/>
        <w:t>Cheikh (Égypt</w:t>
      </w:r>
      <w:bookmarkEnd w:id="1"/>
      <w:r w:rsidRPr="000264CA">
        <w:rPr>
          <w:noProof/>
          <w:snapToGrid w:val="0"/>
          <w:kern w:val="22"/>
          <w:szCs w:val="22"/>
          <w:lang w:val="fr-CA" w:eastAsia="nb-NO"/>
        </w:rPr>
        <w:t>e</w:t>
      </w:r>
      <w:r w:rsidRPr="000264CA">
        <w:rPr>
          <w:snapToGrid w:val="0"/>
          <w:kern w:val="22"/>
          <w:szCs w:val="22"/>
          <w:lang w:val="fr-CA" w:eastAsia="nb-NO"/>
        </w:rPr>
        <w:t>), 17</w:t>
      </w:r>
      <w:r w:rsidRPr="000264CA">
        <w:rPr>
          <w:snapToGrid w:val="0"/>
          <w:kern w:val="22"/>
          <w:szCs w:val="22"/>
          <w:lang w:val="fr-CA" w:eastAsia="nb-NO"/>
        </w:rPr>
        <w:noBreakHyphen/>
        <w:t>29 novembre 2018</w:t>
      </w:r>
    </w:p>
    <w:p w:rsidR="00C9161D" w:rsidRPr="000264CA" w:rsidRDefault="00361584" w:rsidP="00361584">
      <w:pPr>
        <w:suppressLineNumbers/>
        <w:suppressAutoHyphens/>
        <w:rPr>
          <w:kern w:val="22"/>
          <w:szCs w:val="22"/>
          <w:lang w:val="fr-CA"/>
        </w:rPr>
      </w:pPr>
      <w:r w:rsidRPr="000264CA">
        <w:rPr>
          <w:snapToGrid w:val="0"/>
          <w:kern w:val="22"/>
          <w:szCs w:val="22"/>
          <w:lang w:val="fr-CA"/>
        </w:rPr>
        <w:t>Point 1</w:t>
      </w:r>
      <w:r w:rsidR="007E1E83">
        <w:rPr>
          <w:snapToGrid w:val="0"/>
          <w:kern w:val="22"/>
          <w:szCs w:val="22"/>
          <w:lang w:val="fr-CA"/>
        </w:rPr>
        <w:t>1</w:t>
      </w:r>
      <w:r w:rsidRPr="000264CA">
        <w:rPr>
          <w:snapToGrid w:val="0"/>
          <w:kern w:val="22"/>
          <w:szCs w:val="22"/>
          <w:lang w:val="fr-CA"/>
        </w:rPr>
        <w:t xml:space="preserve"> de l’ordre du jour</w:t>
      </w:r>
    </w:p>
    <w:p w:rsidR="00031F4E" w:rsidRPr="000264CA" w:rsidRDefault="00361584" w:rsidP="00A9106C">
      <w:pPr>
        <w:pStyle w:val="Titre1"/>
        <w:suppressLineNumbers/>
        <w:suppressAutoHyphens/>
        <w:rPr>
          <w:kern w:val="22"/>
          <w:szCs w:val="22"/>
          <w:lang w:val="fr-CA"/>
        </w:rPr>
      </w:pPr>
      <w:bookmarkStart w:id="2" w:name="_Hlk532291362"/>
      <w:r w:rsidRPr="000264CA">
        <w:rPr>
          <w:rFonts w:ascii="Times New Roman Bold" w:hAnsi="Times New Roman Bold"/>
          <w:kern w:val="22"/>
          <w:lang w:val="fr-CA"/>
        </w:rPr>
        <w:t>DÉCISION ADOPTÉE PAR LES PARTIES AU PROTOCOLE DE NAGOYA SUR L’ACCÈS ET LE PARTAGE DES AVANTAGES</w:t>
      </w:r>
    </w:p>
    <w:bookmarkEnd w:id="2"/>
    <w:p w:rsidR="00C9161D" w:rsidRPr="000264CA" w:rsidRDefault="00723396" w:rsidP="00A9106C">
      <w:pPr>
        <w:pStyle w:val="recommendationheader"/>
        <w:suppressLineNumbers/>
        <w:suppressAutoHyphens/>
        <w:rPr>
          <w:caps/>
          <w:kern w:val="22"/>
          <w:szCs w:val="22"/>
          <w:lang w:val="fr-CA"/>
        </w:rPr>
      </w:pPr>
      <w:sdt>
        <w:sdtPr>
          <w:rPr>
            <w:snapToGrid w:val="0"/>
            <w:kern w:val="22"/>
            <w:szCs w:val="22"/>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31F4E" w:rsidRPr="000264CA">
            <w:rPr>
              <w:snapToGrid w:val="0"/>
              <w:kern w:val="22"/>
              <w:szCs w:val="22"/>
              <w:lang w:val="fr-CA"/>
            </w:rPr>
            <w:t>3/4.</w:t>
          </w:r>
          <w:r w:rsidR="00031F4E" w:rsidRPr="000264CA">
            <w:rPr>
              <w:snapToGrid w:val="0"/>
              <w:kern w:val="22"/>
              <w:szCs w:val="22"/>
              <w:lang w:val="fr-CA"/>
            </w:rPr>
            <w:tab/>
          </w:r>
          <w:r w:rsidR="000264CA" w:rsidRPr="000264CA">
            <w:rPr>
              <w:snapToGrid w:val="0"/>
              <w:kern w:val="22"/>
              <w:szCs w:val="22"/>
              <w:lang w:val="fr-CA"/>
            </w:rPr>
            <w:t>Suivi et établissement de rapports (a</w:t>
          </w:r>
          <w:r w:rsidR="00031F4E" w:rsidRPr="000264CA">
            <w:rPr>
              <w:snapToGrid w:val="0"/>
              <w:kern w:val="22"/>
              <w:szCs w:val="22"/>
              <w:lang w:val="fr-CA"/>
            </w:rPr>
            <w:t>rticle 29)</w:t>
          </w:r>
        </w:sdtContent>
      </w:sdt>
    </w:p>
    <w:p w:rsidR="000264CA" w:rsidRPr="00DE7EF7" w:rsidRDefault="000264CA" w:rsidP="000264CA">
      <w:pPr>
        <w:pStyle w:val="Para1"/>
        <w:numPr>
          <w:ilvl w:val="0"/>
          <w:numId w:val="0"/>
        </w:numPr>
        <w:suppressLineNumbers/>
        <w:suppressAutoHyphens/>
        <w:kinsoku w:val="0"/>
        <w:overflowPunct w:val="0"/>
        <w:autoSpaceDE w:val="0"/>
        <w:autoSpaceDN w:val="0"/>
        <w:adjustRightInd w:val="0"/>
        <w:snapToGrid w:val="0"/>
        <w:ind w:firstLine="709"/>
        <w:rPr>
          <w:i/>
          <w:kern w:val="22"/>
          <w:szCs w:val="22"/>
          <w:lang w:val="fr-CA"/>
        </w:rPr>
      </w:pPr>
      <w:r w:rsidRPr="00DE7EF7">
        <w:rPr>
          <w:i/>
          <w:kern w:val="22"/>
          <w:szCs w:val="22"/>
          <w:lang w:val="fr-CA"/>
        </w:rPr>
        <w:t>La Conférence des Parties siégeant en tant que réunion des Parties au Protocole de Nagoya sur l'accès et le partage des avantages,</w:t>
      </w:r>
    </w:p>
    <w:p w:rsidR="000264CA" w:rsidRPr="00DE7EF7" w:rsidRDefault="000264CA" w:rsidP="000264CA">
      <w:pPr>
        <w:pStyle w:val="Para1"/>
        <w:numPr>
          <w:ilvl w:val="0"/>
          <w:numId w:val="0"/>
        </w:numPr>
        <w:suppressLineNumbers/>
        <w:suppressAutoHyphens/>
        <w:kinsoku w:val="0"/>
        <w:overflowPunct w:val="0"/>
        <w:autoSpaceDE w:val="0"/>
        <w:autoSpaceDN w:val="0"/>
        <w:adjustRightInd w:val="0"/>
        <w:snapToGrid w:val="0"/>
        <w:ind w:firstLine="709"/>
        <w:rPr>
          <w:kern w:val="22"/>
          <w:szCs w:val="22"/>
          <w:lang w:val="fr-CA"/>
        </w:rPr>
      </w:pPr>
      <w:r w:rsidRPr="00DE7EF7">
        <w:rPr>
          <w:i/>
          <w:kern w:val="22"/>
          <w:szCs w:val="22"/>
          <w:lang w:val="fr-CA"/>
        </w:rPr>
        <w:t>Reconnaissant</w:t>
      </w:r>
      <w:r w:rsidRPr="00DE7EF7">
        <w:rPr>
          <w:kern w:val="22"/>
          <w:szCs w:val="22"/>
          <w:lang w:val="fr-CA"/>
        </w:rPr>
        <w:t xml:space="preserve"> l’importance de mieux harmoniser l’établissement des rapports nationaux relatifs à la Convention et à ses Protocoles, et d’accroître les synergies qui existent parmi les conventions relatives à la diversité biologique, les conventions de Rio, le Programme de développement durable à l’horizon 2030</w:t>
      </w:r>
      <w:r w:rsidRPr="000264CA">
        <w:rPr>
          <w:vertAlign w:val="superscript"/>
        </w:rPr>
        <w:footnoteReference w:id="1"/>
      </w:r>
      <w:r w:rsidRPr="00DE7EF7">
        <w:rPr>
          <w:kern w:val="22"/>
          <w:szCs w:val="22"/>
          <w:lang w:val="fr-CA"/>
        </w:rPr>
        <w:t xml:space="preserve"> et les outils mis en place pour l’établissement des rapports relatifs aux Objectifs de développement durable, et </w:t>
      </w:r>
      <w:r w:rsidRPr="00DE7EF7">
        <w:rPr>
          <w:i/>
          <w:kern w:val="22"/>
          <w:szCs w:val="22"/>
          <w:lang w:val="fr-CA"/>
        </w:rPr>
        <w:t>prenant acte</w:t>
      </w:r>
      <w:r w:rsidRPr="00DE7EF7">
        <w:rPr>
          <w:kern w:val="22"/>
          <w:szCs w:val="22"/>
          <w:lang w:val="fr-CA"/>
        </w:rPr>
        <w:t xml:space="preserve"> des progrès accomplis à ce jour à cet égard,</w:t>
      </w:r>
    </w:p>
    <w:p w:rsidR="000264CA" w:rsidRPr="00DE7EF7" w:rsidRDefault="000264CA" w:rsidP="000264CA">
      <w:pPr>
        <w:pStyle w:val="Para1"/>
        <w:numPr>
          <w:ilvl w:val="0"/>
          <w:numId w:val="0"/>
        </w:numPr>
        <w:suppressLineNumbers/>
        <w:tabs>
          <w:tab w:val="left" w:pos="284"/>
        </w:tabs>
        <w:suppressAutoHyphens/>
        <w:kinsoku w:val="0"/>
        <w:overflowPunct w:val="0"/>
        <w:autoSpaceDE w:val="0"/>
        <w:autoSpaceDN w:val="0"/>
        <w:adjustRightInd w:val="0"/>
        <w:snapToGrid w:val="0"/>
        <w:ind w:firstLine="709"/>
        <w:rPr>
          <w:kern w:val="22"/>
          <w:szCs w:val="22"/>
          <w:lang w:val="fr-CA"/>
        </w:rPr>
      </w:pPr>
      <w:r w:rsidRPr="00DE7EF7">
        <w:rPr>
          <w:kern w:val="22"/>
          <w:szCs w:val="22"/>
          <w:lang w:val="fr-CA"/>
        </w:rPr>
        <w:t>1.</w:t>
      </w:r>
      <w:r w:rsidRPr="00DE7EF7">
        <w:rPr>
          <w:i/>
          <w:kern w:val="22"/>
          <w:szCs w:val="22"/>
          <w:lang w:val="fr-CA"/>
        </w:rPr>
        <w:tab/>
        <w:t>Accepte</w:t>
      </w:r>
      <w:r w:rsidRPr="00DE7EF7">
        <w:rPr>
          <w:kern w:val="22"/>
          <w:szCs w:val="22"/>
          <w:lang w:val="fr-CA"/>
        </w:rPr>
        <w:t xml:space="preserve"> l’invitation qui lui a été faite par la Conférence des Parties à la C</w:t>
      </w:r>
      <w:r w:rsidR="003D0F73">
        <w:rPr>
          <w:kern w:val="22"/>
          <w:szCs w:val="22"/>
          <w:lang w:val="fr-CA"/>
        </w:rPr>
        <w:t>onvention au paragraphe 1 de la décision 14/27</w:t>
      </w:r>
      <w:r w:rsidRPr="00DE7EF7">
        <w:rPr>
          <w:kern w:val="22"/>
          <w:szCs w:val="22"/>
          <w:lang w:val="fr-CA"/>
        </w:rPr>
        <w:t xml:space="preserve">, et </w:t>
      </w:r>
      <w:r w:rsidRPr="00DE7EF7">
        <w:rPr>
          <w:i/>
          <w:kern w:val="22"/>
          <w:szCs w:val="22"/>
          <w:lang w:val="fr-CA"/>
        </w:rPr>
        <w:t>convient</w:t>
      </w:r>
      <w:r w:rsidRPr="00DE7EF7">
        <w:rPr>
          <w:kern w:val="22"/>
          <w:szCs w:val="22"/>
          <w:lang w:val="fr-CA"/>
        </w:rPr>
        <w:t xml:space="preserve"> d’instaurer un cycle synchronisé pour l’établissement des rapports nationaux à partir de 2023.</w:t>
      </w:r>
    </w:p>
    <w:p w:rsidR="000264CA" w:rsidRPr="00DE7EF7" w:rsidRDefault="000264CA" w:rsidP="000264CA">
      <w:pPr>
        <w:suppressLineNumbers/>
        <w:suppressAutoHyphens/>
        <w:kinsoku w:val="0"/>
        <w:overflowPunct w:val="0"/>
        <w:autoSpaceDE w:val="0"/>
        <w:autoSpaceDN w:val="0"/>
        <w:adjustRightInd w:val="0"/>
        <w:snapToGrid w:val="0"/>
        <w:spacing w:before="120" w:after="120" w:line="228" w:lineRule="auto"/>
        <w:ind w:firstLine="720"/>
        <w:rPr>
          <w:snapToGrid w:val="0"/>
          <w:kern w:val="22"/>
          <w:szCs w:val="22"/>
          <w:lang w:val="fr-CA"/>
        </w:rPr>
      </w:pPr>
      <w:r w:rsidRPr="00DE7EF7">
        <w:rPr>
          <w:snapToGrid w:val="0"/>
          <w:kern w:val="22"/>
          <w:szCs w:val="22"/>
          <w:lang w:val="fr-CA"/>
        </w:rPr>
        <w:t>2.</w:t>
      </w:r>
      <w:r w:rsidRPr="00DE7EF7">
        <w:rPr>
          <w:snapToGrid w:val="0"/>
          <w:kern w:val="22"/>
          <w:szCs w:val="22"/>
          <w:lang w:val="fr-CA"/>
        </w:rPr>
        <w:tab/>
      </w:r>
      <w:r w:rsidRPr="00DE7EF7">
        <w:rPr>
          <w:i/>
          <w:snapToGrid w:val="0"/>
          <w:kern w:val="22"/>
          <w:szCs w:val="22"/>
          <w:lang w:val="fr-CA"/>
        </w:rPr>
        <w:t>Se réjouit</w:t>
      </w:r>
      <w:r>
        <w:rPr>
          <w:snapToGrid w:val="0"/>
          <w:kern w:val="22"/>
          <w:szCs w:val="22"/>
          <w:lang w:val="fr-CA"/>
        </w:rPr>
        <w:t xml:space="preserve"> que 82</w:t>
      </w:r>
      <w:r w:rsidRPr="00DE7EF7">
        <w:rPr>
          <w:snapToGrid w:val="0"/>
          <w:kern w:val="22"/>
          <w:szCs w:val="22"/>
          <w:lang w:val="fr-CA"/>
        </w:rPr>
        <w:t xml:space="preserve"> des 100 Parties ayant l'obligation de produire un rapport aient remis un rapport </w:t>
      </w:r>
      <w:r w:rsidR="003D0F73">
        <w:rPr>
          <w:snapToGrid w:val="0"/>
          <w:kern w:val="22"/>
          <w:szCs w:val="22"/>
          <w:lang w:val="fr-CA"/>
        </w:rPr>
        <w:t xml:space="preserve">national </w:t>
      </w:r>
      <w:r w:rsidRPr="00DE7EF7">
        <w:rPr>
          <w:snapToGrid w:val="0"/>
          <w:kern w:val="22"/>
          <w:szCs w:val="22"/>
          <w:lang w:val="fr-CA"/>
        </w:rPr>
        <w:t>provisoire ;</w:t>
      </w:r>
    </w:p>
    <w:p w:rsidR="000264CA" w:rsidRPr="00DE7EF7" w:rsidRDefault="000264CA" w:rsidP="000264CA">
      <w:pPr>
        <w:suppressLineNumbers/>
        <w:suppressAutoHyphens/>
        <w:kinsoku w:val="0"/>
        <w:overflowPunct w:val="0"/>
        <w:autoSpaceDE w:val="0"/>
        <w:autoSpaceDN w:val="0"/>
        <w:adjustRightInd w:val="0"/>
        <w:snapToGrid w:val="0"/>
        <w:spacing w:before="120" w:after="120" w:line="228" w:lineRule="auto"/>
        <w:ind w:firstLine="720"/>
        <w:rPr>
          <w:snapToGrid w:val="0"/>
          <w:kern w:val="22"/>
          <w:szCs w:val="22"/>
          <w:lang w:val="fr-CA"/>
        </w:rPr>
      </w:pPr>
      <w:r w:rsidRPr="00DE7EF7">
        <w:rPr>
          <w:snapToGrid w:val="0"/>
          <w:kern w:val="22"/>
          <w:szCs w:val="22"/>
          <w:lang w:val="fr-CA"/>
        </w:rPr>
        <w:t>3.</w:t>
      </w:r>
      <w:r w:rsidRPr="00DE7EF7">
        <w:rPr>
          <w:snapToGrid w:val="0"/>
          <w:kern w:val="22"/>
          <w:szCs w:val="22"/>
          <w:lang w:val="fr-CA"/>
        </w:rPr>
        <w:tab/>
      </w:r>
      <w:r w:rsidRPr="00DE7EF7">
        <w:rPr>
          <w:i/>
          <w:snapToGrid w:val="0"/>
          <w:kern w:val="22"/>
          <w:szCs w:val="22"/>
          <w:lang w:val="fr-CA"/>
        </w:rPr>
        <w:t>Accueille avec satisfaction</w:t>
      </w:r>
      <w:r w:rsidRPr="00DE7EF7">
        <w:rPr>
          <w:snapToGrid w:val="0"/>
          <w:kern w:val="22"/>
          <w:szCs w:val="22"/>
          <w:lang w:val="fr-CA"/>
        </w:rPr>
        <w:t xml:space="preserve"> les rapports nationaux provisoires remis par les </w:t>
      </w:r>
      <w:r w:rsidR="0087703A">
        <w:rPr>
          <w:snapToGrid w:val="0"/>
          <w:kern w:val="22"/>
          <w:szCs w:val="22"/>
          <w:lang w:val="fr-CA"/>
        </w:rPr>
        <w:t>États</w:t>
      </w:r>
      <w:r w:rsidRPr="00DE7EF7">
        <w:rPr>
          <w:snapToGrid w:val="0"/>
          <w:kern w:val="22"/>
          <w:szCs w:val="22"/>
          <w:lang w:val="fr-CA"/>
        </w:rPr>
        <w:t xml:space="preserve"> non Parties ;</w:t>
      </w:r>
    </w:p>
    <w:p w:rsidR="000264CA" w:rsidRPr="00DE7EF7" w:rsidRDefault="000264CA" w:rsidP="000264CA">
      <w:pPr>
        <w:suppressLineNumbers/>
        <w:suppressAutoHyphens/>
        <w:kinsoku w:val="0"/>
        <w:overflowPunct w:val="0"/>
        <w:autoSpaceDE w:val="0"/>
        <w:autoSpaceDN w:val="0"/>
        <w:adjustRightInd w:val="0"/>
        <w:snapToGrid w:val="0"/>
        <w:spacing w:before="120" w:after="120" w:line="228" w:lineRule="auto"/>
        <w:ind w:firstLine="720"/>
        <w:rPr>
          <w:snapToGrid w:val="0"/>
          <w:spacing w:val="-8"/>
          <w:kern w:val="22"/>
          <w:szCs w:val="22"/>
          <w:lang w:val="fr-CA"/>
        </w:rPr>
      </w:pPr>
      <w:r w:rsidRPr="00DE7EF7">
        <w:rPr>
          <w:snapToGrid w:val="0"/>
          <w:spacing w:val="-8"/>
          <w:kern w:val="22"/>
          <w:szCs w:val="22"/>
          <w:lang w:val="fr-CA"/>
        </w:rPr>
        <w:t>4.</w:t>
      </w:r>
      <w:r w:rsidRPr="00DE7EF7">
        <w:rPr>
          <w:snapToGrid w:val="0"/>
          <w:spacing w:val="-8"/>
          <w:kern w:val="22"/>
          <w:szCs w:val="22"/>
          <w:lang w:val="fr-CA"/>
        </w:rPr>
        <w:tab/>
      </w:r>
      <w:r w:rsidRPr="00DE7EF7">
        <w:rPr>
          <w:i/>
          <w:snapToGrid w:val="0"/>
          <w:spacing w:val="-8"/>
          <w:kern w:val="22"/>
          <w:szCs w:val="22"/>
          <w:lang w:val="fr-CA"/>
        </w:rPr>
        <w:t>Exhorte</w:t>
      </w:r>
      <w:r w:rsidRPr="00DE7EF7">
        <w:rPr>
          <w:snapToGrid w:val="0"/>
          <w:spacing w:val="-8"/>
          <w:kern w:val="22"/>
          <w:szCs w:val="22"/>
          <w:lang w:val="fr-CA"/>
        </w:rPr>
        <w:t xml:space="preserve"> les pays qui n’ont pas encore remis leur rapport provisoire à le faire dans les meilleurs délais ;</w:t>
      </w:r>
    </w:p>
    <w:p w:rsidR="000264CA" w:rsidRPr="00DE7EF7" w:rsidRDefault="000264CA" w:rsidP="000264CA">
      <w:pPr>
        <w:suppressLineNumbers/>
        <w:suppressAutoHyphens/>
        <w:kinsoku w:val="0"/>
        <w:overflowPunct w:val="0"/>
        <w:autoSpaceDE w:val="0"/>
        <w:autoSpaceDN w:val="0"/>
        <w:adjustRightInd w:val="0"/>
        <w:snapToGrid w:val="0"/>
        <w:spacing w:before="120" w:after="120" w:line="228" w:lineRule="auto"/>
        <w:ind w:firstLine="720"/>
        <w:rPr>
          <w:snapToGrid w:val="0"/>
          <w:kern w:val="22"/>
          <w:szCs w:val="22"/>
          <w:lang w:val="fr-CA"/>
        </w:rPr>
      </w:pPr>
      <w:r w:rsidRPr="00DE7EF7">
        <w:rPr>
          <w:snapToGrid w:val="0"/>
          <w:kern w:val="22"/>
          <w:szCs w:val="22"/>
          <w:lang w:val="fr-CA"/>
        </w:rPr>
        <w:t>5.</w:t>
      </w:r>
      <w:r w:rsidRPr="00DE7EF7">
        <w:rPr>
          <w:snapToGrid w:val="0"/>
          <w:kern w:val="22"/>
          <w:szCs w:val="22"/>
          <w:lang w:val="fr-CA"/>
        </w:rPr>
        <w:tab/>
      </w:r>
      <w:r w:rsidRPr="00DE7EF7">
        <w:rPr>
          <w:i/>
          <w:snapToGrid w:val="0"/>
          <w:kern w:val="22"/>
          <w:szCs w:val="22"/>
          <w:lang w:val="fr-CA"/>
        </w:rPr>
        <w:t>Exprime sa satisfaction</w:t>
      </w:r>
      <w:r w:rsidRPr="00DE7EF7">
        <w:rPr>
          <w:snapToGrid w:val="0"/>
          <w:kern w:val="22"/>
          <w:szCs w:val="22"/>
          <w:lang w:val="fr-CA"/>
        </w:rPr>
        <w:t xml:space="preserve"> concernant le soutien financier accordé par le Fonds pour l’environnement mondial à plusieurs Parties admissibles afin d’appuyer la préparation de leurs rapports nationaux provisoires, et </w:t>
      </w:r>
      <w:r w:rsidRPr="00DE7EF7">
        <w:rPr>
          <w:i/>
          <w:snapToGrid w:val="0"/>
          <w:kern w:val="22"/>
          <w:szCs w:val="22"/>
          <w:lang w:val="fr-CA"/>
        </w:rPr>
        <w:t>prend note</w:t>
      </w:r>
      <w:r w:rsidRPr="00DE7EF7">
        <w:rPr>
          <w:snapToGrid w:val="0"/>
          <w:kern w:val="22"/>
          <w:szCs w:val="22"/>
          <w:lang w:val="fr-CA"/>
        </w:rPr>
        <w:t xml:space="preserve"> de l’importance de rendre le soutien financier disponible à point nommé afin de soutenir la préparation et la remise des rapports nationaux avant la date limite ;</w:t>
      </w:r>
    </w:p>
    <w:p w:rsidR="000264CA" w:rsidRPr="00DE7EF7" w:rsidRDefault="000264CA" w:rsidP="000264CA">
      <w:pPr>
        <w:suppressLineNumbers/>
        <w:suppressAutoHyphens/>
        <w:kinsoku w:val="0"/>
        <w:overflowPunct w:val="0"/>
        <w:autoSpaceDE w:val="0"/>
        <w:autoSpaceDN w:val="0"/>
        <w:adjustRightInd w:val="0"/>
        <w:snapToGrid w:val="0"/>
        <w:spacing w:before="120" w:after="120" w:line="228" w:lineRule="auto"/>
        <w:ind w:firstLine="720"/>
        <w:rPr>
          <w:snapToGrid w:val="0"/>
          <w:kern w:val="22"/>
          <w:szCs w:val="22"/>
          <w:lang w:val="fr-CA"/>
        </w:rPr>
      </w:pPr>
      <w:r w:rsidRPr="00DE7EF7">
        <w:rPr>
          <w:snapToGrid w:val="0"/>
          <w:kern w:val="22"/>
          <w:szCs w:val="22"/>
          <w:lang w:val="fr-CA"/>
        </w:rPr>
        <w:t>6.</w:t>
      </w:r>
      <w:r w:rsidRPr="00DE7EF7">
        <w:rPr>
          <w:snapToGrid w:val="0"/>
          <w:kern w:val="22"/>
          <w:szCs w:val="22"/>
          <w:lang w:val="fr-CA"/>
        </w:rPr>
        <w:tab/>
      </w:r>
      <w:r w:rsidRPr="00DE7EF7">
        <w:rPr>
          <w:i/>
          <w:iCs/>
          <w:snapToGrid w:val="0"/>
          <w:kern w:val="22"/>
          <w:szCs w:val="22"/>
          <w:lang w:val="fr-CA"/>
        </w:rPr>
        <w:t>Se réjouit</w:t>
      </w:r>
      <w:r w:rsidRPr="00DE7EF7">
        <w:rPr>
          <w:snapToGrid w:val="0"/>
          <w:kern w:val="22"/>
          <w:szCs w:val="22"/>
          <w:lang w:val="fr-CA"/>
        </w:rPr>
        <w:t xml:space="preserve"> des efforts déployés par le Secrétariat pour aider les Parties à remettre leur rapports nationaux provisoires ;</w:t>
      </w:r>
      <w:r>
        <w:rPr>
          <w:snapToGrid w:val="0"/>
          <w:kern w:val="22"/>
          <w:szCs w:val="22"/>
          <w:lang w:val="fr-CA"/>
        </w:rPr>
        <w:t xml:space="preserve">     </w:t>
      </w:r>
    </w:p>
    <w:p w:rsidR="000264CA" w:rsidRPr="00DE7EF7" w:rsidRDefault="000264CA" w:rsidP="000264CA">
      <w:pPr>
        <w:suppressLineNumbers/>
        <w:suppressAutoHyphens/>
        <w:kinsoku w:val="0"/>
        <w:overflowPunct w:val="0"/>
        <w:autoSpaceDE w:val="0"/>
        <w:autoSpaceDN w:val="0"/>
        <w:adjustRightInd w:val="0"/>
        <w:snapToGrid w:val="0"/>
        <w:spacing w:before="120" w:after="120" w:line="228" w:lineRule="auto"/>
        <w:ind w:firstLine="720"/>
        <w:rPr>
          <w:snapToGrid w:val="0"/>
          <w:kern w:val="22"/>
          <w:szCs w:val="22"/>
          <w:lang w:val="fr-CA"/>
        </w:rPr>
      </w:pPr>
      <w:r w:rsidRPr="00DE7EF7">
        <w:rPr>
          <w:snapToGrid w:val="0"/>
          <w:kern w:val="22"/>
          <w:szCs w:val="22"/>
          <w:lang w:val="fr-CA"/>
        </w:rPr>
        <w:lastRenderedPageBreak/>
        <w:t>7.</w:t>
      </w:r>
      <w:r w:rsidRPr="00DE7EF7">
        <w:rPr>
          <w:snapToGrid w:val="0"/>
          <w:kern w:val="22"/>
          <w:szCs w:val="22"/>
          <w:lang w:val="fr-CA"/>
        </w:rPr>
        <w:tab/>
      </w:r>
      <w:r w:rsidRPr="00DE7EF7">
        <w:rPr>
          <w:i/>
          <w:snapToGrid w:val="0"/>
          <w:kern w:val="22"/>
          <w:szCs w:val="22"/>
          <w:lang w:val="fr-CA"/>
        </w:rPr>
        <w:t>Prie</w:t>
      </w:r>
      <w:r w:rsidRPr="00DE7EF7">
        <w:rPr>
          <w:snapToGrid w:val="0"/>
          <w:kern w:val="22"/>
          <w:szCs w:val="22"/>
          <w:lang w:val="fr-CA"/>
        </w:rPr>
        <w:t xml:space="preserve"> le Comité de conformité de contribuer à la révision du modèle de rapport pour le prochain cycle d’établissement de rapports ;</w:t>
      </w:r>
    </w:p>
    <w:p w:rsidR="000264CA" w:rsidRPr="00DE7EF7" w:rsidRDefault="000264CA" w:rsidP="000264CA">
      <w:pPr>
        <w:suppressLineNumbers/>
        <w:suppressAutoHyphens/>
        <w:kinsoku w:val="0"/>
        <w:overflowPunct w:val="0"/>
        <w:autoSpaceDE w:val="0"/>
        <w:autoSpaceDN w:val="0"/>
        <w:snapToGrid w:val="0"/>
        <w:spacing w:before="120" w:after="120"/>
        <w:ind w:firstLine="709"/>
        <w:rPr>
          <w:snapToGrid w:val="0"/>
          <w:kern w:val="22"/>
          <w:lang w:val="fr-CA"/>
        </w:rPr>
      </w:pPr>
      <w:r w:rsidRPr="00DE7EF7">
        <w:rPr>
          <w:snapToGrid w:val="0"/>
          <w:kern w:val="22"/>
          <w:lang w:val="fr-CA"/>
        </w:rPr>
        <w:t>8.</w:t>
      </w:r>
      <w:r w:rsidRPr="00DE7EF7">
        <w:rPr>
          <w:snapToGrid w:val="0"/>
          <w:kern w:val="22"/>
          <w:lang w:val="fr-CA"/>
        </w:rPr>
        <w:tab/>
      </w:r>
      <w:r w:rsidRPr="00DE7EF7">
        <w:rPr>
          <w:i/>
          <w:snapToGrid w:val="0"/>
          <w:kern w:val="22"/>
          <w:lang w:val="fr-CA"/>
        </w:rPr>
        <w:t>Prie</w:t>
      </w:r>
      <w:r w:rsidRPr="00DE7EF7">
        <w:rPr>
          <w:snapToGrid w:val="0"/>
          <w:kern w:val="22"/>
          <w:lang w:val="fr-CA"/>
        </w:rPr>
        <w:t xml:space="preserve"> la Secrétaire exécutive de réviser le modèle d’établissement des rapports pour examen par la Conférence des Parties siégeant en tant que réunion des Parties au Protocole à sa quatrième réunion, en tenant compte des observations reçues, des contributions du Comité de conformité, du cadre des indicateurs figurant dans la décision N</w:t>
      </w:r>
      <w:r w:rsidR="003D0F73">
        <w:rPr>
          <w:snapToGrid w:val="0"/>
          <w:kern w:val="22"/>
          <w:lang w:val="fr-CA"/>
        </w:rPr>
        <w:t>P-3/1, du C</w:t>
      </w:r>
      <w:r w:rsidRPr="00DE7EF7">
        <w:rPr>
          <w:snapToGrid w:val="0"/>
          <w:kern w:val="22"/>
          <w:lang w:val="fr-CA"/>
        </w:rPr>
        <w:t>adre mondial de la biodiversité pour l’après-2020 et de l'harmonisation des rapports nationaux au titre de la Convention et de ses protocoles, en ayant à l'esprit la nécessité de continuité du format afin de mesurer les progrès réalisés dans la mise en œuvre ;</w:t>
      </w:r>
    </w:p>
    <w:p w:rsidR="000264CA" w:rsidRPr="00DE7EF7" w:rsidRDefault="000264CA" w:rsidP="000264CA">
      <w:pPr>
        <w:suppressLineNumbers/>
        <w:suppressAutoHyphens/>
        <w:kinsoku w:val="0"/>
        <w:overflowPunct w:val="0"/>
        <w:autoSpaceDE w:val="0"/>
        <w:autoSpaceDN w:val="0"/>
        <w:snapToGrid w:val="0"/>
        <w:spacing w:before="120" w:after="120"/>
        <w:ind w:firstLine="709"/>
        <w:rPr>
          <w:snapToGrid w:val="0"/>
          <w:kern w:val="22"/>
          <w:lang w:val="fr-CA"/>
        </w:rPr>
      </w:pPr>
      <w:r w:rsidRPr="00DE7EF7">
        <w:rPr>
          <w:snapToGrid w:val="0"/>
          <w:kern w:val="22"/>
          <w:lang w:val="fr-CA"/>
        </w:rPr>
        <w:t>9.</w:t>
      </w:r>
      <w:r w:rsidRPr="00DE7EF7">
        <w:rPr>
          <w:snapToGrid w:val="0"/>
          <w:kern w:val="22"/>
          <w:lang w:val="fr-CA"/>
        </w:rPr>
        <w:tab/>
      </w:r>
      <w:r w:rsidRPr="00DE7EF7">
        <w:rPr>
          <w:i/>
          <w:snapToGrid w:val="0"/>
          <w:kern w:val="22"/>
          <w:lang w:val="fr-CA"/>
        </w:rPr>
        <w:t>Décide</w:t>
      </w:r>
      <w:r w:rsidRPr="00DE7EF7">
        <w:rPr>
          <w:snapToGrid w:val="0"/>
          <w:kern w:val="22"/>
          <w:lang w:val="fr-CA"/>
        </w:rPr>
        <w:t xml:space="preserve"> de réexaminer la question de la périodicité des rapports à présenter à la sixième réunion de la Conférence des Parties siégeant en tant que réunion des Parties au Protocole, en tenant compte de l'harmonisation des rapports nationaux au titre de la Convent</w:t>
      </w:r>
      <w:r w:rsidR="007E1E83">
        <w:rPr>
          <w:snapToGrid w:val="0"/>
          <w:kern w:val="22"/>
          <w:lang w:val="fr-CA"/>
        </w:rPr>
        <w:t>ion et de ses protocoles et du C</w:t>
      </w:r>
      <w:r w:rsidRPr="00DE7EF7">
        <w:rPr>
          <w:snapToGrid w:val="0"/>
          <w:kern w:val="22"/>
          <w:lang w:val="fr-CA"/>
        </w:rPr>
        <w:t xml:space="preserve">adre mondial de la biodiversité pour l’après-2020. </w:t>
      </w:r>
    </w:p>
    <w:p w:rsidR="006809B3" w:rsidRPr="007E1E83" w:rsidRDefault="006809B3" w:rsidP="000264CA">
      <w:pPr>
        <w:suppressLineNumbers/>
        <w:suppressAutoHyphens/>
        <w:kinsoku w:val="0"/>
        <w:overflowPunct w:val="0"/>
        <w:autoSpaceDE w:val="0"/>
        <w:autoSpaceDN w:val="0"/>
        <w:snapToGrid w:val="0"/>
        <w:spacing w:before="120" w:after="120"/>
        <w:rPr>
          <w:snapToGrid w:val="0"/>
          <w:kern w:val="22"/>
          <w:lang w:val="fr-CA"/>
        </w:rPr>
      </w:pPr>
    </w:p>
    <w:p w:rsidR="00464FF7" w:rsidRPr="000264CA" w:rsidRDefault="00464FF7" w:rsidP="00A9106C">
      <w:pPr>
        <w:suppressLineNumbers/>
        <w:suppressAutoHyphens/>
        <w:rPr>
          <w:kern w:val="22"/>
          <w:szCs w:val="22"/>
          <w:lang w:val="fr-CA"/>
        </w:rPr>
      </w:pPr>
    </w:p>
    <w:p w:rsidR="00B3369F" w:rsidRPr="000264CA" w:rsidRDefault="00A41B97" w:rsidP="00A9106C">
      <w:pPr>
        <w:keepNext/>
        <w:suppressLineNumbers/>
        <w:suppressAutoHyphens/>
        <w:spacing w:after="120"/>
        <w:ind w:left="4320"/>
        <w:jc w:val="left"/>
        <w:rPr>
          <w:kern w:val="22"/>
          <w:szCs w:val="22"/>
          <w:lang w:val="fr-CA"/>
        </w:rPr>
      </w:pPr>
      <w:r w:rsidRPr="000264CA">
        <w:rPr>
          <w:kern w:val="22"/>
          <w:szCs w:val="22"/>
          <w:lang w:val="fr-CA"/>
        </w:rPr>
        <w:t>__________</w:t>
      </w:r>
    </w:p>
    <w:sectPr w:rsidR="00B3369F" w:rsidRPr="000264CA"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396" w:rsidRDefault="00723396" w:rsidP="00CF1848">
      <w:r>
        <w:separator/>
      </w:r>
    </w:p>
  </w:endnote>
  <w:endnote w:type="continuationSeparator" w:id="0">
    <w:p w:rsidR="00723396" w:rsidRDefault="0072339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396" w:rsidRDefault="00723396" w:rsidP="00CF1848">
      <w:r>
        <w:separator/>
      </w:r>
    </w:p>
  </w:footnote>
  <w:footnote w:type="continuationSeparator" w:id="0">
    <w:p w:rsidR="00723396" w:rsidRDefault="00723396" w:rsidP="00CF1848">
      <w:r>
        <w:continuationSeparator/>
      </w:r>
    </w:p>
  </w:footnote>
  <w:footnote w:id="1">
    <w:p w:rsidR="000264CA" w:rsidRPr="00DE7EF7" w:rsidRDefault="000264CA" w:rsidP="000264CA">
      <w:pPr>
        <w:pStyle w:val="Notedebasdepage"/>
        <w:kinsoku w:val="0"/>
        <w:overflowPunct w:val="0"/>
        <w:autoSpaceDE w:val="0"/>
        <w:autoSpaceDN w:val="0"/>
        <w:ind w:firstLine="0"/>
        <w:rPr>
          <w:lang w:val="fr-CA"/>
        </w:rPr>
      </w:pPr>
      <w:r>
        <w:rPr>
          <w:rStyle w:val="Appelnotedebasdep"/>
          <w:rFonts w:eastAsiaTheme="majorEastAsia"/>
        </w:rPr>
        <w:footnoteRef/>
      </w:r>
      <w:r w:rsidRPr="00DE7EF7">
        <w:rPr>
          <w:lang w:val="fr-CA"/>
        </w:rPr>
        <w:t xml:space="preserve"> </w:t>
      </w:r>
      <w:r w:rsidR="003D0F73">
        <w:rPr>
          <w:lang w:val="fr-CA"/>
        </w:rPr>
        <w:t>Voir la r</w:t>
      </w:r>
      <w:r w:rsidRPr="00DE7EF7">
        <w:rPr>
          <w:lang w:val="fr-CA"/>
        </w:rPr>
        <w:t xml:space="preserve">ésolution </w:t>
      </w:r>
      <w:hyperlink r:id="rId1" w:history="1">
        <w:r w:rsidRPr="009D22EE">
          <w:rPr>
            <w:rStyle w:val="Lienhypertexte"/>
            <w:lang w:val="fr-CA"/>
          </w:rPr>
          <w:t>70/1</w:t>
        </w:r>
      </w:hyperlink>
      <w:bookmarkStart w:id="3" w:name="_GoBack"/>
      <w:bookmarkEnd w:id="3"/>
      <w:r w:rsidRPr="00DE7EF7">
        <w:rPr>
          <w:lang w:val="fr-CA"/>
        </w:rPr>
        <w:t xml:space="preserve"> de l'Assemblée générale des Nations Unies du 25 septembre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AB5E35" w:rsidRPr="00361584" w:rsidRDefault="00DB5713" w:rsidP="00A9106C">
        <w:pPr>
          <w:pStyle w:val="En-tte"/>
          <w:tabs>
            <w:tab w:val="clear" w:pos="4320"/>
            <w:tab w:val="clear" w:pos="8640"/>
          </w:tabs>
          <w:jc w:val="left"/>
          <w:rPr>
            <w:noProof/>
            <w:kern w:val="22"/>
            <w:lang w:val="fr-CA"/>
          </w:rPr>
        </w:pPr>
        <w:r w:rsidRPr="00361584">
          <w:rPr>
            <w:noProof/>
            <w:kern w:val="22"/>
            <w:lang w:val="fr-CA"/>
          </w:rPr>
          <w:t>CBD/NP/MOP/DEC/3/4</w:t>
        </w:r>
      </w:p>
    </w:sdtContent>
  </w:sdt>
  <w:p w:rsidR="00AB5E35" w:rsidRPr="00361584" w:rsidRDefault="00AB5E35" w:rsidP="00A9106C">
    <w:pPr>
      <w:pStyle w:val="En-tte"/>
      <w:tabs>
        <w:tab w:val="clear" w:pos="4320"/>
        <w:tab w:val="clear" w:pos="8640"/>
      </w:tabs>
      <w:jc w:val="left"/>
      <w:rPr>
        <w:noProof/>
        <w:kern w:val="22"/>
        <w:lang w:val="fr-CA"/>
      </w:rPr>
    </w:pPr>
    <w:r w:rsidRPr="00361584">
      <w:rPr>
        <w:noProof/>
        <w:kern w:val="22"/>
        <w:lang w:val="fr-CA"/>
      </w:rPr>
      <w:t xml:space="preserve">Page </w:t>
    </w:r>
    <w:r w:rsidRPr="00A9106C">
      <w:rPr>
        <w:noProof/>
        <w:kern w:val="22"/>
      </w:rPr>
      <w:fldChar w:fldCharType="begin"/>
    </w:r>
    <w:r w:rsidRPr="00361584">
      <w:rPr>
        <w:noProof/>
        <w:kern w:val="22"/>
        <w:lang w:val="fr-CA"/>
      </w:rPr>
      <w:instrText xml:space="preserve"> PAGE   \* MERGEFORMAT </w:instrText>
    </w:r>
    <w:r w:rsidRPr="00A9106C">
      <w:rPr>
        <w:noProof/>
        <w:kern w:val="22"/>
      </w:rPr>
      <w:fldChar w:fldCharType="separate"/>
    </w:r>
    <w:r w:rsidR="009D22EE">
      <w:rPr>
        <w:noProof/>
        <w:kern w:val="22"/>
        <w:lang w:val="fr-CA"/>
      </w:rPr>
      <w:t>2</w:t>
    </w:r>
    <w:r w:rsidRPr="00A9106C">
      <w:rPr>
        <w:noProof/>
        <w:kern w:val="22"/>
      </w:rPr>
      <w:fldChar w:fldCharType="end"/>
    </w:r>
  </w:p>
  <w:p w:rsidR="00AB5E35" w:rsidRPr="00361584" w:rsidRDefault="00AB5E35" w:rsidP="00A9106C">
    <w:pPr>
      <w:pStyle w:val="En-tte"/>
      <w:tabs>
        <w:tab w:val="clear" w:pos="4320"/>
        <w:tab w:val="clear" w:pos="8640"/>
      </w:tabs>
      <w:jc w:val="left"/>
      <w:rPr>
        <w:noProof/>
        <w:kern w:val="22"/>
        <w:lang w:val="fr-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AB5E35" w:rsidRPr="00A9106C" w:rsidRDefault="00DB5713" w:rsidP="009505C9">
        <w:pPr>
          <w:pStyle w:val="En-tte"/>
          <w:jc w:val="right"/>
          <w:rPr>
            <w:lang w:val="fr-FR"/>
          </w:rPr>
        </w:pPr>
        <w:r>
          <w:rPr>
            <w:lang w:val="fr-FR"/>
          </w:rPr>
          <w:t>CBD/NP/MOP/DEC/3/4</w:t>
        </w:r>
      </w:p>
    </w:sdtContent>
  </w:sdt>
  <w:p w:rsidR="00AB5E35" w:rsidRPr="00000614" w:rsidRDefault="00AB5E35"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rsidR="00AB5E35" w:rsidRPr="00000614" w:rsidRDefault="00AB5E35">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2482D"/>
    <w:rsid w:val="000264CA"/>
    <w:rsid w:val="00031F4E"/>
    <w:rsid w:val="0003770F"/>
    <w:rsid w:val="00090407"/>
    <w:rsid w:val="000E418F"/>
    <w:rsid w:val="000E673A"/>
    <w:rsid w:val="000F74F5"/>
    <w:rsid w:val="00105372"/>
    <w:rsid w:val="00131E7A"/>
    <w:rsid w:val="00172AF6"/>
    <w:rsid w:val="00176CEE"/>
    <w:rsid w:val="0019663B"/>
    <w:rsid w:val="001E7718"/>
    <w:rsid w:val="0022005D"/>
    <w:rsid w:val="00223736"/>
    <w:rsid w:val="00224608"/>
    <w:rsid w:val="00225055"/>
    <w:rsid w:val="00242C90"/>
    <w:rsid w:val="00251792"/>
    <w:rsid w:val="003336D5"/>
    <w:rsid w:val="00361584"/>
    <w:rsid w:val="00365F6C"/>
    <w:rsid w:val="00372F74"/>
    <w:rsid w:val="003D0F73"/>
    <w:rsid w:val="003F0771"/>
    <w:rsid w:val="003F7224"/>
    <w:rsid w:val="003F7861"/>
    <w:rsid w:val="00405146"/>
    <w:rsid w:val="0042412C"/>
    <w:rsid w:val="00427D21"/>
    <w:rsid w:val="004343D2"/>
    <w:rsid w:val="004433C2"/>
    <w:rsid w:val="004644C2"/>
    <w:rsid w:val="00464FF7"/>
    <w:rsid w:val="00467F9C"/>
    <w:rsid w:val="0047609D"/>
    <w:rsid w:val="004F5506"/>
    <w:rsid w:val="004F6165"/>
    <w:rsid w:val="00530E2B"/>
    <w:rsid w:val="005345E1"/>
    <w:rsid w:val="00534681"/>
    <w:rsid w:val="00546B4B"/>
    <w:rsid w:val="005654DB"/>
    <w:rsid w:val="00595B13"/>
    <w:rsid w:val="005F5FBA"/>
    <w:rsid w:val="006122BA"/>
    <w:rsid w:val="0061445E"/>
    <w:rsid w:val="006809B3"/>
    <w:rsid w:val="006B2290"/>
    <w:rsid w:val="006D52E4"/>
    <w:rsid w:val="006F1189"/>
    <w:rsid w:val="00717D88"/>
    <w:rsid w:val="00723396"/>
    <w:rsid w:val="007642CA"/>
    <w:rsid w:val="007648AF"/>
    <w:rsid w:val="007942D3"/>
    <w:rsid w:val="007B6C09"/>
    <w:rsid w:val="007D1E61"/>
    <w:rsid w:val="007E09DA"/>
    <w:rsid w:val="007E1E83"/>
    <w:rsid w:val="008016A2"/>
    <w:rsid w:val="008178B6"/>
    <w:rsid w:val="00833344"/>
    <w:rsid w:val="0085653F"/>
    <w:rsid w:val="00865B74"/>
    <w:rsid w:val="0087703A"/>
    <w:rsid w:val="00881A5E"/>
    <w:rsid w:val="00930BA1"/>
    <w:rsid w:val="0093169E"/>
    <w:rsid w:val="009505C9"/>
    <w:rsid w:val="009C200D"/>
    <w:rsid w:val="009D22EE"/>
    <w:rsid w:val="00A039B5"/>
    <w:rsid w:val="00A41B97"/>
    <w:rsid w:val="00A6214B"/>
    <w:rsid w:val="00A71B7A"/>
    <w:rsid w:val="00A86C9B"/>
    <w:rsid w:val="00A9106C"/>
    <w:rsid w:val="00AB5E35"/>
    <w:rsid w:val="00AC1F6B"/>
    <w:rsid w:val="00B14D46"/>
    <w:rsid w:val="00B22F46"/>
    <w:rsid w:val="00B3369F"/>
    <w:rsid w:val="00BE502E"/>
    <w:rsid w:val="00C35537"/>
    <w:rsid w:val="00C427DE"/>
    <w:rsid w:val="00C9161D"/>
    <w:rsid w:val="00CB4BF4"/>
    <w:rsid w:val="00CB7207"/>
    <w:rsid w:val="00CF1848"/>
    <w:rsid w:val="00D12044"/>
    <w:rsid w:val="00D30710"/>
    <w:rsid w:val="00D33891"/>
    <w:rsid w:val="00D76A18"/>
    <w:rsid w:val="00D77466"/>
    <w:rsid w:val="00D87DC3"/>
    <w:rsid w:val="00DB06FA"/>
    <w:rsid w:val="00DB5713"/>
    <w:rsid w:val="00DD118C"/>
    <w:rsid w:val="00DD418D"/>
    <w:rsid w:val="00DF1B84"/>
    <w:rsid w:val="00E12900"/>
    <w:rsid w:val="00E14C61"/>
    <w:rsid w:val="00E229A8"/>
    <w:rsid w:val="00E26ACF"/>
    <w:rsid w:val="00E422DA"/>
    <w:rsid w:val="00E66235"/>
    <w:rsid w:val="00E83C24"/>
    <w:rsid w:val="00E9318D"/>
    <w:rsid w:val="00ED10D5"/>
    <w:rsid w:val="00F27A1E"/>
    <w:rsid w:val="00F60979"/>
    <w:rsid w:val="00F828EE"/>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lang w:eastAsia="x-none"/>
    </w:rPr>
  </w:style>
  <w:style w:type="paragraph" w:styleId="Objetducommentaire">
    <w:name w:val="annotation subject"/>
    <w:basedOn w:val="Commentaire"/>
    <w:next w:val="Commentaire"/>
    <w:link w:val="ObjetducommentaireCar"/>
    <w:uiPriority w:val="99"/>
    <w:semiHidden/>
    <w:unhideWhenUsed/>
    <w:rsid w:val="00E26ACF"/>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E26ACF"/>
    <w:rPr>
      <w:rFonts w:ascii="Times New Roman" w:eastAsia="Times New Roman" w:hAnsi="Times New Roman" w:cs="Times New Roman"/>
      <w:b/>
      <w:bCs/>
      <w:sz w:val="20"/>
      <w:szCs w:val="20"/>
      <w:lang w:val="en-GB"/>
    </w:rPr>
  </w:style>
  <w:style w:type="character" w:customStyle="1" w:styleId="UnresolvedMention">
    <w:name w:val="Unresolved Mention"/>
    <w:basedOn w:val="Policepardfaut"/>
    <w:uiPriority w:val="99"/>
    <w:semiHidden/>
    <w:unhideWhenUsed/>
    <w:rsid w:val="00595B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N15/291/90/PDF/N152919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CCAA5FC3BCD24FAB86B3D44B91E65003"/>
        <w:category>
          <w:name w:val="General"/>
          <w:gallery w:val="placeholder"/>
        </w:category>
        <w:types>
          <w:type w:val="bbPlcHdr"/>
        </w:types>
        <w:behaviors>
          <w:behavior w:val="content"/>
        </w:behaviors>
        <w:guid w:val="{BB05B625-0153-420A-B975-4899175B0337}"/>
      </w:docPartPr>
      <w:docPartBody>
        <w:p w:rsidR="007108C6" w:rsidRDefault="007108C6" w:rsidP="007108C6">
          <w:pPr>
            <w:pStyle w:val="CCAA5FC3BCD24FAB86B3D44B91E65003"/>
          </w:pPr>
          <w:r w:rsidRPr="007E02EB">
            <w:rPr>
              <w:rStyle w:val="Textedelespacerserv"/>
            </w:rPr>
            <w:t>[Status]</w:t>
          </w:r>
        </w:p>
      </w:docPartBody>
    </w:docPart>
    <w:docPart>
      <w:docPartPr>
        <w:name w:val="B8D04D9641D74F4DBE59E781E854DC4E"/>
        <w:category>
          <w:name w:val="General"/>
          <w:gallery w:val="placeholder"/>
        </w:category>
        <w:types>
          <w:type w:val="bbPlcHdr"/>
        </w:types>
        <w:behaviors>
          <w:behavior w:val="content"/>
        </w:behaviors>
        <w:guid w:val="{526955FB-1DBD-4F76-BC42-D3FFF7CB38D4}"/>
      </w:docPartPr>
      <w:docPartBody>
        <w:p w:rsidR="007108C6" w:rsidRDefault="007108C6" w:rsidP="007108C6">
          <w:pPr>
            <w:pStyle w:val="B8D04D9641D74F4DBE59E781E854DC4E"/>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14517"/>
    <w:rsid w:val="00261E9A"/>
    <w:rsid w:val="00286C36"/>
    <w:rsid w:val="00450D4E"/>
    <w:rsid w:val="00500A2B"/>
    <w:rsid w:val="005461E8"/>
    <w:rsid w:val="0058288D"/>
    <w:rsid w:val="005C667B"/>
    <w:rsid w:val="00640257"/>
    <w:rsid w:val="006801B3"/>
    <w:rsid w:val="007108C6"/>
    <w:rsid w:val="00720F63"/>
    <w:rsid w:val="007F1B76"/>
    <w:rsid w:val="00810A55"/>
    <w:rsid w:val="008C6619"/>
    <w:rsid w:val="008D420E"/>
    <w:rsid w:val="0098642F"/>
    <w:rsid w:val="00A41DE5"/>
    <w:rsid w:val="00A50CED"/>
    <w:rsid w:val="00B92240"/>
    <w:rsid w:val="00CE6602"/>
    <w:rsid w:val="00D21909"/>
    <w:rsid w:val="00DC331E"/>
    <w:rsid w:val="00F6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108C6"/>
    <w:rPr>
      <w:color w:val="808080"/>
    </w:rPr>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CCAA5FC3BCD24FAB86B3D44B91E65003">
    <w:name w:val="CCAA5FC3BCD24FAB86B3D44B91E65003"/>
    <w:rsid w:val="007108C6"/>
    <w:pPr>
      <w:spacing w:after="160" w:line="259" w:lineRule="auto"/>
    </w:pPr>
  </w:style>
  <w:style w:type="paragraph" w:customStyle="1" w:styleId="B8D04D9641D74F4DBE59E781E854DC4E">
    <w:name w:val="B8D04D9641D74F4DBE59E781E854DC4E"/>
    <w:rsid w:val="007108C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2E7965-3552-44DB-815F-08AE9451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522</Words>
  <Characters>2877</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3/4.	Monitoring and reporting (Article 29)</vt:lpstr>
      <vt:lpstr>3/4.	Monitoring and reporting (Article 29)</vt:lpstr>
    </vt:vector>
  </TitlesOfParts>
  <Company>SCBD</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Suivi et établissement de rapports (article 29)</dc:title>
  <dc:subject>CBD/NP/MOP/DEC/3/4</dc:subject>
  <dc:creator>NP MOP 3</dc:creator>
  <cp:keywords>Monitoring and reporting (Article 29), Nagoya Protocol on Access to Genetic Resources and the Fair and Equitable Sharing of Benefits Arising from their Utilization, Convention on Biological Diversity</cp:keywords>
  <cp:lastModifiedBy>Louise</cp:lastModifiedBy>
  <cp:revision>5</cp:revision>
  <cp:lastPrinted>2018-12-10T21:40:00Z</cp:lastPrinted>
  <dcterms:created xsi:type="dcterms:W3CDTF">2019-02-11T13:19:00Z</dcterms:created>
  <dcterms:modified xsi:type="dcterms:W3CDTF">2019-02-11T20:24:00Z</dcterms:modified>
  <cp:contentStatus>GÉNÉRALE</cp:contentStatus>
</cp:coreProperties>
</file>