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DF2F44" w:rsidRPr="00CE2BEE" w:rsidTr="00124AE6">
        <w:trPr>
          <w:trHeight w:val="709"/>
        </w:trPr>
        <w:tc>
          <w:tcPr>
            <w:tcW w:w="977" w:type="dxa"/>
            <w:tcBorders>
              <w:bottom w:val="single" w:sz="12" w:space="0" w:color="auto"/>
            </w:tcBorders>
          </w:tcPr>
          <w:p w:rsidR="00DF2F44" w:rsidRPr="00500F5F" w:rsidRDefault="00DF2F44" w:rsidP="00500F5F">
            <w:pPr>
              <w:suppressLineNumbers/>
              <w:suppressAutoHyphens/>
              <w:rPr>
                <w:kern w:val="22"/>
              </w:rPr>
            </w:pPr>
            <w:r w:rsidRPr="00500F5F">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DF2F44" w:rsidRPr="00500F5F" w:rsidRDefault="00DF2F44" w:rsidP="00500F5F">
            <w:pPr>
              <w:suppressLineNumbers/>
              <w:suppressAutoHyphens/>
              <w:rPr>
                <w:kern w:val="22"/>
              </w:rPr>
            </w:pPr>
            <w:r w:rsidRPr="00500F5F">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DF2F44" w:rsidRPr="00500F5F" w:rsidRDefault="00DF2F44" w:rsidP="00500F5F">
            <w:pPr>
              <w:suppressLineNumbers/>
              <w:suppressAutoHyphens/>
              <w:jc w:val="right"/>
              <w:rPr>
                <w:rFonts w:ascii="Arial" w:hAnsi="Arial" w:cs="Arial"/>
                <w:b/>
                <w:kern w:val="22"/>
                <w:sz w:val="32"/>
                <w:szCs w:val="32"/>
              </w:rPr>
            </w:pPr>
            <w:r w:rsidRPr="00500F5F">
              <w:rPr>
                <w:rFonts w:ascii="Arial" w:hAnsi="Arial" w:cs="Arial"/>
                <w:b/>
                <w:kern w:val="22"/>
                <w:sz w:val="32"/>
                <w:szCs w:val="32"/>
              </w:rPr>
              <w:t>CBD</w:t>
            </w:r>
          </w:p>
        </w:tc>
      </w:tr>
      <w:tr w:rsidR="00DF2F44" w:rsidRPr="00124AE6" w:rsidTr="00396CED">
        <w:tc>
          <w:tcPr>
            <w:tcW w:w="6117" w:type="dxa"/>
            <w:gridSpan w:val="2"/>
            <w:tcBorders>
              <w:top w:val="single" w:sz="12" w:space="0" w:color="auto"/>
              <w:bottom w:val="single" w:sz="36" w:space="0" w:color="auto"/>
            </w:tcBorders>
            <w:vAlign w:val="center"/>
          </w:tcPr>
          <w:p w:rsidR="00DF2F44" w:rsidRPr="00500F5F" w:rsidRDefault="00124AE6" w:rsidP="00500F5F">
            <w:pPr>
              <w:suppressLineNumbers/>
              <w:suppressAutoHyphens/>
              <w:rPr>
                <w:kern w:val="22"/>
              </w:rPr>
            </w:pPr>
            <w:r w:rsidRPr="00124AE6">
              <w:rPr>
                <w:noProof/>
                <w:kern w:val="22"/>
                <w:lang w:val="es-ES" w:eastAsia="es-ES"/>
              </w:rPr>
              <w:drawing>
                <wp:inline distT="0" distB="0" distL="0" distR="0">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DF2F44" w:rsidRPr="00500F5F" w:rsidRDefault="00DF2F44" w:rsidP="00500F5F">
            <w:pPr>
              <w:suppressLineNumbers/>
              <w:suppressAutoHyphens/>
              <w:ind w:left="1215"/>
              <w:rPr>
                <w:kern w:val="22"/>
                <w:szCs w:val="22"/>
              </w:rPr>
            </w:pPr>
            <w:r w:rsidRPr="00500F5F">
              <w:rPr>
                <w:kern w:val="22"/>
                <w:szCs w:val="22"/>
              </w:rPr>
              <w:t>Distr.</w:t>
            </w:r>
          </w:p>
          <w:p w:rsidR="00DF2F44" w:rsidRPr="00500F5F" w:rsidRDefault="00CE2BAD" w:rsidP="00500F5F">
            <w:pPr>
              <w:suppressLineNumbers/>
              <w:suppressAutoHyphens/>
              <w:ind w:left="1215"/>
              <w:rPr>
                <w:kern w:val="22"/>
                <w:szCs w:val="22"/>
              </w:rPr>
            </w:pPr>
            <w:sdt>
              <w:sdtPr>
                <w:rPr>
                  <w:caps/>
                  <w:kern w:val="22"/>
                  <w:szCs w:val="22"/>
                </w:rPr>
                <w:alias w:val="Status"/>
                <w:tag w:val=""/>
                <w:id w:val="307985777"/>
                <w:placeholder>
                  <w:docPart w:val="992C3793358AE749922BCD46EE488E4D"/>
                </w:placeholder>
                <w:dataBinding w:prefixMappings="xmlns:ns0='http://purl.org/dc/elements/1.1/' xmlns:ns1='http://schemas.openxmlformats.org/package/2006/metadata/core-properties' " w:xpath="/ns1:coreProperties[1]/ns1:contentStatus[1]" w:storeItemID="{6C3C8BC8-F283-45AE-878A-BAB7291924A1}"/>
                <w:text/>
              </w:sdtPr>
              <w:sdtContent>
                <w:r w:rsidR="00E94428" w:rsidRPr="00500F5F">
                  <w:rPr>
                    <w:caps/>
                    <w:kern w:val="22"/>
                    <w:szCs w:val="22"/>
                  </w:rPr>
                  <w:t>GENERAL</w:t>
                </w:r>
              </w:sdtContent>
            </w:sdt>
          </w:p>
          <w:p w:rsidR="00DF2F44" w:rsidRPr="00500F5F" w:rsidRDefault="00DF2F44" w:rsidP="00500F5F">
            <w:pPr>
              <w:suppressLineNumbers/>
              <w:suppressAutoHyphens/>
              <w:ind w:left="1215"/>
              <w:rPr>
                <w:kern w:val="22"/>
                <w:szCs w:val="22"/>
              </w:rPr>
            </w:pPr>
          </w:p>
          <w:p w:rsidR="00DF2F44" w:rsidRPr="00500F5F" w:rsidRDefault="00CE2BAD" w:rsidP="00500F5F">
            <w:pPr>
              <w:suppressLineNumbers/>
              <w:suppressAutoHyphens/>
              <w:ind w:left="1215"/>
              <w:rPr>
                <w:kern w:val="22"/>
                <w:szCs w:val="22"/>
              </w:rPr>
            </w:pPr>
            <w:sdt>
              <w:sdtPr>
                <w:rPr>
                  <w:kern w:val="22"/>
                </w:rPr>
                <w:alias w:val="Subject"/>
                <w:tag w:val=""/>
                <w:id w:val="2137136483"/>
                <w:placeholder>
                  <w:docPart w:val="197A9AA66BD0A340AAE2C76EA45A9517"/>
                </w:placeholder>
                <w:dataBinding w:prefixMappings="xmlns:ns0='http://purl.org/dc/elements/1.1/' xmlns:ns1='http://schemas.openxmlformats.org/package/2006/metadata/core-properties' " w:xpath="/ns1:coreProperties[1]/ns0:subject[1]" w:storeItemID="{6C3C8BC8-F283-45AE-878A-BAB7291924A1}"/>
                <w:text/>
              </w:sdtPr>
              <w:sdtContent>
                <w:r w:rsidR="00E94428" w:rsidRPr="00500F5F">
                  <w:rPr>
                    <w:kern w:val="22"/>
                  </w:rPr>
                  <w:t>CBD/NP/MOP/DEC/3/6</w:t>
                </w:r>
              </w:sdtContent>
            </w:sdt>
          </w:p>
          <w:p w:rsidR="00DF2F44" w:rsidRPr="00124AE6" w:rsidRDefault="00E94428" w:rsidP="00500F5F">
            <w:pPr>
              <w:suppressLineNumbers/>
              <w:suppressAutoHyphens/>
              <w:ind w:left="1215"/>
              <w:rPr>
                <w:kern w:val="22"/>
                <w:szCs w:val="22"/>
                <w:lang w:val="es-ES"/>
              </w:rPr>
            </w:pPr>
            <w:r w:rsidRPr="00124AE6">
              <w:rPr>
                <w:kern w:val="22"/>
                <w:szCs w:val="22"/>
                <w:lang w:val="es-ES"/>
              </w:rPr>
              <w:t xml:space="preserve">30 </w:t>
            </w:r>
            <w:r w:rsidR="00124AE6" w:rsidRPr="00124AE6">
              <w:rPr>
                <w:kern w:val="22"/>
                <w:szCs w:val="22"/>
                <w:lang w:val="es-ES"/>
              </w:rPr>
              <w:t xml:space="preserve">de noviembre de </w:t>
            </w:r>
            <w:r w:rsidR="00DF2F44" w:rsidRPr="00124AE6">
              <w:rPr>
                <w:kern w:val="22"/>
                <w:szCs w:val="22"/>
                <w:lang w:val="es-ES"/>
              </w:rPr>
              <w:t>2018</w:t>
            </w:r>
          </w:p>
          <w:p w:rsidR="00DF2F44" w:rsidRPr="00124AE6" w:rsidRDefault="00DF2F44" w:rsidP="00500F5F">
            <w:pPr>
              <w:suppressLineNumbers/>
              <w:suppressAutoHyphens/>
              <w:ind w:left="1215"/>
              <w:rPr>
                <w:kern w:val="22"/>
                <w:szCs w:val="22"/>
                <w:lang w:val="es-ES"/>
              </w:rPr>
            </w:pPr>
          </w:p>
          <w:p w:rsidR="00124AE6" w:rsidRPr="00124AE6" w:rsidRDefault="00124AE6" w:rsidP="00500F5F">
            <w:pPr>
              <w:suppressLineNumbers/>
              <w:suppressAutoHyphens/>
              <w:ind w:left="1215"/>
              <w:rPr>
                <w:kern w:val="22"/>
                <w:szCs w:val="22"/>
                <w:lang w:val="es-ES"/>
              </w:rPr>
            </w:pPr>
            <w:r w:rsidRPr="00124AE6">
              <w:rPr>
                <w:kern w:val="22"/>
                <w:szCs w:val="22"/>
                <w:lang w:val="es-ES"/>
              </w:rPr>
              <w:t>ESPAÑOL</w:t>
            </w:r>
          </w:p>
          <w:p w:rsidR="00DF2F44" w:rsidRPr="00124AE6" w:rsidRDefault="00DF2F44" w:rsidP="00500F5F">
            <w:pPr>
              <w:suppressLineNumbers/>
              <w:suppressAutoHyphens/>
              <w:ind w:left="1215"/>
              <w:rPr>
                <w:kern w:val="22"/>
                <w:szCs w:val="22"/>
                <w:lang w:val="es-ES"/>
              </w:rPr>
            </w:pPr>
            <w:r w:rsidRPr="00124AE6">
              <w:rPr>
                <w:kern w:val="22"/>
                <w:szCs w:val="22"/>
                <w:lang w:val="es-ES"/>
              </w:rPr>
              <w:t xml:space="preserve">ORIGINAL: </w:t>
            </w:r>
            <w:r w:rsidR="00124AE6" w:rsidRPr="00124AE6">
              <w:rPr>
                <w:kern w:val="22"/>
                <w:szCs w:val="22"/>
                <w:lang w:val="es-ES"/>
              </w:rPr>
              <w:t>I</w:t>
            </w:r>
            <w:r w:rsidRPr="00124AE6">
              <w:rPr>
                <w:kern w:val="22"/>
                <w:szCs w:val="22"/>
                <w:lang w:val="es-ES"/>
              </w:rPr>
              <w:t>NGL</w:t>
            </w:r>
            <w:r w:rsidR="00124AE6" w:rsidRPr="00124AE6">
              <w:rPr>
                <w:kern w:val="22"/>
                <w:szCs w:val="22"/>
                <w:lang w:val="es-ES"/>
              </w:rPr>
              <w:t>ÉS</w:t>
            </w:r>
          </w:p>
          <w:p w:rsidR="00DF2F44" w:rsidRPr="00124AE6" w:rsidRDefault="00DF2F44" w:rsidP="00500F5F">
            <w:pPr>
              <w:suppressLineNumbers/>
              <w:suppressAutoHyphens/>
              <w:rPr>
                <w:kern w:val="22"/>
                <w:lang w:val="es-ES"/>
              </w:rPr>
            </w:pPr>
          </w:p>
        </w:tc>
      </w:tr>
    </w:tbl>
    <w:p w:rsidR="005345E1" w:rsidRPr="00124AE6" w:rsidRDefault="00124AE6" w:rsidP="00CE2BEE">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bookmarkStart w:id="0" w:name="_Hlk535926114"/>
      <w:r w:rsidRPr="00302A13">
        <w:rPr>
          <w:snapToGrid w:val="0"/>
          <w:lang w:val="es-ES_tradnl"/>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bookmarkEnd w:id="0"/>
    <w:p w:rsidR="005345E1" w:rsidRPr="00124AE6" w:rsidRDefault="005345E1">
      <w:pPr>
        <w:suppressLineNumbers/>
        <w:suppressAutoHyphens/>
        <w:kinsoku w:val="0"/>
        <w:overflowPunct w:val="0"/>
        <w:autoSpaceDE w:val="0"/>
        <w:autoSpaceDN w:val="0"/>
        <w:ind w:left="170" w:right="3119" w:hanging="170"/>
        <w:jc w:val="left"/>
        <w:rPr>
          <w:rFonts w:eastAsia="Batang"/>
          <w:snapToGrid w:val="0"/>
          <w:kern w:val="22"/>
          <w:lang w:val="es-ES"/>
        </w:rPr>
      </w:pPr>
      <w:r w:rsidRPr="00124AE6">
        <w:rPr>
          <w:rFonts w:eastAsia="Batang"/>
          <w:snapToGrid w:val="0"/>
          <w:kern w:val="22"/>
          <w:lang w:val="es-ES"/>
        </w:rPr>
        <w:t>T</w:t>
      </w:r>
      <w:r w:rsidR="00124AE6" w:rsidRPr="00124AE6">
        <w:rPr>
          <w:rFonts w:eastAsia="Batang"/>
          <w:snapToGrid w:val="0"/>
          <w:kern w:val="22"/>
          <w:lang w:val="es-ES"/>
        </w:rPr>
        <w:t>ercera reunión</w:t>
      </w:r>
    </w:p>
    <w:p w:rsidR="006F1189" w:rsidRPr="00124AE6" w:rsidRDefault="006F1189">
      <w:pPr>
        <w:suppressLineNumbers/>
        <w:suppressAutoHyphens/>
        <w:kinsoku w:val="0"/>
        <w:overflowPunct w:val="0"/>
        <w:autoSpaceDE w:val="0"/>
        <w:autoSpaceDN w:val="0"/>
        <w:rPr>
          <w:snapToGrid w:val="0"/>
          <w:kern w:val="22"/>
          <w:szCs w:val="22"/>
          <w:lang w:val="es-ES" w:eastAsia="nb-NO"/>
        </w:rPr>
      </w:pPr>
      <w:bookmarkStart w:id="1" w:name="_Hlk505863673"/>
      <w:r w:rsidRPr="00124AE6">
        <w:rPr>
          <w:snapToGrid w:val="0"/>
          <w:kern w:val="22"/>
          <w:szCs w:val="22"/>
          <w:lang w:val="es-ES" w:eastAsia="nb-NO"/>
        </w:rPr>
        <w:t>Sharm El-Sheikh, Eg</w:t>
      </w:r>
      <w:r w:rsidR="00124AE6" w:rsidRPr="00124AE6">
        <w:rPr>
          <w:snapToGrid w:val="0"/>
          <w:kern w:val="22"/>
          <w:szCs w:val="22"/>
          <w:lang w:val="es-ES" w:eastAsia="nb-NO"/>
        </w:rPr>
        <w:t>ipto</w:t>
      </w:r>
      <w:bookmarkEnd w:id="1"/>
      <w:r w:rsidRPr="00124AE6">
        <w:rPr>
          <w:snapToGrid w:val="0"/>
          <w:kern w:val="22"/>
          <w:szCs w:val="22"/>
          <w:lang w:val="es-ES" w:eastAsia="nb-NO"/>
        </w:rPr>
        <w:t>, 17</w:t>
      </w:r>
      <w:r w:rsidR="00124AE6" w:rsidRPr="00124AE6">
        <w:rPr>
          <w:snapToGrid w:val="0"/>
          <w:kern w:val="22"/>
          <w:szCs w:val="22"/>
          <w:lang w:val="es-ES" w:eastAsia="nb-NO"/>
        </w:rPr>
        <w:t xml:space="preserve"> a </w:t>
      </w:r>
      <w:r w:rsidRPr="00124AE6">
        <w:rPr>
          <w:snapToGrid w:val="0"/>
          <w:kern w:val="22"/>
          <w:szCs w:val="22"/>
          <w:lang w:val="es-ES" w:eastAsia="nb-NO"/>
        </w:rPr>
        <w:t xml:space="preserve">29 </w:t>
      </w:r>
      <w:r w:rsidR="00124AE6" w:rsidRPr="00124AE6">
        <w:rPr>
          <w:snapToGrid w:val="0"/>
          <w:kern w:val="22"/>
          <w:szCs w:val="22"/>
          <w:lang w:val="es-ES" w:eastAsia="nb-NO"/>
        </w:rPr>
        <w:t xml:space="preserve">de noviembre de </w:t>
      </w:r>
      <w:r w:rsidRPr="00124AE6">
        <w:rPr>
          <w:snapToGrid w:val="0"/>
          <w:kern w:val="22"/>
          <w:szCs w:val="22"/>
          <w:lang w:val="es-ES" w:eastAsia="nb-NO"/>
        </w:rPr>
        <w:t>2018</w:t>
      </w:r>
    </w:p>
    <w:p w:rsidR="00C9161D" w:rsidRPr="00535D5F" w:rsidRDefault="00124AE6" w:rsidP="00500F5F">
      <w:pPr>
        <w:suppressLineNumbers/>
        <w:suppressAutoHyphens/>
        <w:rPr>
          <w:kern w:val="22"/>
          <w:lang w:val="es-ES"/>
        </w:rPr>
      </w:pPr>
      <w:r>
        <w:rPr>
          <w:kern w:val="22"/>
          <w:lang w:val="es-ES"/>
        </w:rPr>
        <w:t xml:space="preserve">Tema </w:t>
      </w:r>
      <w:r w:rsidR="00A41B97" w:rsidRPr="00535D5F">
        <w:rPr>
          <w:kern w:val="22"/>
          <w:lang w:val="es-ES"/>
        </w:rPr>
        <w:t>12</w:t>
      </w:r>
      <w:r w:rsidRPr="00535D5F">
        <w:rPr>
          <w:kern w:val="22"/>
          <w:lang w:val="es-ES"/>
        </w:rPr>
        <w:t xml:space="preserve"> del programa</w:t>
      </w:r>
    </w:p>
    <w:p w:rsidR="00E94428" w:rsidRPr="00535D5F" w:rsidRDefault="00CE2BEE" w:rsidP="00500F5F">
      <w:pPr>
        <w:pStyle w:val="Ttulo1"/>
        <w:suppressLineNumbers/>
        <w:tabs>
          <w:tab w:val="clear" w:pos="720"/>
        </w:tabs>
        <w:suppressAutoHyphens/>
        <w:rPr>
          <w:rFonts w:ascii="Times New Roman Bold" w:hAnsi="Times New Roman Bold"/>
          <w:kern w:val="22"/>
          <w:szCs w:val="22"/>
          <w:lang w:val="es-ES"/>
        </w:rPr>
      </w:pPr>
      <w:bookmarkStart w:id="2" w:name="_Hlk532291362"/>
      <w:r w:rsidRPr="00535D5F">
        <w:rPr>
          <w:rFonts w:ascii="Times New Roman Bold" w:hAnsi="Times New Roman Bold"/>
          <w:kern w:val="22"/>
          <w:lang w:val="es-ES"/>
        </w:rPr>
        <w:t>Decisi</w:t>
      </w:r>
      <w:r w:rsidR="00535D5F" w:rsidRPr="00535D5F">
        <w:rPr>
          <w:rFonts w:ascii="Times New Roman Bold" w:hAnsi="Times New Roman Bold"/>
          <w:kern w:val="22"/>
          <w:lang w:val="es-ES"/>
        </w:rPr>
        <w:t>Ó</w:t>
      </w:r>
      <w:r w:rsidRPr="00535D5F">
        <w:rPr>
          <w:rFonts w:ascii="Times New Roman Bold" w:hAnsi="Times New Roman Bold"/>
          <w:kern w:val="22"/>
          <w:lang w:val="es-ES"/>
        </w:rPr>
        <w:t>n adopt</w:t>
      </w:r>
      <w:r w:rsidR="00535D5F" w:rsidRPr="00535D5F">
        <w:rPr>
          <w:rFonts w:ascii="Times New Roman Bold" w:hAnsi="Times New Roman Bold"/>
          <w:kern w:val="22"/>
          <w:lang w:val="es-ES"/>
        </w:rPr>
        <w:t xml:space="preserve">ADA POR LAS PARTES EN EL PROTOCOLO DE </w:t>
      </w:r>
      <w:r w:rsidRPr="00535D5F">
        <w:rPr>
          <w:rFonts w:ascii="Times New Roman Bold" w:hAnsi="Times New Roman Bold"/>
          <w:kern w:val="22"/>
          <w:lang w:val="es-ES"/>
        </w:rPr>
        <w:t xml:space="preserve">Nagoya </w:t>
      </w:r>
      <w:r w:rsidR="00535D5F" w:rsidRPr="00535D5F">
        <w:rPr>
          <w:rFonts w:ascii="Times New Roman Bold" w:hAnsi="Times New Roman Bold"/>
          <w:kern w:val="22"/>
          <w:lang w:val="es-ES"/>
        </w:rPr>
        <w:t>SOBRE ACCESO Y PARTICIPACI</w:t>
      </w:r>
      <w:r w:rsidR="00535D5F">
        <w:rPr>
          <w:rFonts w:ascii="Times New Roman Bold" w:hAnsi="Times New Roman Bold"/>
          <w:kern w:val="22"/>
          <w:lang w:val="es-ES"/>
        </w:rPr>
        <w:t>ÓN EN LOS BENEFICIOS</w:t>
      </w:r>
    </w:p>
    <w:bookmarkEnd w:id="2"/>
    <w:p w:rsidR="00C9161D" w:rsidRPr="00535D5F" w:rsidRDefault="00CE2BAD" w:rsidP="00500F5F">
      <w:pPr>
        <w:pStyle w:val="recommendationheader"/>
        <w:suppressLineNumbers/>
        <w:suppressAutoHyphens/>
        <w:rPr>
          <w:caps/>
          <w:kern w:val="22"/>
          <w:lang w:val="es-ES"/>
        </w:rPr>
      </w:pPr>
      <w:sdt>
        <w:sdtPr>
          <w:rPr>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535D5F" w:rsidRPr="00535D5F">
            <w:rPr>
              <w:lang w:val="es-ES_tradnl"/>
            </w:rPr>
            <w:t>3/6.</w:t>
          </w:r>
          <w:r w:rsidR="00535D5F" w:rsidRPr="00535D5F">
            <w:rPr>
              <w:lang w:val="es-ES_tradnl"/>
            </w:rPr>
            <w:tab/>
            <w:t>Medidas para</w:t>
          </w:r>
          <w:r w:rsidR="00535D5F">
            <w:rPr>
              <w:lang w:val="es-ES_tradnl"/>
            </w:rPr>
            <w:t xml:space="preserve"> aumentar la concienciación acerca de la importancia de los recursos genéticos y conocimientos tradicionales asociados </w:t>
          </w:r>
          <w:r w:rsidR="00535D5F" w:rsidRPr="00535D5F">
            <w:rPr>
              <w:lang w:val="es-ES_tradnl"/>
            </w:rPr>
            <w:t>(</w:t>
          </w:r>
          <w:r w:rsidR="00535D5F">
            <w:rPr>
              <w:lang w:val="es-ES_tradnl"/>
            </w:rPr>
            <w:t>a</w:t>
          </w:r>
          <w:r w:rsidR="00535D5F" w:rsidRPr="00535D5F">
            <w:rPr>
              <w:lang w:val="es-ES_tradnl"/>
            </w:rPr>
            <w:t>rt</w:t>
          </w:r>
          <w:r w:rsidR="00535D5F">
            <w:rPr>
              <w:lang w:val="es-ES_tradnl"/>
            </w:rPr>
            <w:t>ículo</w:t>
          </w:r>
          <w:r w:rsidR="00535D5F" w:rsidRPr="00535D5F">
            <w:rPr>
              <w:lang w:val="es-ES_tradnl"/>
            </w:rPr>
            <w:t xml:space="preserve"> 21)</w:t>
          </w:r>
        </w:sdtContent>
      </w:sdt>
      <w:r w:rsidR="004433C2" w:rsidRPr="00535D5F">
        <w:rPr>
          <w:kern w:val="22"/>
          <w:lang w:val="es-ES"/>
        </w:rPr>
        <w:t xml:space="preserve"> </w:t>
      </w:r>
    </w:p>
    <w:p w:rsidR="00687F77" w:rsidRPr="00535D5F" w:rsidRDefault="00535D5F" w:rsidP="00500F5F">
      <w:pPr>
        <w:pStyle w:val="Para1"/>
        <w:numPr>
          <w:ilvl w:val="0"/>
          <w:numId w:val="0"/>
        </w:numPr>
        <w:suppressLineNumbers/>
        <w:shd w:val="clear" w:color="auto" w:fill="FFFFFF" w:themeFill="background1"/>
        <w:suppressAutoHyphens/>
        <w:ind w:firstLine="720"/>
        <w:rPr>
          <w:i/>
          <w:kern w:val="22"/>
          <w:szCs w:val="22"/>
          <w:lang w:val="es-ES"/>
        </w:rPr>
      </w:pPr>
      <w:r w:rsidRPr="00302A13">
        <w:rPr>
          <w:i/>
          <w:szCs w:val="22"/>
          <w:lang w:val="es-ES_tradnl"/>
        </w:rPr>
        <w:t>La Conferencia de las Partes que actúa como reunión de las Partes en el Protocolo de Nagoya</w:t>
      </w:r>
      <w:r w:rsidRPr="00535D5F">
        <w:rPr>
          <w:i/>
          <w:kern w:val="22"/>
          <w:szCs w:val="22"/>
          <w:lang w:val="es-ES"/>
        </w:rPr>
        <w:t xml:space="preserve"> </w:t>
      </w:r>
      <w:r>
        <w:rPr>
          <w:i/>
          <w:kern w:val="22"/>
          <w:szCs w:val="22"/>
          <w:lang w:val="es-ES"/>
        </w:rPr>
        <w:t>sobre Acceso y Participación en los Beneficios</w:t>
      </w:r>
    </w:p>
    <w:p w:rsidR="00687F77" w:rsidRPr="00535D5F" w:rsidRDefault="00535D5F" w:rsidP="00500F5F">
      <w:pPr>
        <w:pStyle w:val="Para1"/>
        <w:suppressLineNumbers/>
        <w:shd w:val="clear" w:color="auto" w:fill="FFFFFF" w:themeFill="background1"/>
        <w:suppressAutoHyphens/>
        <w:ind w:firstLine="720"/>
        <w:rPr>
          <w:kern w:val="22"/>
          <w:szCs w:val="22"/>
          <w:lang w:val="es-ES"/>
        </w:rPr>
      </w:pPr>
      <w:r w:rsidRPr="00302A13">
        <w:rPr>
          <w:i/>
          <w:lang w:val="es-ES_tradnl"/>
        </w:rPr>
        <w:t>Toma nota</w:t>
      </w:r>
      <w:r w:rsidRPr="00302A13">
        <w:rPr>
          <w:lang w:val="es-ES_tradnl"/>
        </w:rPr>
        <w:t xml:space="preserve"> del progreso realizado en la aplicación de la estrategia de aumento de la concienciación para el Protocolo de Nagoya sobre Acceso y Participación en los Beneficios</w:t>
      </w:r>
      <w:r w:rsidR="00687F77" w:rsidRPr="00CE2BEE">
        <w:rPr>
          <w:rStyle w:val="Refdenotaalpie"/>
          <w:rFonts w:eastAsiaTheme="majorEastAsia"/>
          <w:kern w:val="22"/>
          <w:szCs w:val="22"/>
        </w:rPr>
        <w:footnoteReference w:id="1"/>
      </w:r>
      <w:r w:rsidRPr="00535D5F">
        <w:rPr>
          <w:kern w:val="22"/>
          <w:szCs w:val="22"/>
          <w:lang w:val="es-ES"/>
        </w:rPr>
        <w:t>;</w:t>
      </w:r>
    </w:p>
    <w:p w:rsidR="00535D5F" w:rsidRPr="00302A13" w:rsidRDefault="00535D5F" w:rsidP="00535D5F">
      <w:pPr>
        <w:pStyle w:val="Para1"/>
        <w:numPr>
          <w:ilvl w:val="0"/>
          <w:numId w:val="2"/>
        </w:numPr>
        <w:shd w:val="clear" w:color="auto" w:fill="FFFFFF" w:themeFill="background1"/>
        <w:tabs>
          <w:tab w:val="clear" w:pos="360"/>
          <w:tab w:val="left" w:pos="720"/>
        </w:tabs>
        <w:ind w:firstLine="720"/>
        <w:rPr>
          <w:kern w:val="22"/>
          <w:szCs w:val="22"/>
          <w:lang w:val="es-ES_tradnl"/>
        </w:rPr>
      </w:pPr>
      <w:r w:rsidRPr="00302A13">
        <w:rPr>
          <w:i/>
          <w:szCs w:val="22"/>
          <w:lang w:val="es-ES_tradnl"/>
        </w:rPr>
        <w:t>Acoge con beneplácito</w:t>
      </w:r>
      <w:r w:rsidRPr="00302A13">
        <w:rPr>
          <w:lang w:val="es-ES_tradnl"/>
        </w:rPr>
        <w:t xml:space="preserve"> el paquete de herramientas de aumento de la concienciación para el acceso y la participación en los beneficios elaborado por la Secretaría con el objetivo de apoyar la aplicación de la estrategia de aumento de la concienciación;</w:t>
      </w:r>
    </w:p>
    <w:p w:rsidR="00535D5F" w:rsidRPr="00302A13" w:rsidRDefault="00535D5F" w:rsidP="00535D5F">
      <w:pPr>
        <w:pStyle w:val="Para1"/>
        <w:numPr>
          <w:ilvl w:val="0"/>
          <w:numId w:val="2"/>
        </w:numPr>
        <w:shd w:val="clear" w:color="auto" w:fill="FFFFFF" w:themeFill="background1"/>
        <w:tabs>
          <w:tab w:val="clear" w:pos="360"/>
          <w:tab w:val="left" w:pos="720"/>
        </w:tabs>
        <w:ind w:firstLine="720"/>
        <w:rPr>
          <w:kern w:val="22"/>
          <w:szCs w:val="22"/>
          <w:lang w:val="es-ES_tradnl"/>
        </w:rPr>
      </w:pPr>
      <w:r w:rsidRPr="00302A13">
        <w:rPr>
          <w:i/>
          <w:szCs w:val="22"/>
          <w:lang w:val="es-ES_tradnl"/>
        </w:rPr>
        <w:t>Alienta</w:t>
      </w:r>
      <w:r w:rsidRPr="00302A13">
        <w:rPr>
          <w:lang w:val="es-ES_tradnl"/>
        </w:rPr>
        <w:t xml:space="preserve"> a las Partes, Estados que no son Partes, organismos pertinentes y otros actores a emplear el paquete de herramientas de aumento de la concienciación sobre acceso y participación en los beneficios elaborado por la Secretaría como parte de sus actividades de creación de capacidad y aumento de la concienciación, y a proporcionar comentarios sobre su uso a la Secretaría;</w:t>
      </w:r>
    </w:p>
    <w:p w:rsidR="00687F77" w:rsidRPr="00535D5F" w:rsidRDefault="00535D5F" w:rsidP="00535D5F">
      <w:pPr>
        <w:pStyle w:val="Para1"/>
        <w:suppressLineNumbers/>
        <w:shd w:val="clear" w:color="auto" w:fill="FFFFFF" w:themeFill="background1"/>
        <w:suppressAutoHyphens/>
        <w:ind w:firstLine="720"/>
        <w:rPr>
          <w:kern w:val="22"/>
          <w:szCs w:val="22"/>
          <w:lang w:val="es-ES"/>
        </w:rPr>
      </w:pPr>
      <w:r w:rsidRPr="00302A13">
        <w:rPr>
          <w:i/>
          <w:szCs w:val="22"/>
          <w:lang w:val="es-ES_tradnl"/>
        </w:rPr>
        <w:t>Alienta además</w:t>
      </w:r>
      <w:r w:rsidRPr="00302A13">
        <w:rPr>
          <w:lang w:val="es-ES_tradnl"/>
        </w:rPr>
        <w:t xml:space="preserve"> a las Partes, Estados que no son Partes, organismos pertinentes y otros actores a continuar llevando a cabo actividades de aumento de la concienciación y a proporcionar información sobre estrategias y recursos de aumento de la concienciación a través del Centro de Intercambio de Información sobre Acceso y Participación en los Beneficios</w:t>
      </w:r>
      <w:r w:rsidR="00687F77" w:rsidRPr="00535D5F">
        <w:rPr>
          <w:kern w:val="22"/>
          <w:szCs w:val="22"/>
          <w:lang w:val="es-ES"/>
        </w:rPr>
        <w:t>;</w:t>
      </w:r>
    </w:p>
    <w:p w:rsidR="00687F77" w:rsidRPr="00535D5F" w:rsidRDefault="00535D5F" w:rsidP="00500F5F">
      <w:pPr>
        <w:pStyle w:val="Para1"/>
        <w:suppressLineNumbers/>
        <w:shd w:val="clear" w:color="auto" w:fill="FFFFFF" w:themeFill="background1"/>
        <w:suppressAutoHyphens/>
        <w:ind w:firstLine="720"/>
        <w:rPr>
          <w:kern w:val="22"/>
          <w:szCs w:val="22"/>
          <w:lang w:val="es-ES"/>
        </w:rPr>
      </w:pPr>
      <w:r w:rsidRPr="00535D5F">
        <w:rPr>
          <w:i/>
          <w:szCs w:val="22"/>
          <w:lang w:val="es-ES"/>
        </w:rPr>
        <w:t>Pide</w:t>
      </w:r>
      <w:r w:rsidRPr="00535D5F">
        <w:rPr>
          <w:lang w:val="es-ES"/>
        </w:rPr>
        <w:t xml:space="preserve"> a la Secretaria Ejecutiva que continúe apoyando la aplicación de la estrategia de aumento de la concienciación</w:t>
      </w:r>
      <w:r w:rsidR="00DF2F44" w:rsidRPr="00CE2BEE">
        <w:rPr>
          <w:rStyle w:val="Refdenotaalpie"/>
          <w:kern w:val="22"/>
          <w:szCs w:val="22"/>
        </w:rPr>
        <w:footnoteReference w:id="2"/>
      </w:r>
      <w:r w:rsidR="00687F77" w:rsidRPr="00535D5F">
        <w:rPr>
          <w:kern w:val="22"/>
          <w:szCs w:val="22"/>
          <w:lang w:val="es-ES"/>
        </w:rPr>
        <w:t xml:space="preserve"> </w:t>
      </w:r>
      <w:r w:rsidRPr="00302A13">
        <w:rPr>
          <w:lang w:val="es-ES_tradnl"/>
        </w:rPr>
        <w:t>por medio de sus actividades de creación de capacidad y fomentando el uso del paquete de herramientas en proyectos de creación de capacidad y aumento de la concienciación sobre acceso y participación en los beneficios realizados por las Partes, Estados que no son Partes y organismos pertinentes</w:t>
      </w:r>
      <w:r w:rsidR="00687F77" w:rsidRPr="00535D5F">
        <w:rPr>
          <w:kern w:val="22"/>
          <w:szCs w:val="22"/>
          <w:lang w:val="es-ES"/>
        </w:rPr>
        <w:t>;</w:t>
      </w:r>
    </w:p>
    <w:p w:rsidR="00687F77" w:rsidRPr="00535D5F" w:rsidRDefault="00535D5F" w:rsidP="00500F5F">
      <w:pPr>
        <w:pStyle w:val="Para1"/>
        <w:suppressLineNumbers/>
        <w:shd w:val="clear" w:color="auto" w:fill="FFFFFF" w:themeFill="background1"/>
        <w:suppressAutoHyphens/>
        <w:ind w:firstLine="720"/>
        <w:rPr>
          <w:kern w:val="22"/>
          <w:szCs w:val="22"/>
          <w:lang w:val="es-ES"/>
        </w:rPr>
      </w:pPr>
      <w:r w:rsidRPr="00302A13">
        <w:rPr>
          <w:i/>
          <w:szCs w:val="22"/>
          <w:lang w:val="es-ES_tradnl"/>
        </w:rPr>
        <w:lastRenderedPageBreak/>
        <w:t>Pide asimismo</w:t>
      </w:r>
      <w:r w:rsidRPr="00302A13">
        <w:rPr>
          <w:lang w:val="es-ES_tradnl"/>
        </w:rPr>
        <w:t xml:space="preserve"> a la Secretaria Ejecutiva que recabe comentarios de las Partes, Estados que no son Partes y otros actores pertinentes con respecto al paquete de herramientas de aumento de la concienciación sobre acceso y participación en los beneficios, y que proporcione información actualizada sobre los progresos realizados en la aplicación de la estrategia de aumento de la concienciación para su consideración por la Conferencia de las Partes que actúa como reunión de las Partes en el Protocolo de Nagoya en su cuarta reunión</w:t>
      </w:r>
      <w:r w:rsidR="00687F77" w:rsidRPr="00535D5F">
        <w:rPr>
          <w:kern w:val="22"/>
          <w:szCs w:val="22"/>
          <w:lang w:val="es-ES"/>
        </w:rPr>
        <w:t>.</w:t>
      </w:r>
    </w:p>
    <w:p w:rsidR="00B3369F" w:rsidRPr="00500F5F" w:rsidRDefault="00A41B97" w:rsidP="00500F5F">
      <w:pPr>
        <w:keepNext/>
        <w:suppressLineNumbers/>
        <w:suppressAutoHyphens/>
        <w:spacing w:after="120"/>
        <w:ind w:left="4320"/>
        <w:jc w:val="left"/>
        <w:rPr>
          <w:kern w:val="22"/>
        </w:rPr>
      </w:pPr>
      <w:r w:rsidRPr="00500F5F">
        <w:rPr>
          <w:kern w:val="22"/>
        </w:rPr>
        <w:t>__________</w:t>
      </w:r>
    </w:p>
    <w:sectPr w:rsidR="00B3369F" w:rsidRPr="00500F5F"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97C" w:rsidRDefault="0071797C" w:rsidP="00CF1848">
      <w:r>
        <w:separator/>
      </w:r>
    </w:p>
  </w:endnote>
  <w:endnote w:type="continuationSeparator" w:id="0">
    <w:p w:rsidR="0071797C" w:rsidRDefault="0071797C"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97C" w:rsidRDefault="0071797C" w:rsidP="00CF1848">
      <w:r>
        <w:separator/>
      </w:r>
    </w:p>
  </w:footnote>
  <w:footnote w:type="continuationSeparator" w:id="0">
    <w:p w:rsidR="0071797C" w:rsidRDefault="0071797C" w:rsidP="00CF1848">
      <w:r>
        <w:continuationSeparator/>
      </w:r>
    </w:p>
  </w:footnote>
  <w:footnote w:id="1">
    <w:p w:rsidR="00687F77" w:rsidRPr="00500F5F" w:rsidRDefault="00687F77" w:rsidP="00CC7F1D">
      <w:pPr>
        <w:pStyle w:val="Textonotapie"/>
        <w:ind w:firstLine="0"/>
        <w:jc w:val="left"/>
        <w:rPr>
          <w:kern w:val="18"/>
          <w:szCs w:val="18"/>
        </w:rPr>
      </w:pPr>
      <w:r w:rsidRPr="00500F5F">
        <w:rPr>
          <w:rStyle w:val="Refdenotaalpie"/>
          <w:rFonts w:eastAsiaTheme="majorEastAsia"/>
          <w:kern w:val="18"/>
          <w:sz w:val="18"/>
          <w:szCs w:val="18"/>
        </w:rPr>
        <w:footnoteRef/>
      </w:r>
      <w:r w:rsidRPr="00CC7F1D">
        <w:rPr>
          <w:kern w:val="18"/>
          <w:szCs w:val="18"/>
        </w:rPr>
        <w:t xml:space="preserve"> </w:t>
      </w:r>
      <w:r w:rsidR="00E91DCF" w:rsidRPr="00500F5F">
        <w:rPr>
          <w:kern w:val="18"/>
          <w:szCs w:val="18"/>
        </w:rPr>
        <w:t>CBD/NP</w:t>
      </w:r>
      <w:r w:rsidR="00BF6CFE" w:rsidRPr="00500F5F">
        <w:rPr>
          <w:kern w:val="18"/>
          <w:szCs w:val="18"/>
        </w:rPr>
        <w:t>/</w:t>
      </w:r>
      <w:r w:rsidR="00E91DCF" w:rsidRPr="00500F5F">
        <w:rPr>
          <w:kern w:val="18"/>
          <w:szCs w:val="18"/>
        </w:rPr>
        <w:t>MOP/3/6</w:t>
      </w:r>
      <w:r w:rsidRPr="00500F5F">
        <w:rPr>
          <w:kern w:val="18"/>
          <w:szCs w:val="18"/>
        </w:rPr>
        <w:t>.</w:t>
      </w:r>
    </w:p>
  </w:footnote>
  <w:footnote w:id="2">
    <w:p w:rsidR="00DF2F44" w:rsidRPr="00535D5F" w:rsidRDefault="00DF2F44" w:rsidP="00500F5F">
      <w:pPr>
        <w:pStyle w:val="Textonotapie"/>
        <w:ind w:firstLine="0"/>
        <w:jc w:val="left"/>
        <w:rPr>
          <w:kern w:val="18"/>
          <w:szCs w:val="18"/>
          <w:lang w:val="es-ES"/>
        </w:rPr>
      </w:pPr>
      <w:r w:rsidRPr="00500F5F">
        <w:rPr>
          <w:rStyle w:val="Refdenotaalpie"/>
          <w:kern w:val="18"/>
          <w:sz w:val="18"/>
          <w:szCs w:val="18"/>
        </w:rPr>
        <w:footnoteRef/>
      </w:r>
      <w:r w:rsidR="00535D5F" w:rsidRPr="00535D5F">
        <w:rPr>
          <w:kern w:val="18"/>
          <w:szCs w:val="18"/>
          <w:lang w:val="es-ES"/>
        </w:rPr>
        <w:t xml:space="preserve"> Como se establece en la decisión</w:t>
      </w:r>
      <w:r w:rsidRPr="00535D5F">
        <w:rPr>
          <w:kern w:val="18"/>
          <w:szCs w:val="18"/>
          <w:lang w:val="es-ES"/>
        </w:rPr>
        <w:t xml:space="preserve"> NP-1/9</w:t>
      </w:r>
      <w:r w:rsidR="00F41D9C" w:rsidRPr="00535D5F">
        <w:rPr>
          <w:kern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500F5F" w:rsidRDefault="00E94428" w:rsidP="00534681">
        <w:pPr>
          <w:pStyle w:val="Encabezado"/>
          <w:rPr>
            <w:lang w:val="fr-FR"/>
          </w:rPr>
        </w:pPr>
        <w:r w:rsidRPr="00500F5F">
          <w:rPr>
            <w:lang w:val="fr-FR"/>
          </w:rPr>
          <w:t>CBD/NP/MOP/DEC/3/6</w:t>
        </w:r>
      </w:p>
    </w:sdtContent>
  </w:sdt>
  <w:p w:rsidR="00534681" w:rsidRPr="00000614" w:rsidRDefault="00534681" w:rsidP="00534681">
    <w:pPr>
      <w:pStyle w:val="Encabezado"/>
      <w:rPr>
        <w:lang w:val="fr-FR"/>
      </w:rPr>
    </w:pPr>
    <w:r w:rsidRPr="00000614">
      <w:rPr>
        <w:lang w:val="fr-FR"/>
      </w:rPr>
      <w:t>P</w:t>
    </w:r>
    <w:r w:rsidR="00535D5F">
      <w:rPr>
        <w:lang w:val="fr-FR"/>
      </w:rPr>
      <w:t>ágina</w:t>
    </w:r>
    <w:r w:rsidRPr="00000614">
      <w:rPr>
        <w:lang w:val="fr-FR"/>
      </w:rPr>
      <w:t xml:space="preserve"> </w:t>
    </w:r>
    <w:r w:rsidR="00CE2BAD">
      <w:fldChar w:fldCharType="begin"/>
    </w:r>
    <w:r w:rsidRPr="00000614">
      <w:rPr>
        <w:lang w:val="fr-FR"/>
      </w:rPr>
      <w:instrText xml:space="preserve"> PAGE   \* MERGEFORMAT </w:instrText>
    </w:r>
    <w:r w:rsidR="00CE2BAD">
      <w:fldChar w:fldCharType="separate"/>
    </w:r>
    <w:r w:rsidR="00A8542C">
      <w:rPr>
        <w:noProof/>
        <w:lang w:val="fr-FR"/>
      </w:rPr>
      <w:t>2</w:t>
    </w:r>
    <w:r w:rsidR="00CE2BAD">
      <w:rPr>
        <w:noProof/>
      </w:rPr>
      <w:fldChar w:fldCharType="end"/>
    </w:r>
  </w:p>
  <w:p w:rsidR="00534681" w:rsidRPr="00000614"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500F5F" w:rsidRDefault="00E94428" w:rsidP="009505C9">
        <w:pPr>
          <w:pStyle w:val="Encabezado"/>
          <w:jc w:val="right"/>
          <w:rPr>
            <w:lang w:val="fr-FR"/>
          </w:rPr>
        </w:pPr>
        <w:r w:rsidRPr="00500F5F">
          <w:rPr>
            <w:lang w:val="fr-FR"/>
          </w:rPr>
          <w:t>CBD/NP/MOP/DEC/3/6</w:t>
        </w:r>
      </w:p>
    </w:sdtContent>
  </w:sdt>
  <w:p w:rsidR="009505C9" w:rsidRPr="00000614" w:rsidRDefault="009505C9" w:rsidP="009505C9">
    <w:pPr>
      <w:pStyle w:val="Encabezado"/>
      <w:jc w:val="right"/>
      <w:rPr>
        <w:lang w:val="fr-FR"/>
      </w:rPr>
    </w:pPr>
    <w:r w:rsidRPr="00000614">
      <w:rPr>
        <w:lang w:val="fr-FR"/>
      </w:rPr>
      <w:t xml:space="preserve">Page </w:t>
    </w:r>
    <w:r w:rsidR="00CE2BAD">
      <w:fldChar w:fldCharType="begin"/>
    </w:r>
    <w:r w:rsidRPr="00000614">
      <w:rPr>
        <w:lang w:val="fr-FR"/>
      </w:rPr>
      <w:instrText xml:space="preserve"> PAGE   \* MERGEFORMAT </w:instrText>
    </w:r>
    <w:r w:rsidR="00CE2BAD">
      <w:fldChar w:fldCharType="separate"/>
    </w:r>
    <w:r w:rsidR="009C200D" w:rsidRPr="00000614">
      <w:rPr>
        <w:noProof/>
        <w:lang w:val="fr-FR"/>
      </w:rPr>
      <w:t>1</w:t>
    </w:r>
    <w:r w:rsidR="00CE2BAD">
      <w:rPr>
        <w:noProof/>
      </w:rPr>
      <w:fldChar w:fldCharType="end"/>
    </w:r>
  </w:p>
  <w:p w:rsidR="009505C9" w:rsidRPr="00000614"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
  <w:rsids>
    <w:rsidRoot w:val="00C9161D"/>
    <w:rsid w:val="00000614"/>
    <w:rsid w:val="000E673A"/>
    <w:rsid w:val="000F74F5"/>
    <w:rsid w:val="00105372"/>
    <w:rsid w:val="00124AE6"/>
    <w:rsid w:val="00131E7A"/>
    <w:rsid w:val="00143200"/>
    <w:rsid w:val="00172AF6"/>
    <w:rsid w:val="00176CEE"/>
    <w:rsid w:val="001956B2"/>
    <w:rsid w:val="001C675A"/>
    <w:rsid w:val="002E6F3F"/>
    <w:rsid w:val="00372F74"/>
    <w:rsid w:val="003F7224"/>
    <w:rsid w:val="00405146"/>
    <w:rsid w:val="0042412C"/>
    <w:rsid w:val="00427D21"/>
    <w:rsid w:val="004433C2"/>
    <w:rsid w:val="004644C2"/>
    <w:rsid w:val="00467F9C"/>
    <w:rsid w:val="004873D7"/>
    <w:rsid w:val="004A6323"/>
    <w:rsid w:val="00500F5F"/>
    <w:rsid w:val="005345E1"/>
    <w:rsid w:val="00534681"/>
    <w:rsid w:val="00535D5F"/>
    <w:rsid w:val="005654DB"/>
    <w:rsid w:val="005E2AC2"/>
    <w:rsid w:val="005F346C"/>
    <w:rsid w:val="006122BA"/>
    <w:rsid w:val="0061445E"/>
    <w:rsid w:val="006514DA"/>
    <w:rsid w:val="00687F77"/>
    <w:rsid w:val="00694244"/>
    <w:rsid w:val="006B2290"/>
    <w:rsid w:val="006D52E4"/>
    <w:rsid w:val="006F1189"/>
    <w:rsid w:val="006F7ECB"/>
    <w:rsid w:val="00710DF9"/>
    <w:rsid w:val="0071797C"/>
    <w:rsid w:val="00717D88"/>
    <w:rsid w:val="007648AF"/>
    <w:rsid w:val="007818E1"/>
    <w:rsid w:val="007942D3"/>
    <w:rsid w:val="007B6C09"/>
    <w:rsid w:val="007E09DA"/>
    <w:rsid w:val="008178B6"/>
    <w:rsid w:val="0085653F"/>
    <w:rsid w:val="00865B74"/>
    <w:rsid w:val="00930BA1"/>
    <w:rsid w:val="0093169E"/>
    <w:rsid w:val="009505C9"/>
    <w:rsid w:val="009B0F53"/>
    <w:rsid w:val="009C200D"/>
    <w:rsid w:val="009F2467"/>
    <w:rsid w:val="00A41B97"/>
    <w:rsid w:val="00A5115A"/>
    <w:rsid w:val="00A8542C"/>
    <w:rsid w:val="00B3369F"/>
    <w:rsid w:val="00BA55BC"/>
    <w:rsid w:val="00BE502E"/>
    <w:rsid w:val="00BF6CFE"/>
    <w:rsid w:val="00C12445"/>
    <w:rsid w:val="00C22B97"/>
    <w:rsid w:val="00C35537"/>
    <w:rsid w:val="00C852AD"/>
    <w:rsid w:val="00C9161D"/>
    <w:rsid w:val="00C93132"/>
    <w:rsid w:val="00CC7F1D"/>
    <w:rsid w:val="00CE2BAD"/>
    <w:rsid w:val="00CE2BEE"/>
    <w:rsid w:val="00CF1848"/>
    <w:rsid w:val="00D12044"/>
    <w:rsid w:val="00D557A0"/>
    <w:rsid w:val="00D76A18"/>
    <w:rsid w:val="00DC413A"/>
    <w:rsid w:val="00DD118C"/>
    <w:rsid w:val="00DF2F44"/>
    <w:rsid w:val="00E229A8"/>
    <w:rsid w:val="00E23BFF"/>
    <w:rsid w:val="00E66235"/>
    <w:rsid w:val="00E83C24"/>
    <w:rsid w:val="00E91DCF"/>
    <w:rsid w:val="00E9318D"/>
    <w:rsid w:val="00E94428"/>
    <w:rsid w:val="00F27A1E"/>
    <w:rsid w:val="00F41D9C"/>
    <w:rsid w:val="00F94774"/>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Asuntodelcomentario">
    <w:name w:val="annotation subject"/>
    <w:basedOn w:val="Textocomentario"/>
    <w:next w:val="Textocomentario"/>
    <w:link w:val="AsuntodelcomentarioCar"/>
    <w:uiPriority w:val="99"/>
    <w:semiHidden/>
    <w:unhideWhenUsed/>
    <w:rsid w:val="009B0F53"/>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B0F53"/>
    <w:rPr>
      <w:rFonts w:ascii="Times New Roman" w:eastAsia="Times New Roman" w:hAnsi="Times New Roman" w:cs="Times New Roman"/>
      <w:b/>
      <w:bCs/>
      <w:sz w:val="20"/>
      <w:szCs w:val="20"/>
      <w:lang w:val="en-GB"/>
    </w:rPr>
  </w:style>
  <w:style w:type="paragraph" w:styleId="Revisin">
    <w:name w:val="Revision"/>
    <w:hidden/>
    <w:uiPriority w:val="99"/>
    <w:semiHidden/>
    <w:rsid w:val="00DF2F44"/>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92C3793358AE749922BCD46EE488E4D"/>
        <w:category>
          <w:name w:val="General"/>
          <w:gallery w:val="placeholder"/>
        </w:category>
        <w:types>
          <w:type w:val="bbPlcHdr"/>
        </w:types>
        <w:behaviors>
          <w:behavior w:val="content"/>
        </w:behaviors>
        <w:guid w:val="{0E586D48-8BBD-DB49-ACE8-0332D71B41DA}"/>
      </w:docPartPr>
      <w:docPartBody>
        <w:p w:rsidR="005A5752" w:rsidRDefault="00A134A0" w:rsidP="00A134A0">
          <w:pPr>
            <w:pStyle w:val="992C3793358AE749922BCD46EE488E4D"/>
          </w:pPr>
          <w:r w:rsidRPr="007E02EB">
            <w:rPr>
              <w:rStyle w:val="Textodelmarcadordeposicin"/>
            </w:rPr>
            <w:t>[Status]</w:t>
          </w:r>
        </w:p>
      </w:docPartBody>
    </w:docPart>
    <w:docPart>
      <w:docPartPr>
        <w:name w:val="197A9AA66BD0A340AAE2C76EA45A9517"/>
        <w:category>
          <w:name w:val="General"/>
          <w:gallery w:val="placeholder"/>
        </w:category>
        <w:types>
          <w:type w:val="bbPlcHdr"/>
        </w:types>
        <w:behaviors>
          <w:behavior w:val="content"/>
        </w:behaviors>
        <w:guid w:val="{ECC81003-925D-FA43-9483-34CDF8F4F309}"/>
      </w:docPartPr>
      <w:docPartBody>
        <w:p w:rsidR="005A5752" w:rsidRDefault="00A134A0" w:rsidP="00A134A0">
          <w:pPr>
            <w:pStyle w:val="197A9AA66BD0A340AAE2C76EA45A9517"/>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143AD4"/>
    <w:rsid w:val="00261E9A"/>
    <w:rsid w:val="00450D4E"/>
    <w:rsid w:val="00495AA8"/>
    <w:rsid w:val="00500A2B"/>
    <w:rsid w:val="005461E8"/>
    <w:rsid w:val="0058288D"/>
    <w:rsid w:val="005A5752"/>
    <w:rsid w:val="006801B3"/>
    <w:rsid w:val="006B4231"/>
    <w:rsid w:val="00720F63"/>
    <w:rsid w:val="0077698B"/>
    <w:rsid w:val="007F1B76"/>
    <w:rsid w:val="00810A55"/>
    <w:rsid w:val="008C6619"/>
    <w:rsid w:val="008D420E"/>
    <w:rsid w:val="0098642F"/>
    <w:rsid w:val="00A134A0"/>
    <w:rsid w:val="00B92240"/>
    <w:rsid w:val="00C46F85"/>
    <w:rsid w:val="00CE6602"/>
    <w:rsid w:val="00E82DE3"/>
    <w:rsid w:val="00F1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34A0"/>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05D608CEBD26402181FA3BB6B1F35FB4">
    <w:name w:val="05D608CEBD26402181FA3BB6B1F35FB4"/>
    <w:rsid w:val="00E82DE3"/>
    <w:pPr>
      <w:spacing w:after="160" w:line="259" w:lineRule="auto"/>
    </w:pPr>
  </w:style>
  <w:style w:type="paragraph" w:customStyle="1" w:styleId="6216D14D015D8E49BB02B66BD8AA1D94">
    <w:name w:val="6216D14D015D8E49BB02B66BD8AA1D94"/>
    <w:rsid w:val="00A134A0"/>
    <w:pPr>
      <w:spacing w:after="0" w:line="240" w:lineRule="auto"/>
    </w:pPr>
    <w:rPr>
      <w:sz w:val="24"/>
      <w:szCs w:val="24"/>
      <w:lang w:val="en-CA"/>
    </w:rPr>
  </w:style>
  <w:style w:type="paragraph" w:customStyle="1" w:styleId="CFF4F28558B4054DA09B51261A09E9C9">
    <w:name w:val="CFF4F28558B4054DA09B51261A09E9C9"/>
    <w:rsid w:val="00A134A0"/>
    <w:pPr>
      <w:spacing w:after="0" w:line="240" w:lineRule="auto"/>
    </w:pPr>
    <w:rPr>
      <w:sz w:val="24"/>
      <w:szCs w:val="24"/>
      <w:lang w:val="en-CA"/>
    </w:rPr>
  </w:style>
  <w:style w:type="paragraph" w:customStyle="1" w:styleId="992C3793358AE749922BCD46EE488E4D">
    <w:name w:val="992C3793358AE749922BCD46EE488E4D"/>
    <w:rsid w:val="00A134A0"/>
    <w:pPr>
      <w:spacing w:after="0" w:line="240" w:lineRule="auto"/>
    </w:pPr>
    <w:rPr>
      <w:sz w:val="24"/>
      <w:szCs w:val="24"/>
      <w:lang w:val="en-CA"/>
    </w:rPr>
  </w:style>
  <w:style w:type="paragraph" w:customStyle="1" w:styleId="197A9AA66BD0A340AAE2C76EA45A9517">
    <w:name w:val="197A9AA66BD0A340AAE2C76EA45A9517"/>
    <w:rsid w:val="00A134A0"/>
    <w:pPr>
      <w:spacing w:after="0" w:line="240" w:lineRule="auto"/>
    </w:pPr>
    <w:rPr>
      <w:sz w:val="24"/>
      <w:szCs w:val="24"/>
      <w:lang w:val="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7B5D0-3E49-4FC4-93BF-0CFA0D18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3/6.	Measures to raise awareness of the importance of genetic resources and associated traditional knowledge (Article 21)</vt:lpstr>
    </vt:vector>
  </TitlesOfParts>
  <Company>SCBD</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Medidas para aumentar la concienciación acerca de la importancia de los recursos genéticos y conocimientos tradicionales asociados (artículo 21)</dc:title>
  <dc:subject>CBD/NP/MOP/DEC/3/6</dc:subject>
  <dc:creator>NP MOP 3</dc:creator>
  <cp:keywords>Measures to raise awareness of the importance of genetic resources and associated traditional knowledge (Article 21),</cp:keywords>
  <cp:lastModifiedBy>HP</cp:lastModifiedBy>
  <cp:revision>4</cp:revision>
  <cp:lastPrinted>2018-12-13T17:47:00Z</cp:lastPrinted>
  <dcterms:created xsi:type="dcterms:W3CDTF">2019-02-12T12:11:00Z</dcterms:created>
  <dcterms:modified xsi:type="dcterms:W3CDTF">2019-02-12T12:29:00Z</dcterms:modified>
  <cp:contentStatus>GENERAL</cp:contentStatus>
</cp:coreProperties>
</file>