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A360F" w:rsidRPr="00186A2C" w:rsidTr="00396CED">
        <w:trPr>
          <w:trHeight w:val="709"/>
        </w:trPr>
        <w:tc>
          <w:tcPr>
            <w:tcW w:w="976" w:type="dxa"/>
            <w:tcBorders>
              <w:bottom w:val="single" w:sz="12" w:space="0" w:color="auto"/>
            </w:tcBorders>
          </w:tcPr>
          <w:p w:rsidR="00EA360F" w:rsidRPr="00186A2C" w:rsidRDefault="00EA360F" w:rsidP="00186A2C">
            <w:pPr>
              <w:suppressLineNumbers/>
              <w:suppressAutoHyphens/>
              <w:rPr>
                <w:kern w:val="22"/>
              </w:rPr>
            </w:pPr>
            <w:r w:rsidRPr="00186A2C">
              <w:rPr>
                <w:noProof/>
                <w:kern w:val="22"/>
                <w:lang w:val="fr-CA" w:eastAsia="fr-CA"/>
              </w:rPr>
              <w:drawing>
                <wp:inline distT="0" distB="0" distL="0" distR="0" wp14:anchorId="24EB4B78" wp14:editId="71BAFE2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EA360F" w:rsidRPr="00186A2C" w:rsidRDefault="00EA360F" w:rsidP="00186A2C">
            <w:pPr>
              <w:suppressLineNumbers/>
              <w:suppressAutoHyphens/>
              <w:rPr>
                <w:kern w:val="22"/>
              </w:rPr>
            </w:pPr>
            <w:r w:rsidRPr="00186A2C">
              <w:rPr>
                <w:noProof/>
                <w:kern w:val="22"/>
                <w:lang w:val="fr-CA" w:eastAsia="fr-CA"/>
              </w:rPr>
              <w:drawing>
                <wp:inline distT="0" distB="0" distL="0" distR="0" wp14:anchorId="2DB5FE68" wp14:editId="39EDB193">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EA360F" w:rsidRPr="00186A2C" w:rsidRDefault="00EA360F" w:rsidP="00186A2C">
            <w:pPr>
              <w:suppressLineNumbers/>
              <w:suppressAutoHyphens/>
              <w:jc w:val="right"/>
              <w:rPr>
                <w:rFonts w:ascii="Arial" w:hAnsi="Arial" w:cs="Arial"/>
                <w:b/>
                <w:kern w:val="22"/>
                <w:sz w:val="32"/>
                <w:szCs w:val="32"/>
              </w:rPr>
            </w:pPr>
            <w:r w:rsidRPr="00186A2C">
              <w:rPr>
                <w:rFonts w:ascii="Arial" w:hAnsi="Arial" w:cs="Arial"/>
                <w:b/>
                <w:kern w:val="22"/>
                <w:sz w:val="32"/>
                <w:szCs w:val="32"/>
              </w:rPr>
              <w:t>CBD</w:t>
            </w:r>
          </w:p>
        </w:tc>
      </w:tr>
      <w:tr w:rsidR="00EA360F" w:rsidRPr="00BA7CC8" w:rsidTr="00396CED">
        <w:tc>
          <w:tcPr>
            <w:tcW w:w="6117" w:type="dxa"/>
            <w:gridSpan w:val="2"/>
            <w:tcBorders>
              <w:top w:val="single" w:sz="12" w:space="0" w:color="auto"/>
              <w:bottom w:val="single" w:sz="36" w:space="0" w:color="auto"/>
            </w:tcBorders>
            <w:vAlign w:val="center"/>
          </w:tcPr>
          <w:p w:rsidR="00EA360F" w:rsidRPr="00BA7CC8" w:rsidRDefault="00BA7CC8" w:rsidP="00186A2C">
            <w:pPr>
              <w:suppressLineNumbers/>
              <w:suppressAutoHyphens/>
              <w:rPr>
                <w:kern w:val="22"/>
                <w:lang w:val="fr-CA"/>
              </w:rPr>
            </w:pPr>
            <w:r w:rsidRPr="00BA7CC8">
              <w:rPr>
                <w:noProof/>
                <w:lang w:val="fr-CA" w:eastAsia="fr-CA"/>
              </w:rPr>
              <w:drawing>
                <wp:inline distT="0" distB="0" distL="0" distR="0" wp14:anchorId="043CD115" wp14:editId="2C2DD398">
                  <wp:extent cx="2876550" cy="1076325"/>
                  <wp:effectExtent l="0" t="0" r="0" b="9525"/>
                  <wp:docPr id="2" name="Image 2"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EA360F" w:rsidRPr="00BA7CC8" w:rsidRDefault="00EA360F" w:rsidP="00186A2C">
            <w:pPr>
              <w:suppressLineNumbers/>
              <w:suppressAutoHyphens/>
              <w:ind w:left="1215"/>
              <w:rPr>
                <w:kern w:val="22"/>
                <w:szCs w:val="22"/>
                <w:lang w:val="fr-CA"/>
              </w:rPr>
            </w:pPr>
            <w:proofErr w:type="spellStart"/>
            <w:r w:rsidRPr="00BA7CC8">
              <w:rPr>
                <w:kern w:val="22"/>
                <w:szCs w:val="22"/>
                <w:lang w:val="fr-CA"/>
              </w:rPr>
              <w:t>Distr</w:t>
            </w:r>
            <w:proofErr w:type="spellEnd"/>
            <w:r w:rsidRPr="00BA7CC8">
              <w:rPr>
                <w:kern w:val="22"/>
                <w:szCs w:val="22"/>
                <w:lang w:val="fr-CA"/>
              </w:rPr>
              <w:t>.</w:t>
            </w:r>
          </w:p>
          <w:p w:rsidR="00EA360F" w:rsidRPr="00BA7CC8" w:rsidRDefault="00D66C51" w:rsidP="00186A2C">
            <w:pPr>
              <w:suppressLineNumbers/>
              <w:suppressAutoHyphens/>
              <w:ind w:left="1215"/>
              <w:rPr>
                <w:kern w:val="22"/>
                <w:szCs w:val="22"/>
                <w:lang w:val="fr-CA"/>
              </w:rPr>
            </w:pPr>
            <w:sdt>
              <w:sdtPr>
                <w:rPr>
                  <w:caps/>
                  <w:kern w:val="22"/>
                  <w:szCs w:val="22"/>
                  <w:lang w:val="fr-CA"/>
                </w:rPr>
                <w:alias w:val="Status"/>
                <w:tag w:val=""/>
                <w:id w:val="307985777"/>
                <w:placeholder>
                  <w:docPart w:val="B6B468AFDC17A04D9A5CB394A882901A"/>
                </w:placeholder>
                <w:dataBinding w:prefixMappings="xmlns:ns0='http://purl.org/dc/elements/1.1/' xmlns:ns1='http://schemas.openxmlformats.org/package/2006/metadata/core-properties' " w:xpath="/ns1:coreProperties[1]/ns1:contentStatus[1]" w:storeItemID="{6C3C8BC8-F283-45AE-878A-BAB7291924A1}"/>
                <w:text/>
              </w:sdtPr>
              <w:sdtEndPr/>
              <w:sdtContent>
                <w:r w:rsidR="00BA7CC8" w:rsidRPr="00BA7CC8">
                  <w:rPr>
                    <w:caps/>
                    <w:kern w:val="22"/>
                    <w:szCs w:val="22"/>
                    <w:lang w:val="fr-CA"/>
                  </w:rPr>
                  <w:t>GÉNÉRALE</w:t>
                </w:r>
              </w:sdtContent>
            </w:sdt>
          </w:p>
          <w:p w:rsidR="00EA360F" w:rsidRPr="00BA7CC8" w:rsidRDefault="00EA360F" w:rsidP="00186A2C">
            <w:pPr>
              <w:suppressLineNumbers/>
              <w:suppressAutoHyphens/>
              <w:ind w:left="1215"/>
              <w:rPr>
                <w:kern w:val="22"/>
                <w:szCs w:val="22"/>
                <w:lang w:val="fr-CA"/>
              </w:rPr>
            </w:pPr>
          </w:p>
          <w:p w:rsidR="00EA360F" w:rsidRPr="00BA7CC8" w:rsidRDefault="00D66C51" w:rsidP="00186A2C">
            <w:pPr>
              <w:suppressLineNumbers/>
              <w:suppressAutoHyphens/>
              <w:ind w:left="1215"/>
              <w:rPr>
                <w:kern w:val="22"/>
                <w:szCs w:val="22"/>
                <w:lang w:val="fr-CA"/>
              </w:rPr>
            </w:pPr>
            <w:sdt>
              <w:sdtPr>
                <w:rPr>
                  <w:kern w:val="22"/>
                  <w:lang w:val="fr-CA"/>
                </w:rPr>
                <w:alias w:val="Subject"/>
                <w:tag w:val=""/>
                <w:id w:val="2137136483"/>
                <w:placeholder>
                  <w:docPart w:val="78B83D5FCB7DFD4F93A676F9C9974851"/>
                </w:placeholder>
                <w:dataBinding w:prefixMappings="xmlns:ns0='http://purl.org/dc/elements/1.1/' xmlns:ns1='http://schemas.openxmlformats.org/package/2006/metadata/core-properties' " w:xpath="/ns1:coreProperties[1]/ns0:subject[1]" w:storeItemID="{6C3C8BC8-F283-45AE-878A-BAB7291924A1}"/>
                <w:text/>
              </w:sdtPr>
              <w:sdtEndPr/>
              <w:sdtContent>
                <w:r w:rsidR="009500D0" w:rsidRPr="00BA7CC8">
                  <w:rPr>
                    <w:kern w:val="22"/>
                    <w:lang w:val="fr-CA"/>
                  </w:rPr>
                  <w:t>CBD/</w:t>
                </w:r>
                <w:proofErr w:type="spellStart"/>
                <w:r w:rsidR="009500D0" w:rsidRPr="00BA7CC8">
                  <w:rPr>
                    <w:kern w:val="22"/>
                    <w:lang w:val="fr-CA"/>
                  </w:rPr>
                  <w:t>NP</w:t>
                </w:r>
                <w:proofErr w:type="spellEnd"/>
                <w:r w:rsidR="009500D0" w:rsidRPr="00BA7CC8">
                  <w:rPr>
                    <w:kern w:val="22"/>
                    <w:lang w:val="fr-CA"/>
                  </w:rPr>
                  <w:t>/</w:t>
                </w:r>
                <w:proofErr w:type="spellStart"/>
                <w:r w:rsidR="009500D0" w:rsidRPr="00BA7CC8">
                  <w:rPr>
                    <w:kern w:val="22"/>
                    <w:lang w:val="fr-CA"/>
                  </w:rPr>
                  <w:t>MOP</w:t>
                </w:r>
                <w:proofErr w:type="spellEnd"/>
                <w:r w:rsidR="009500D0" w:rsidRPr="00BA7CC8">
                  <w:rPr>
                    <w:kern w:val="22"/>
                    <w:lang w:val="fr-CA"/>
                  </w:rPr>
                  <w:t>/DEC/3/8</w:t>
                </w:r>
              </w:sdtContent>
            </w:sdt>
          </w:p>
          <w:p w:rsidR="00EA360F" w:rsidRPr="00BA7CC8" w:rsidRDefault="009500D0" w:rsidP="00186A2C">
            <w:pPr>
              <w:suppressLineNumbers/>
              <w:suppressAutoHyphens/>
              <w:ind w:left="1215"/>
              <w:rPr>
                <w:kern w:val="22"/>
                <w:szCs w:val="22"/>
                <w:lang w:val="fr-CA"/>
              </w:rPr>
            </w:pPr>
            <w:r w:rsidRPr="00BA7CC8">
              <w:rPr>
                <w:kern w:val="22"/>
                <w:szCs w:val="22"/>
                <w:lang w:val="fr-CA"/>
              </w:rPr>
              <w:t xml:space="preserve">30 </w:t>
            </w:r>
            <w:r w:rsidR="00BA7CC8" w:rsidRPr="00BA7CC8">
              <w:rPr>
                <w:kern w:val="22"/>
                <w:szCs w:val="22"/>
                <w:lang w:val="fr-CA"/>
              </w:rPr>
              <w:t>novembre</w:t>
            </w:r>
            <w:r w:rsidR="00EA360F" w:rsidRPr="00BA7CC8">
              <w:rPr>
                <w:kern w:val="22"/>
                <w:szCs w:val="22"/>
                <w:lang w:val="fr-CA"/>
              </w:rPr>
              <w:t xml:space="preserve"> 2018</w:t>
            </w:r>
          </w:p>
          <w:p w:rsidR="00EA360F" w:rsidRPr="00BA7CC8" w:rsidRDefault="00EA360F" w:rsidP="00186A2C">
            <w:pPr>
              <w:suppressLineNumbers/>
              <w:suppressAutoHyphens/>
              <w:ind w:left="1215"/>
              <w:rPr>
                <w:kern w:val="22"/>
                <w:szCs w:val="22"/>
                <w:lang w:val="fr-CA"/>
              </w:rPr>
            </w:pPr>
          </w:p>
          <w:p w:rsidR="00BA7CC8" w:rsidRPr="00BA7CC8" w:rsidRDefault="00BA7CC8" w:rsidP="00186A2C">
            <w:pPr>
              <w:suppressLineNumbers/>
              <w:suppressAutoHyphens/>
              <w:ind w:left="1215"/>
              <w:rPr>
                <w:kern w:val="22"/>
                <w:szCs w:val="22"/>
                <w:lang w:val="fr-CA"/>
              </w:rPr>
            </w:pPr>
            <w:r w:rsidRPr="00BA7CC8">
              <w:rPr>
                <w:kern w:val="22"/>
                <w:szCs w:val="22"/>
                <w:lang w:val="fr-CA"/>
              </w:rPr>
              <w:t>FRANÇAIS</w:t>
            </w:r>
          </w:p>
          <w:p w:rsidR="00EA360F" w:rsidRPr="00BA7CC8" w:rsidRDefault="00EA360F" w:rsidP="00186A2C">
            <w:pPr>
              <w:suppressLineNumbers/>
              <w:suppressAutoHyphens/>
              <w:ind w:left="1215"/>
              <w:rPr>
                <w:kern w:val="22"/>
                <w:szCs w:val="22"/>
                <w:lang w:val="fr-CA"/>
              </w:rPr>
            </w:pPr>
            <w:r w:rsidRPr="00BA7CC8">
              <w:rPr>
                <w:kern w:val="22"/>
                <w:szCs w:val="22"/>
                <w:lang w:val="fr-CA"/>
              </w:rPr>
              <w:t>ORIGINAL</w:t>
            </w:r>
            <w:r w:rsidR="00BA7CC8" w:rsidRPr="00BA7CC8">
              <w:rPr>
                <w:kern w:val="22"/>
                <w:szCs w:val="22"/>
                <w:lang w:val="fr-CA"/>
              </w:rPr>
              <w:t xml:space="preserve"> </w:t>
            </w:r>
            <w:r w:rsidRPr="00BA7CC8">
              <w:rPr>
                <w:kern w:val="22"/>
                <w:szCs w:val="22"/>
                <w:lang w:val="fr-CA"/>
              </w:rPr>
              <w:t xml:space="preserve">: </w:t>
            </w:r>
            <w:r w:rsidR="00BA7CC8" w:rsidRPr="00BA7CC8">
              <w:rPr>
                <w:kern w:val="22"/>
                <w:szCs w:val="22"/>
                <w:lang w:val="fr-CA"/>
              </w:rPr>
              <w:t>ANGLAIS</w:t>
            </w:r>
          </w:p>
          <w:p w:rsidR="00EA360F" w:rsidRPr="00BA7CC8" w:rsidRDefault="00EA360F" w:rsidP="00186A2C">
            <w:pPr>
              <w:suppressLineNumbers/>
              <w:suppressAutoHyphens/>
              <w:rPr>
                <w:kern w:val="22"/>
                <w:lang w:val="fr-CA"/>
              </w:rPr>
            </w:pPr>
          </w:p>
        </w:tc>
      </w:tr>
    </w:tbl>
    <w:p w:rsidR="00BA7CC8" w:rsidRPr="00BA7CC8" w:rsidRDefault="00BA7CC8" w:rsidP="00BA7CC8">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fr-CA"/>
        </w:rPr>
      </w:pPr>
      <w:r w:rsidRPr="00BA7CC8">
        <w:rPr>
          <w:snapToGrid w:val="0"/>
          <w:kern w:val="22"/>
          <w:lang w:val="fr-CA"/>
        </w:rPr>
        <w:t>CONFÉRENCE DES PARTIES À LA CONVENTION SUR LA DIVERSITÉ BIOLOGIQUE SIÉGEANT EN TANT QUE RÉUNION DES PARTIES AU PROTOCOLE DE NAGOYA SUR L’ACCÈS AUX RESSOURCES GÉNÉTIQUES ET LE PARTAGE JUSTE ET ÉQUITABLE DES AVANTAGES DÉCOULANT DE LEUR UTILISATION</w:t>
      </w:r>
    </w:p>
    <w:p w:rsidR="00BA7CC8" w:rsidRPr="00BA7CC8" w:rsidRDefault="00BA7CC8" w:rsidP="00BA7CC8">
      <w:pPr>
        <w:suppressLineNumbers/>
        <w:suppressAutoHyphens/>
        <w:kinsoku w:val="0"/>
        <w:overflowPunct w:val="0"/>
        <w:autoSpaceDE w:val="0"/>
        <w:autoSpaceDN w:val="0"/>
        <w:ind w:left="170" w:right="3119" w:hanging="170"/>
        <w:jc w:val="left"/>
        <w:rPr>
          <w:rFonts w:eastAsia="Batang"/>
          <w:snapToGrid w:val="0"/>
          <w:kern w:val="22"/>
          <w:szCs w:val="22"/>
          <w:lang w:val="fr-CA"/>
        </w:rPr>
      </w:pPr>
      <w:r w:rsidRPr="00BA7CC8">
        <w:rPr>
          <w:snapToGrid w:val="0"/>
          <w:color w:val="000000"/>
          <w:kern w:val="22"/>
          <w:lang w:val="fr-CA"/>
        </w:rPr>
        <w:t>Troisième réunion</w:t>
      </w:r>
    </w:p>
    <w:p w:rsidR="00BA7CC8" w:rsidRPr="00BA7CC8" w:rsidRDefault="00BA7CC8" w:rsidP="00BA7CC8">
      <w:pPr>
        <w:suppressLineNumbers/>
        <w:suppressAutoHyphens/>
        <w:kinsoku w:val="0"/>
        <w:overflowPunct w:val="0"/>
        <w:autoSpaceDE w:val="0"/>
        <w:autoSpaceDN w:val="0"/>
        <w:rPr>
          <w:snapToGrid w:val="0"/>
          <w:kern w:val="22"/>
          <w:szCs w:val="22"/>
          <w:lang w:val="fr-CA" w:eastAsia="nb-NO"/>
        </w:rPr>
      </w:pPr>
      <w:bookmarkStart w:id="0" w:name="_Hlk505863673"/>
      <w:r w:rsidRPr="00BA7CC8">
        <w:rPr>
          <w:noProof/>
          <w:snapToGrid w:val="0"/>
          <w:kern w:val="22"/>
          <w:szCs w:val="22"/>
          <w:lang w:val="fr-CA" w:eastAsia="nb-NO"/>
        </w:rPr>
        <w:t>Charm el</w:t>
      </w:r>
      <w:r w:rsidRPr="00BA7CC8">
        <w:rPr>
          <w:noProof/>
          <w:snapToGrid w:val="0"/>
          <w:kern w:val="22"/>
          <w:szCs w:val="22"/>
          <w:lang w:val="fr-CA" w:eastAsia="nb-NO"/>
        </w:rPr>
        <w:noBreakHyphen/>
        <w:t>Cheikh (Égypt</w:t>
      </w:r>
      <w:bookmarkEnd w:id="0"/>
      <w:r w:rsidRPr="00BA7CC8">
        <w:rPr>
          <w:noProof/>
          <w:snapToGrid w:val="0"/>
          <w:kern w:val="22"/>
          <w:szCs w:val="22"/>
          <w:lang w:val="fr-CA" w:eastAsia="nb-NO"/>
        </w:rPr>
        <w:t>e</w:t>
      </w:r>
      <w:r w:rsidRPr="00BA7CC8">
        <w:rPr>
          <w:snapToGrid w:val="0"/>
          <w:kern w:val="22"/>
          <w:szCs w:val="22"/>
          <w:lang w:val="fr-CA" w:eastAsia="nb-NO"/>
        </w:rPr>
        <w:t>), 17</w:t>
      </w:r>
      <w:r w:rsidRPr="00BA7CC8">
        <w:rPr>
          <w:snapToGrid w:val="0"/>
          <w:kern w:val="22"/>
          <w:szCs w:val="22"/>
          <w:lang w:val="fr-CA" w:eastAsia="nb-NO"/>
        </w:rPr>
        <w:noBreakHyphen/>
        <w:t>29 novembre 2018</w:t>
      </w:r>
    </w:p>
    <w:p w:rsidR="00C9161D" w:rsidRPr="00BA7CC8" w:rsidRDefault="00BA7CC8" w:rsidP="00BA7CC8">
      <w:pPr>
        <w:suppressLineNumbers/>
        <w:suppressAutoHyphens/>
        <w:rPr>
          <w:kern w:val="22"/>
          <w:lang w:val="fr-CA"/>
        </w:rPr>
      </w:pPr>
      <w:r w:rsidRPr="00BA7CC8">
        <w:rPr>
          <w:snapToGrid w:val="0"/>
          <w:kern w:val="22"/>
          <w:szCs w:val="22"/>
          <w:lang w:val="fr-CA"/>
        </w:rPr>
        <w:t>Point 8 de l’ordre du jour</w:t>
      </w:r>
    </w:p>
    <w:p w:rsidR="009500D0" w:rsidRPr="00BA7CC8" w:rsidRDefault="00BA7CC8" w:rsidP="00186A2C">
      <w:pPr>
        <w:pStyle w:val="Titre1"/>
        <w:suppressLineNumbers/>
        <w:tabs>
          <w:tab w:val="clear" w:pos="720"/>
        </w:tabs>
        <w:suppressAutoHyphens/>
        <w:rPr>
          <w:kern w:val="22"/>
          <w:szCs w:val="22"/>
          <w:lang w:val="fr-CA"/>
        </w:rPr>
      </w:pPr>
      <w:bookmarkStart w:id="1" w:name="_Hlk532291362"/>
      <w:r w:rsidRPr="00BA7CC8">
        <w:rPr>
          <w:rFonts w:ascii="Times New Roman Bold" w:hAnsi="Times New Roman Bold"/>
          <w:kern w:val="22"/>
          <w:lang w:val="fr-CA"/>
        </w:rPr>
        <w:t>DÉCISION ADOPTÉE PAR LES PARTIES AU PROTO</w:t>
      </w:r>
      <w:r w:rsidR="004E195C">
        <w:rPr>
          <w:rFonts w:ascii="Times New Roman Bold" w:hAnsi="Times New Roman Bold"/>
          <w:kern w:val="22"/>
          <w:lang w:val="fr-CA"/>
        </w:rPr>
        <w:t>COLE DE NAGOYA SUR L’ACCÈS ET LE</w:t>
      </w:r>
      <w:r w:rsidRPr="00BA7CC8">
        <w:rPr>
          <w:rFonts w:ascii="Times New Roman Bold" w:hAnsi="Times New Roman Bold"/>
          <w:kern w:val="22"/>
          <w:lang w:val="fr-CA"/>
        </w:rPr>
        <w:t xml:space="preserve"> PARTAGE DES AVANTAGES</w:t>
      </w:r>
    </w:p>
    <w:bookmarkEnd w:id="1"/>
    <w:p w:rsidR="00C9161D" w:rsidRPr="00BA7CC8" w:rsidRDefault="00D66C51" w:rsidP="00186A2C">
      <w:pPr>
        <w:pStyle w:val="recommendationheader"/>
        <w:suppressLineNumbers/>
        <w:tabs>
          <w:tab w:val="clear" w:pos="720"/>
        </w:tabs>
        <w:suppressAutoHyphens/>
        <w:rPr>
          <w:b w:val="0"/>
          <w:caps/>
          <w:kern w:val="22"/>
          <w:lang w:val="fr-CA"/>
        </w:rPr>
      </w:pPr>
      <w:sdt>
        <w:sdtPr>
          <w:rPr>
            <w:rStyle w:val="Titre2Car"/>
            <w:b/>
            <w:kern w:val="22"/>
            <w:lang w:val="fr-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Titre2Car"/>
          </w:rPr>
        </w:sdtEndPr>
        <w:sdtContent>
          <w:r w:rsidR="00A650CD" w:rsidRPr="00BA7CC8">
            <w:rPr>
              <w:rStyle w:val="Titre2Car"/>
              <w:b/>
              <w:kern w:val="22"/>
              <w:lang w:val="fr-CA"/>
            </w:rPr>
            <w:t>3/8.</w:t>
          </w:r>
          <w:r w:rsidR="00C55204" w:rsidRPr="00BA7CC8">
            <w:rPr>
              <w:rStyle w:val="Titre2Car"/>
              <w:b/>
              <w:kern w:val="22"/>
              <w:lang w:val="fr-CA"/>
            </w:rPr>
            <w:tab/>
          </w:r>
          <w:r w:rsidR="00BA7CC8" w:rsidRPr="00BA7CC8">
            <w:rPr>
              <w:rStyle w:val="Titre2Car"/>
              <w:b/>
              <w:kern w:val="22"/>
              <w:lang w:val="fr-CA"/>
            </w:rPr>
            <w:t>Mécanisme financier</w:t>
          </w:r>
        </w:sdtContent>
      </w:sdt>
    </w:p>
    <w:p w:rsidR="00BA7CC8" w:rsidRPr="00BA7CC8" w:rsidRDefault="00BA7CC8" w:rsidP="00BA7CC8">
      <w:pPr>
        <w:suppressLineNumbers/>
        <w:shd w:val="clear" w:color="auto" w:fill="FFFFFF" w:themeFill="background1"/>
        <w:suppressAutoHyphens/>
        <w:kinsoku w:val="0"/>
        <w:overflowPunct w:val="0"/>
        <w:autoSpaceDE w:val="0"/>
        <w:autoSpaceDN w:val="0"/>
        <w:snapToGrid w:val="0"/>
        <w:spacing w:before="120" w:after="120"/>
        <w:ind w:firstLine="720"/>
        <w:rPr>
          <w:i/>
          <w:kern w:val="22"/>
          <w:szCs w:val="22"/>
          <w:lang w:val="fr-CA"/>
        </w:rPr>
      </w:pPr>
      <w:r w:rsidRPr="00775C8A">
        <w:rPr>
          <w:i/>
          <w:kern w:val="22"/>
          <w:szCs w:val="22"/>
          <w:lang w:val="fr-FR" w:bidi="fr-FR"/>
        </w:rPr>
        <w:t xml:space="preserve">La Conférence des Parties siégeant en tant que </w:t>
      </w:r>
      <w:r>
        <w:rPr>
          <w:i/>
          <w:kern w:val="22"/>
          <w:szCs w:val="22"/>
          <w:lang w:val="fr-FR" w:bidi="fr-FR"/>
        </w:rPr>
        <w:t>R</w:t>
      </w:r>
      <w:r w:rsidRPr="00775C8A">
        <w:rPr>
          <w:i/>
          <w:kern w:val="22"/>
          <w:szCs w:val="22"/>
          <w:lang w:val="fr-FR" w:bidi="fr-FR"/>
        </w:rPr>
        <w:t>éunion des Parties au Protocole de Nagoya</w:t>
      </w:r>
      <w:r w:rsidR="004E195C">
        <w:rPr>
          <w:i/>
          <w:kern w:val="22"/>
          <w:szCs w:val="22"/>
          <w:lang w:val="fr-FR" w:bidi="fr-FR"/>
        </w:rPr>
        <w:t xml:space="preserve"> sur l’accès et le partage des avantages</w:t>
      </w:r>
    </w:p>
    <w:p w:rsidR="00BA7CC8" w:rsidRPr="00BA7CC8" w:rsidRDefault="00BA7CC8" w:rsidP="00BA7CC8">
      <w:pPr>
        <w:numPr>
          <w:ilvl w:val="0"/>
          <w:numId w:val="19"/>
        </w:numPr>
        <w:shd w:val="clear" w:color="auto" w:fill="FFFFFF" w:themeFill="background1"/>
        <w:tabs>
          <w:tab w:val="clear" w:pos="900"/>
        </w:tabs>
        <w:spacing w:before="120" w:after="120" w:line="259" w:lineRule="auto"/>
        <w:ind w:left="0" w:firstLine="720"/>
        <w:rPr>
          <w:kern w:val="22"/>
          <w:szCs w:val="22"/>
          <w:lang w:val="fr-CA" w:eastAsia="x-none"/>
        </w:rPr>
      </w:pPr>
      <w:r w:rsidRPr="00775C8A">
        <w:rPr>
          <w:i/>
          <w:kern w:val="22"/>
          <w:szCs w:val="22"/>
          <w:lang w:val="fr-FR" w:bidi="fr-FR"/>
        </w:rPr>
        <w:t>Se félicite</w:t>
      </w:r>
      <w:r w:rsidRPr="00775C8A">
        <w:rPr>
          <w:kern w:val="22"/>
          <w:szCs w:val="22"/>
          <w:lang w:val="fr-FR" w:bidi="fr-FR"/>
        </w:rPr>
        <w:t xml:space="preserve"> de la septième reconstitution des ressources du Fonds d'affectation spéciale du Fonds pour l’environnement mondial et </w:t>
      </w:r>
      <w:r w:rsidRPr="00775C8A">
        <w:rPr>
          <w:i/>
          <w:kern w:val="22"/>
          <w:szCs w:val="22"/>
          <w:lang w:val="fr-FR" w:bidi="fr-FR"/>
        </w:rPr>
        <w:t>exprime sa gratitude</w:t>
      </w:r>
      <w:r w:rsidRPr="00775C8A">
        <w:rPr>
          <w:kern w:val="22"/>
          <w:szCs w:val="22"/>
          <w:lang w:val="fr-FR" w:bidi="fr-FR"/>
        </w:rPr>
        <w:t xml:space="preserve"> aux pays qui y ont contribué</w:t>
      </w:r>
      <w:r>
        <w:rPr>
          <w:rStyle w:val="Appelnotedebasdep"/>
          <w:kern w:val="22"/>
          <w:szCs w:val="22"/>
          <w:lang w:eastAsia="x-none"/>
        </w:rPr>
        <w:footnoteReference w:id="1"/>
      </w:r>
      <w:r w:rsidRPr="00775C8A">
        <w:rPr>
          <w:kern w:val="22"/>
          <w:szCs w:val="22"/>
          <w:lang w:val="fr-FR" w:bidi="fr-FR"/>
        </w:rPr>
        <w:t>;</w:t>
      </w:r>
    </w:p>
    <w:p w:rsidR="00BA7CC8" w:rsidRPr="00BA7CC8" w:rsidRDefault="00BA7CC8" w:rsidP="00BA7CC8">
      <w:pPr>
        <w:numPr>
          <w:ilvl w:val="0"/>
          <w:numId w:val="19"/>
        </w:numPr>
        <w:shd w:val="clear" w:color="auto" w:fill="FFFFFF" w:themeFill="background1"/>
        <w:tabs>
          <w:tab w:val="clear" w:pos="900"/>
        </w:tabs>
        <w:spacing w:before="120" w:after="120" w:line="259" w:lineRule="auto"/>
        <w:ind w:left="0" w:firstLine="720"/>
        <w:rPr>
          <w:kern w:val="22"/>
          <w:szCs w:val="22"/>
          <w:lang w:val="fr-CA" w:eastAsia="x-none"/>
        </w:rPr>
      </w:pPr>
      <w:r w:rsidRPr="00775C8A">
        <w:rPr>
          <w:i/>
          <w:kern w:val="22"/>
          <w:szCs w:val="22"/>
          <w:lang w:val="fr-FR" w:bidi="fr-FR"/>
        </w:rPr>
        <w:t>Accueille également</w:t>
      </w:r>
      <w:r w:rsidRPr="00775C8A">
        <w:rPr>
          <w:kern w:val="22"/>
          <w:szCs w:val="22"/>
          <w:lang w:val="fr-FR" w:bidi="fr-FR"/>
        </w:rPr>
        <w:t xml:space="preserve"> la stratégie pour le domaine d'intervention </w:t>
      </w:r>
      <w:r>
        <w:rPr>
          <w:kern w:val="22"/>
          <w:szCs w:val="22"/>
          <w:lang w:val="fr-FR" w:bidi="fr-FR"/>
        </w:rPr>
        <w:t xml:space="preserve">de la </w:t>
      </w:r>
      <w:r w:rsidRPr="00775C8A">
        <w:rPr>
          <w:kern w:val="22"/>
          <w:szCs w:val="22"/>
          <w:lang w:val="fr-FR" w:bidi="fr-FR"/>
        </w:rPr>
        <w:t>diversité biologique, qui comprend</w:t>
      </w:r>
      <w:r w:rsidR="004E195C">
        <w:rPr>
          <w:kern w:val="22"/>
          <w:szCs w:val="22"/>
          <w:lang w:val="fr-FR" w:bidi="fr-FR"/>
        </w:rPr>
        <w:t xml:space="preserve"> un programme d’application du P</w:t>
      </w:r>
      <w:r w:rsidRPr="00775C8A">
        <w:rPr>
          <w:kern w:val="22"/>
          <w:szCs w:val="22"/>
          <w:lang w:val="fr-FR" w:bidi="fr-FR"/>
        </w:rPr>
        <w:t xml:space="preserve">rotocole de Nagoya, et </w:t>
      </w:r>
      <w:r w:rsidRPr="00775C8A">
        <w:rPr>
          <w:i/>
          <w:kern w:val="22"/>
          <w:szCs w:val="22"/>
          <w:lang w:val="fr-FR" w:bidi="fr-FR"/>
        </w:rPr>
        <w:t>prend note</w:t>
      </w:r>
      <w:r w:rsidRPr="00775C8A">
        <w:rPr>
          <w:kern w:val="22"/>
          <w:szCs w:val="22"/>
          <w:lang w:val="fr-FR" w:bidi="fr-FR"/>
        </w:rPr>
        <w:t xml:space="preserve"> des cibles fictives de programmation relatives aux divers objectifs et programmes pour le domaine d'intervention </w:t>
      </w:r>
      <w:r>
        <w:rPr>
          <w:kern w:val="22"/>
          <w:szCs w:val="22"/>
          <w:lang w:val="fr-FR" w:bidi="fr-FR"/>
        </w:rPr>
        <w:t xml:space="preserve">de la </w:t>
      </w:r>
      <w:r w:rsidRPr="00775C8A">
        <w:rPr>
          <w:kern w:val="22"/>
          <w:szCs w:val="22"/>
          <w:lang w:val="fr-FR" w:bidi="fr-FR"/>
        </w:rPr>
        <w:t>diversité biologique figurant dans le rapport sur la septième reconstitution</w:t>
      </w:r>
      <w:r w:rsidRPr="00775C8A">
        <w:rPr>
          <w:kern w:val="22"/>
          <w:szCs w:val="22"/>
          <w:vertAlign w:val="superscript"/>
          <w:lang w:val="fr-FR" w:bidi="fr-FR"/>
        </w:rPr>
        <w:footnoteReference w:id="2"/>
      </w:r>
      <w:r w:rsidRPr="00775C8A">
        <w:rPr>
          <w:kern w:val="22"/>
          <w:szCs w:val="22"/>
          <w:lang w:val="fr-FR" w:bidi="fr-FR"/>
        </w:rPr>
        <w:t>;</w:t>
      </w:r>
    </w:p>
    <w:p w:rsidR="00BA7CC8" w:rsidRPr="00BA7CC8" w:rsidRDefault="00BA7CC8" w:rsidP="00BA7CC8">
      <w:pPr>
        <w:numPr>
          <w:ilvl w:val="0"/>
          <w:numId w:val="19"/>
        </w:numPr>
        <w:shd w:val="clear" w:color="auto" w:fill="FFFFFF" w:themeFill="background1"/>
        <w:tabs>
          <w:tab w:val="clear" w:pos="900"/>
        </w:tabs>
        <w:spacing w:before="120" w:after="120" w:line="259" w:lineRule="auto"/>
        <w:ind w:left="0" w:firstLine="720"/>
        <w:rPr>
          <w:kern w:val="22"/>
          <w:szCs w:val="22"/>
          <w:lang w:val="fr-CA" w:eastAsia="x-none"/>
        </w:rPr>
      </w:pPr>
      <w:r w:rsidRPr="00775C8A">
        <w:rPr>
          <w:i/>
          <w:kern w:val="22"/>
          <w:szCs w:val="22"/>
          <w:lang w:val="fr-FR" w:bidi="fr-FR"/>
        </w:rPr>
        <w:t>Prie instamment</w:t>
      </w:r>
      <w:r w:rsidRPr="00775C8A">
        <w:rPr>
          <w:kern w:val="22"/>
          <w:szCs w:val="22"/>
          <w:lang w:val="fr-FR" w:bidi="fr-FR"/>
        </w:rPr>
        <w:t xml:space="preserve"> les Parties admissibles à un financement d’accorder une priorité aux projets liés à l’accès aux ressources génétiques et au partage des avantages lors de la programmation de leurs allocations nationales pour la septième reconstitution dans le cadre du Système transparent d’allocation des ressources (STAR) ;</w:t>
      </w:r>
      <w:r>
        <w:rPr>
          <w:kern w:val="22"/>
          <w:szCs w:val="22"/>
          <w:lang w:val="fr-FR" w:bidi="fr-FR"/>
        </w:rPr>
        <w:t xml:space="preserve"> </w:t>
      </w:r>
    </w:p>
    <w:p w:rsidR="00BA7CC8" w:rsidRPr="00BA7CC8" w:rsidRDefault="00BA7CC8" w:rsidP="00BA7CC8">
      <w:pPr>
        <w:numPr>
          <w:ilvl w:val="0"/>
          <w:numId w:val="19"/>
        </w:numPr>
        <w:shd w:val="clear" w:color="auto" w:fill="FFFFFF" w:themeFill="background1"/>
        <w:tabs>
          <w:tab w:val="clear" w:pos="900"/>
        </w:tabs>
        <w:spacing w:before="120" w:after="120" w:line="259" w:lineRule="auto"/>
        <w:ind w:left="0" w:firstLine="720"/>
        <w:rPr>
          <w:kern w:val="22"/>
          <w:szCs w:val="22"/>
          <w:lang w:val="fr-CA" w:eastAsia="x-none"/>
        </w:rPr>
      </w:pPr>
      <w:r w:rsidRPr="00775C8A">
        <w:rPr>
          <w:i/>
          <w:kern w:val="22"/>
          <w:szCs w:val="22"/>
          <w:lang w:val="fr-FR" w:bidi="fr-FR"/>
        </w:rPr>
        <w:t>Encourage</w:t>
      </w:r>
      <w:r w:rsidRPr="00775C8A">
        <w:rPr>
          <w:kern w:val="22"/>
          <w:szCs w:val="22"/>
          <w:lang w:val="fr-FR" w:bidi="fr-FR"/>
        </w:rPr>
        <w:t xml:space="preserve"> les Parties à incorporer des activités d’accès et partage des avantages dans les projets </w:t>
      </w:r>
      <w:r w:rsidRPr="002D04ED">
        <w:rPr>
          <w:kern w:val="22"/>
          <w:szCs w:val="22"/>
          <w:lang w:val="fr-FR" w:bidi="fr-FR"/>
        </w:rPr>
        <w:t>élaborés dans le cadre d'autres programmes du Fonds pour l'environnement mondial, selon qu'il convient</w:t>
      </w:r>
      <w:r>
        <w:rPr>
          <w:kern w:val="22"/>
          <w:szCs w:val="22"/>
          <w:lang w:val="fr-FR" w:bidi="fr-FR"/>
        </w:rPr>
        <w:t xml:space="preserve"> </w:t>
      </w:r>
      <w:r w:rsidRPr="00775C8A">
        <w:rPr>
          <w:kern w:val="22"/>
          <w:szCs w:val="22"/>
          <w:lang w:val="fr-FR" w:bidi="fr-FR"/>
        </w:rPr>
        <w:t>;</w:t>
      </w:r>
      <w:r>
        <w:rPr>
          <w:kern w:val="22"/>
          <w:szCs w:val="22"/>
          <w:lang w:val="fr-FR" w:bidi="fr-FR"/>
        </w:rPr>
        <w:t xml:space="preserve"> </w:t>
      </w:r>
    </w:p>
    <w:p w:rsidR="0065771D" w:rsidRPr="00BA7CC8" w:rsidRDefault="00BA7CC8" w:rsidP="00BA7CC8">
      <w:pPr>
        <w:numPr>
          <w:ilvl w:val="0"/>
          <w:numId w:val="19"/>
        </w:numPr>
        <w:suppressLineNumbers/>
        <w:shd w:val="clear" w:color="auto" w:fill="FFFFFF" w:themeFill="background1"/>
        <w:tabs>
          <w:tab w:val="clear" w:pos="900"/>
        </w:tabs>
        <w:suppressAutoHyphens/>
        <w:spacing w:before="120" w:after="120"/>
        <w:ind w:left="0" w:firstLine="720"/>
        <w:rPr>
          <w:kern w:val="22"/>
          <w:szCs w:val="22"/>
          <w:lang w:val="fr-CA" w:eastAsia="x-none"/>
        </w:rPr>
      </w:pPr>
      <w:r w:rsidRPr="00775C8A">
        <w:rPr>
          <w:i/>
          <w:kern w:val="22"/>
          <w:szCs w:val="22"/>
          <w:lang w:val="fr-FR" w:bidi="fr-FR"/>
        </w:rPr>
        <w:t>Encourage également les</w:t>
      </w:r>
      <w:r w:rsidRPr="00775C8A">
        <w:rPr>
          <w:kern w:val="22"/>
          <w:szCs w:val="22"/>
          <w:lang w:val="fr-FR" w:bidi="fr-FR"/>
        </w:rPr>
        <w:t xml:space="preserve"> Parties à co</w:t>
      </w:r>
      <w:r w:rsidR="004E195C">
        <w:rPr>
          <w:kern w:val="22"/>
          <w:szCs w:val="22"/>
          <w:lang w:val="fr-FR" w:bidi="fr-FR"/>
        </w:rPr>
        <w:t>opérer aux niveaux régional et infrar</w:t>
      </w:r>
      <w:r w:rsidRPr="00775C8A">
        <w:rPr>
          <w:kern w:val="22"/>
          <w:szCs w:val="22"/>
          <w:lang w:val="fr-FR" w:bidi="fr-FR"/>
        </w:rPr>
        <w:t xml:space="preserve">égional et à demander l’appui du Fonds pour l’environnement mondial pour des projets conjoints afin de maximiser les synergies et </w:t>
      </w:r>
      <w:r>
        <w:rPr>
          <w:kern w:val="22"/>
          <w:szCs w:val="22"/>
          <w:lang w:val="fr-FR" w:bidi="fr-FR"/>
        </w:rPr>
        <w:t>l</w:t>
      </w:r>
      <w:r w:rsidRPr="00775C8A">
        <w:rPr>
          <w:kern w:val="22"/>
          <w:szCs w:val="22"/>
          <w:lang w:val="fr-FR" w:bidi="fr-FR"/>
        </w:rPr>
        <w:t>es opportunités pour le partage efficace des ressources, informations, expériences et savoir-faire</w:t>
      </w:r>
      <w:r w:rsidR="0065771D" w:rsidRPr="00BA7CC8">
        <w:rPr>
          <w:kern w:val="22"/>
          <w:szCs w:val="22"/>
          <w:lang w:val="fr-CA" w:eastAsia="x-none"/>
        </w:rPr>
        <w:t>.</w:t>
      </w:r>
    </w:p>
    <w:p w:rsidR="00C9161D" w:rsidRPr="00BA7CC8" w:rsidRDefault="00C9161D" w:rsidP="00186A2C">
      <w:pPr>
        <w:suppressLineNumbers/>
        <w:suppressAutoHyphens/>
        <w:jc w:val="center"/>
        <w:rPr>
          <w:kern w:val="22"/>
          <w:lang w:val="fr-CA"/>
        </w:rPr>
      </w:pPr>
      <w:r w:rsidRPr="00BA7CC8">
        <w:rPr>
          <w:kern w:val="22"/>
          <w:lang w:val="fr-CA"/>
        </w:rPr>
        <w:t>______</w:t>
      </w:r>
      <w:r w:rsidR="005671E5" w:rsidRPr="00BA7CC8">
        <w:rPr>
          <w:kern w:val="22"/>
          <w:lang w:val="fr-CA"/>
        </w:rPr>
        <w:t>____</w:t>
      </w:r>
    </w:p>
    <w:p w:rsidR="00B3369F" w:rsidRPr="00BA7CC8" w:rsidRDefault="00B3369F" w:rsidP="00186A2C">
      <w:pPr>
        <w:suppressLineNumbers/>
        <w:suppressAutoHyphens/>
        <w:rPr>
          <w:kern w:val="22"/>
          <w:lang w:val="fr-CA"/>
        </w:rPr>
      </w:pPr>
    </w:p>
    <w:sectPr w:rsidR="00B3369F" w:rsidRPr="00BA7CC8"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C51" w:rsidRDefault="00D66C51" w:rsidP="00CF1848">
      <w:r>
        <w:separator/>
      </w:r>
    </w:p>
  </w:endnote>
  <w:endnote w:type="continuationSeparator" w:id="0">
    <w:p w:rsidR="00D66C51" w:rsidRDefault="00D66C5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C51" w:rsidRDefault="00D66C51" w:rsidP="00CF1848">
      <w:r>
        <w:separator/>
      </w:r>
    </w:p>
  </w:footnote>
  <w:footnote w:type="continuationSeparator" w:id="0">
    <w:p w:rsidR="00D66C51" w:rsidRDefault="00D66C51" w:rsidP="00CF1848">
      <w:r>
        <w:continuationSeparator/>
      </w:r>
    </w:p>
  </w:footnote>
  <w:footnote w:id="1">
    <w:p w:rsidR="00BA7CC8" w:rsidRPr="00952D82" w:rsidRDefault="00BA7CC8" w:rsidP="00BA7CC8">
      <w:pPr>
        <w:pStyle w:val="Notedebasdepage"/>
        <w:ind w:firstLine="0"/>
        <w:jc w:val="left"/>
        <w:rPr>
          <w:kern w:val="18"/>
          <w:szCs w:val="18"/>
          <w:lang w:val="en-US"/>
        </w:rPr>
      </w:pPr>
      <w:r w:rsidRPr="00952D82">
        <w:rPr>
          <w:rStyle w:val="Appelnotedebasdep"/>
          <w:kern w:val="18"/>
          <w:sz w:val="18"/>
          <w:szCs w:val="18"/>
        </w:rPr>
        <w:footnoteRef/>
      </w:r>
      <w:r w:rsidRPr="00952D82">
        <w:rPr>
          <w:kern w:val="18"/>
          <w:szCs w:val="18"/>
        </w:rPr>
        <w:t xml:space="preserve"> </w:t>
      </w:r>
      <w:hyperlink r:id="rId1" w:history="1">
        <w:r w:rsidRPr="00967F89">
          <w:rPr>
            <w:rStyle w:val="Lienhypertexte"/>
            <w:kern w:val="18"/>
            <w:szCs w:val="18"/>
          </w:rPr>
          <w:t>CBD/NP/MOP/3/5</w:t>
        </w:r>
      </w:hyperlink>
      <w:r w:rsidRPr="00952D82">
        <w:rPr>
          <w:kern w:val="18"/>
          <w:szCs w:val="18"/>
        </w:rPr>
        <w:t>.</w:t>
      </w:r>
    </w:p>
  </w:footnote>
  <w:footnote w:id="2">
    <w:p w:rsidR="00BA7CC8" w:rsidRPr="0051376E" w:rsidRDefault="00BA7CC8" w:rsidP="00BA7CC8">
      <w:pPr>
        <w:pStyle w:val="Notedebasdepage"/>
        <w:ind w:firstLine="0"/>
        <w:jc w:val="left"/>
        <w:rPr>
          <w:kern w:val="18"/>
          <w:szCs w:val="18"/>
        </w:rPr>
      </w:pPr>
      <w:r w:rsidRPr="0051376E">
        <w:rPr>
          <w:rStyle w:val="Appelnotedebasdep"/>
          <w:rFonts w:eastAsiaTheme="majorEastAsia"/>
          <w:kern w:val="18"/>
          <w:lang w:val="fr-FR" w:bidi="fr-FR"/>
        </w:rPr>
        <w:footnoteRef/>
      </w:r>
      <w:r w:rsidR="00A0250D">
        <w:rPr>
          <w:kern w:val="18"/>
          <w:szCs w:val="18"/>
          <w:lang w:val="en-US" w:bidi="fr-FR"/>
        </w:rPr>
        <w:t xml:space="preserve"> </w:t>
      </w:r>
      <w:proofErr w:type="spellStart"/>
      <w:r w:rsidR="00A0250D">
        <w:rPr>
          <w:kern w:val="18"/>
          <w:szCs w:val="18"/>
          <w:lang w:val="en-US" w:bidi="fr-FR"/>
        </w:rPr>
        <w:t>GEF</w:t>
      </w:r>
      <w:proofErr w:type="spellEnd"/>
      <w:r w:rsidR="00A0250D">
        <w:rPr>
          <w:kern w:val="18"/>
          <w:szCs w:val="18"/>
          <w:lang w:val="en-US" w:bidi="fr-FR"/>
        </w:rPr>
        <w:t>/A.6</w:t>
      </w:r>
      <w:bookmarkStart w:id="2" w:name="_GoBack"/>
      <w:bookmarkEnd w:id="2"/>
      <w:r w:rsidR="00A0250D">
        <w:rPr>
          <w:kern w:val="18"/>
          <w:szCs w:val="18"/>
          <w:lang w:val="en-US" w:bidi="fr-FR"/>
        </w:rPr>
        <w:t>/05/Rev.01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A92DF1" w:rsidRPr="00186A2C" w:rsidRDefault="009500D0" w:rsidP="00534681">
        <w:pPr>
          <w:pStyle w:val="En-tte"/>
          <w:rPr>
            <w:lang w:val="fr-FR"/>
          </w:rPr>
        </w:pPr>
        <w:r w:rsidRPr="00186A2C">
          <w:rPr>
            <w:lang w:val="fr-FR"/>
          </w:rPr>
          <w:t>CBD/NP/MOP/DEC/3/8</w:t>
        </w:r>
      </w:p>
    </w:sdtContent>
  </w:sdt>
  <w:p w:rsidR="00A92DF1" w:rsidRPr="00000614" w:rsidRDefault="00A92DF1" w:rsidP="00534681">
    <w:pPr>
      <w:pStyle w:val="En-tte"/>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2</w:t>
    </w:r>
    <w:r>
      <w:rPr>
        <w:noProof/>
      </w:rPr>
      <w:fldChar w:fldCharType="end"/>
    </w:r>
  </w:p>
  <w:p w:rsidR="00A92DF1" w:rsidRPr="00000614" w:rsidRDefault="00A92DF1">
    <w:pPr>
      <w:pStyle w:val="En-tte"/>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A92DF1" w:rsidRPr="00186A2C" w:rsidRDefault="009500D0" w:rsidP="009505C9">
        <w:pPr>
          <w:pStyle w:val="En-tte"/>
          <w:jc w:val="right"/>
          <w:rPr>
            <w:lang w:val="fr-FR"/>
          </w:rPr>
        </w:pPr>
        <w:r w:rsidRPr="00186A2C">
          <w:rPr>
            <w:lang w:val="fr-FR"/>
          </w:rPr>
          <w:t>CBD/NP/MOP/DEC/3/8</w:t>
        </w:r>
      </w:p>
    </w:sdtContent>
  </w:sdt>
  <w:p w:rsidR="00A92DF1" w:rsidRPr="00000614" w:rsidRDefault="00A92DF1" w:rsidP="009505C9">
    <w:pPr>
      <w:pStyle w:val="En-tte"/>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1</w:t>
    </w:r>
    <w:r>
      <w:rPr>
        <w:noProof/>
      </w:rPr>
      <w:fldChar w:fldCharType="end"/>
    </w:r>
  </w:p>
  <w:p w:rsidR="00A92DF1" w:rsidRPr="00000614" w:rsidRDefault="00A92DF1">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7FE0"/>
    <w:multiLevelType w:val="multilevel"/>
    <w:tmpl w:val="5E64AFF8"/>
    <w:lvl w:ilvl="0">
      <w:start w:val="1"/>
      <w:numFmt w:val="decimal"/>
      <w:lvlText w:val="%1."/>
      <w:lvlJc w:val="left"/>
      <w:pPr>
        <w:tabs>
          <w:tab w:val="num" w:pos="900"/>
        </w:tabs>
        <w:ind w:left="540" w:firstLine="0"/>
      </w:pPr>
      <w:rPr>
        <w:i w:val="0"/>
      </w:r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1"/>
  </w:num>
  <w:num w:numId="7">
    <w:abstractNumId w:val="3"/>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2"/>
  </w:num>
  <w:num w:numId="17">
    <w:abstractNumId w:val="11"/>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02B30"/>
    <w:rsid w:val="00034105"/>
    <w:rsid w:val="000E673A"/>
    <w:rsid w:val="000F74F5"/>
    <w:rsid w:val="00105372"/>
    <w:rsid w:val="00116E7A"/>
    <w:rsid w:val="00131E7A"/>
    <w:rsid w:val="00172AF6"/>
    <w:rsid w:val="00176CEE"/>
    <w:rsid w:val="00186A2C"/>
    <w:rsid w:val="001B3FEF"/>
    <w:rsid w:val="001F0A1D"/>
    <w:rsid w:val="0028118A"/>
    <w:rsid w:val="00281512"/>
    <w:rsid w:val="002922A9"/>
    <w:rsid w:val="002F5BF6"/>
    <w:rsid w:val="0030743C"/>
    <w:rsid w:val="00372F74"/>
    <w:rsid w:val="003866AB"/>
    <w:rsid w:val="003F7224"/>
    <w:rsid w:val="00405146"/>
    <w:rsid w:val="0042412C"/>
    <w:rsid w:val="00427D21"/>
    <w:rsid w:val="004644C2"/>
    <w:rsid w:val="00467BD9"/>
    <w:rsid w:val="00467F9C"/>
    <w:rsid w:val="004A100E"/>
    <w:rsid w:val="004E195C"/>
    <w:rsid w:val="004F5EAF"/>
    <w:rsid w:val="005345E1"/>
    <w:rsid w:val="00534681"/>
    <w:rsid w:val="005644D6"/>
    <w:rsid w:val="005671E5"/>
    <w:rsid w:val="005A6D58"/>
    <w:rsid w:val="005B1778"/>
    <w:rsid w:val="006122BA"/>
    <w:rsid w:val="0061445E"/>
    <w:rsid w:val="006465E0"/>
    <w:rsid w:val="0065771D"/>
    <w:rsid w:val="006B2290"/>
    <w:rsid w:val="006F1189"/>
    <w:rsid w:val="00717D88"/>
    <w:rsid w:val="007573C7"/>
    <w:rsid w:val="007942D3"/>
    <w:rsid w:val="007B6C09"/>
    <w:rsid w:val="007D3475"/>
    <w:rsid w:val="007E09DA"/>
    <w:rsid w:val="007F5E81"/>
    <w:rsid w:val="008103A0"/>
    <w:rsid w:val="008178B6"/>
    <w:rsid w:val="008319E8"/>
    <w:rsid w:val="00846DD5"/>
    <w:rsid w:val="00853E94"/>
    <w:rsid w:val="00865B74"/>
    <w:rsid w:val="00877BE9"/>
    <w:rsid w:val="00930BA1"/>
    <w:rsid w:val="0093169E"/>
    <w:rsid w:val="00934EDE"/>
    <w:rsid w:val="009500D0"/>
    <w:rsid w:val="009505C9"/>
    <w:rsid w:val="00967F89"/>
    <w:rsid w:val="00997689"/>
    <w:rsid w:val="009C200D"/>
    <w:rsid w:val="00A0250D"/>
    <w:rsid w:val="00A02911"/>
    <w:rsid w:val="00A650CD"/>
    <w:rsid w:val="00A810E1"/>
    <w:rsid w:val="00A92DF1"/>
    <w:rsid w:val="00B3369F"/>
    <w:rsid w:val="00B51324"/>
    <w:rsid w:val="00B84B3E"/>
    <w:rsid w:val="00BA7CC8"/>
    <w:rsid w:val="00BD72F9"/>
    <w:rsid w:val="00C1480D"/>
    <w:rsid w:val="00C35537"/>
    <w:rsid w:val="00C55204"/>
    <w:rsid w:val="00C8293C"/>
    <w:rsid w:val="00C9161D"/>
    <w:rsid w:val="00CF1848"/>
    <w:rsid w:val="00D12044"/>
    <w:rsid w:val="00D66C51"/>
    <w:rsid w:val="00D76A18"/>
    <w:rsid w:val="00DD118C"/>
    <w:rsid w:val="00DD6BDB"/>
    <w:rsid w:val="00E66235"/>
    <w:rsid w:val="00E83C24"/>
    <w:rsid w:val="00E9318D"/>
    <w:rsid w:val="00EA360F"/>
    <w:rsid w:val="00EE5A41"/>
    <w:rsid w:val="00EE7345"/>
    <w:rsid w:val="00F03BE3"/>
    <w:rsid w:val="00F06172"/>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character" w:styleId="Accentuation">
    <w:name w:val="Emphasis"/>
    <w:basedOn w:val="Policepardfaut"/>
    <w:uiPriority w:val="20"/>
    <w:qFormat/>
    <w:rsid w:val="00934EDE"/>
    <w:rPr>
      <w:i/>
      <w:iC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65771D"/>
    <w:pPr>
      <w:spacing w:after="160" w:line="240" w:lineRule="exact"/>
      <w:jc w:val="left"/>
    </w:pPr>
    <w:rPr>
      <w:rFonts w:asciiTheme="minorHAnsi" w:eastAsiaTheme="minorEastAsia" w:hAnsiTheme="minorHAnsi" w:cstheme="minorBidi"/>
      <w:vertAlign w:val="superscript"/>
      <w:lang w:val="fr-CA"/>
    </w:rPr>
  </w:style>
  <w:style w:type="table" w:customStyle="1" w:styleId="TableGrid1">
    <w:name w:val="Table Grid1"/>
    <w:basedOn w:val="TableauNormal"/>
    <w:next w:val="Grilledutableau"/>
    <w:uiPriority w:val="59"/>
    <w:rsid w:val="00EA3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semiHidden/>
    <w:unhideWhenUsed/>
    <w:rsid w:val="002F5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05f0/079c/26c076ae93d93fa4d9741346/np-mop-03-05-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B6B468AFDC17A04D9A5CB394A882901A"/>
        <w:category>
          <w:name w:val="General"/>
          <w:gallery w:val="placeholder"/>
        </w:category>
        <w:types>
          <w:type w:val="bbPlcHdr"/>
        </w:types>
        <w:behaviors>
          <w:behavior w:val="content"/>
        </w:behaviors>
        <w:guid w:val="{0ECB159D-4479-7840-9E7A-A505C4FAF716}"/>
      </w:docPartPr>
      <w:docPartBody>
        <w:p w:rsidR="00507F23" w:rsidRDefault="00D622A1" w:rsidP="00D622A1">
          <w:pPr>
            <w:pStyle w:val="B6B468AFDC17A04D9A5CB394A882901A"/>
          </w:pPr>
          <w:r w:rsidRPr="007E02EB">
            <w:rPr>
              <w:rStyle w:val="Textedelespacerserv"/>
            </w:rPr>
            <w:t>[Status]</w:t>
          </w:r>
        </w:p>
      </w:docPartBody>
    </w:docPart>
    <w:docPart>
      <w:docPartPr>
        <w:name w:val="78B83D5FCB7DFD4F93A676F9C9974851"/>
        <w:category>
          <w:name w:val="General"/>
          <w:gallery w:val="placeholder"/>
        </w:category>
        <w:types>
          <w:type w:val="bbPlcHdr"/>
        </w:types>
        <w:behaviors>
          <w:behavior w:val="content"/>
        </w:behaviors>
        <w:guid w:val="{5146FADD-E517-5942-93D3-B9461290C17D}"/>
      </w:docPartPr>
      <w:docPartBody>
        <w:p w:rsidR="00507F23" w:rsidRDefault="00D622A1" w:rsidP="00D622A1">
          <w:pPr>
            <w:pStyle w:val="78B83D5FCB7DFD4F93A676F9C9974851"/>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C62E1"/>
    <w:rsid w:val="00261E9A"/>
    <w:rsid w:val="002E36E4"/>
    <w:rsid w:val="003E5610"/>
    <w:rsid w:val="00500A2B"/>
    <w:rsid w:val="00507F23"/>
    <w:rsid w:val="0058288D"/>
    <w:rsid w:val="005C4B6E"/>
    <w:rsid w:val="005D1A62"/>
    <w:rsid w:val="006801B3"/>
    <w:rsid w:val="006C693B"/>
    <w:rsid w:val="00720F63"/>
    <w:rsid w:val="007B689D"/>
    <w:rsid w:val="007F1B76"/>
    <w:rsid w:val="00810A55"/>
    <w:rsid w:val="008C6619"/>
    <w:rsid w:val="008D420E"/>
    <w:rsid w:val="0098642F"/>
    <w:rsid w:val="00A0421B"/>
    <w:rsid w:val="00BA62F9"/>
    <w:rsid w:val="00CE6602"/>
    <w:rsid w:val="00D6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4B6E"/>
    <w:rPr>
      <w:color w:val="808080"/>
    </w:rPr>
  </w:style>
  <w:style w:type="paragraph" w:customStyle="1" w:styleId="C444DEE40D7C456B82AF1A09CD132ABF">
    <w:name w:val="C444DEE40D7C456B82AF1A09CD132ABF"/>
    <w:rsid w:val="00CE6602"/>
    <w:pPr>
      <w:spacing w:after="160" w:line="259" w:lineRule="auto"/>
    </w:pPr>
  </w:style>
  <w:style w:type="paragraph" w:customStyle="1" w:styleId="25A6350F47152F4DBA1916AFB78A882E">
    <w:name w:val="25A6350F47152F4DBA1916AFB78A882E"/>
    <w:rsid w:val="00D622A1"/>
    <w:pPr>
      <w:spacing w:after="0" w:line="240" w:lineRule="auto"/>
    </w:pPr>
    <w:rPr>
      <w:sz w:val="24"/>
      <w:szCs w:val="24"/>
      <w:lang w:val="en-CA"/>
    </w:rPr>
  </w:style>
  <w:style w:type="paragraph" w:customStyle="1" w:styleId="E53E0ECD2875054B80FBBBB42FD868CD">
    <w:name w:val="E53E0ECD2875054B80FBBBB42FD868CD"/>
    <w:rsid w:val="00D622A1"/>
    <w:pPr>
      <w:spacing w:after="0" w:line="240" w:lineRule="auto"/>
    </w:pPr>
    <w:rPr>
      <w:sz w:val="24"/>
      <w:szCs w:val="24"/>
      <w:lang w:val="en-CA"/>
    </w:rPr>
  </w:style>
  <w:style w:type="paragraph" w:customStyle="1" w:styleId="6DBEF15F1AA50846B9C19307555555D2">
    <w:name w:val="6DBEF15F1AA50846B9C19307555555D2"/>
    <w:rsid w:val="00D622A1"/>
    <w:pPr>
      <w:spacing w:after="0" w:line="240" w:lineRule="auto"/>
    </w:pPr>
    <w:rPr>
      <w:sz w:val="24"/>
      <w:szCs w:val="24"/>
      <w:lang w:val="en-CA"/>
    </w:rPr>
  </w:style>
  <w:style w:type="paragraph" w:customStyle="1" w:styleId="F8FACCCBBB9659458135E30764F0C2B3">
    <w:name w:val="F8FACCCBBB9659458135E30764F0C2B3"/>
    <w:rsid w:val="00D622A1"/>
    <w:pPr>
      <w:spacing w:after="0" w:line="240" w:lineRule="auto"/>
    </w:pPr>
    <w:rPr>
      <w:sz w:val="24"/>
      <w:szCs w:val="24"/>
      <w:lang w:val="en-CA"/>
    </w:rPr>
  </w:style>
  <w:style w:type="paragraph" w:customStyle="1" w:styleId="32CC385F6205A64FB992F8BAE8682055">
    <w:name w:val="32CC385F6205A64FB992F8BAE8682055"/>
    <w:rsid w:val="00D622A1"/>
    <w:pPr>
      <w:spacing w:after="0" w:line="240" w:lineRule="auto"/>
    </w:pPr>
    <w:rPr>
      <w:sz w:val="24"/>
      <w:szCs w:val="24"/>
      <w:lang w:val="en-CA"/>
    </w:rPr>
  </w:style>
  <w:style w:type="paragraph" w:customStyle="1" w:styleId="967060E30FA8394F8079F711A7B23225">
    <w:name w:val="967060E30FA8394F8079F711A7B23225"/>
    <w:rsid w:val="00D622A1"/>
    <w:pPr>
      <w:spacing w:after="0" w:line="240" w:lineRule="auto"/>
    </w:pPr>
    <w:rPr>
      <w:sz w:val="24"/>
      <w:szCs w:val="24"/>
      <w:lang w:val="en-CA"/>
    </w:rPr>
  </w:style>
  <w:style w:type="paragraph" w:customStyle="1" w:styleId="B6B468AFDC17A04D9A5CB394A882901A">
    <w:name w:val="B6B468AFDC17A04D9A5CB394A882901A"/>
    <w:rsid w:val="00D622A1"/>
    <w:pPr>
      <w:spacing w:after="0" w:line="240" w:lineRule="auto"/>
    </w:pPr>
    <w:rPr>
      <w:sz w:val="24"/>
      <w:szCs w:val="24"/>
      <w:lang w:val="en-CA"/>
    </w:rPr>
  </w:style>
  <w:style w:type="paragraph" w:customStyle="1" w:styleId="78B83D5FCB7DFD4F93A676F9C9974851">
    <w:name w:val="78B83D5FCB7DFD4F93A676F9C9974851"/>
    <w:rsid w:val="00D622A1"/>
    <w:pPr>
      <w:spacing w:after="0" w:line="240" w:lineRule="auto"/>
    </w:pPr>
    <w:rPr>
      <w:sz w:val="24"/>
      <w:szCs w:val="24"/>
      <w:lang w:val="en-CA"/>
    </w:rPr>
  </w:style>
  <w:style w:type="paragraph" w:customStyle="1" w:styleId="799D8078310945959D98947BF4B11F1F">
    <w:name w:val="799D8078310945959D98947BF4B11F1F"/>
    <w:rsid w:val="005C4B6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D07F88-9D20-4A62-A95C-63B99417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320</Words>
  <Characters>1766</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3/8.	Mécanisme financier</vt:lpstr>
      <vt:lpstr>3/8.	Financial mechanism</vt:lpstr>
    </vt:vector>
  </TitlesOfParts>
  <Company>SCBD</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	Mécanisme financier</dc:title>
  <dc:subject>CBD/NP/MOP/DEC/3/8</dc:subject>
  <dc:creator>NP MOP 3</dc:creator>
  <cp:keywords>Financial mechanism and resources (Article 25), Nagoya Protocol on Access to Genetic Resources and the Fair and Equitable Sharing of Benefits Arising from Their Utilization, Convention on Biological Diversity</cp:keywords>
  <cp:lastModifiedBy>Louise</cp:lastModifiedBy>
  <cp:revision>5</cp:revision>
  <cp:lastPrinted>2018-11-20T08:34:00Z</cp:lastPrinted>
  <dcterms:created xsi:type="dcterms:W3CDTF">2019-02-11T18:24:00Z</dcterms:created>
  <dcterms:modified xsi:type="dcterms:W3CDTF">2019-02-13T15:23:00Z</dcterms:modified>
  <cp:contentStatus>GÉNÉRALE</cp:contentStatus>
</cp:coreProperties>
</file>