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96952" w:rsidRPr="006E7C0C" w:rsidTr="00BF3506">
        <w:trPr>
          <w:trHeight w:val="709"/>
        </w:trPr>
        <w:tc>
          <w:tcPr>
            <w:tcW w:w="976" w:type="dxa"/>
            <w:tcBorders>
              <w:bottom w:val="single" w:sz="12" w:space="0" w:color="auto"/>
            </w:tcBorders>
          </w:tcPr>
          <w:p w:rsidR="00396952" w:rsidRPr="006E7C0C" w:rsidRDefault="00396952" w:rsidP="00BF3506">
            <w:pPr>
              <w:rPr>
                <w:kern w:val="22"/>
              </w:rPr>
            </w:pPr>
            <w:r w:rsidRPr="006E7C0C">
              <w:rPr>
                <w:noProof/>
                <w:kern w:val="22"/>
                <w:lang w:val="fr-CA" w:eastAsia="fr-CA"/>
              </w:rPr>
              <w:drawing>
                <wp:inline distT="0" distB="0" distL="0" distR="0" wp14:anchorId="3C1AA3E6" wp14:editId="650E7E5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396952" w:rsidRPr="006E7C0C" w:rsidRDefault="00396952" w:rsidP="00BF3506">
            <w:pPr>
              <w:rPr>
                <w:kern w:val="22"/>
              </w:rPr>
            </w:pPr>
            <w:r w:rsidRPr="006E7C0C">
              <w:rPr>
                <w:noProof/>
                <w:kern w:val="22"/>
                <w:lang w:val="fr-CA" w:eastAsia="fr-CA"/>
              </w:rPr>
              <w:drawing>
                <wp:inline distT="0" distB="0" distL="0" distR="0" wp14:anchorId="78122DB1" wp14:editId="6C6FC7D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396952" w:rsidRPr="006E7C0C" w:rsidRDefault="00396952" w:rsidP="00BF3506">
            <w:pPr>
              <w:jc w:val="right"/>
              <w:rPr>
                <w:rFonts w:ascii="Arial" w:hAnsi="Arial" w:cs="Arial"/>
                <w:b/>
                <w:kern w:val="22"/>
                <w:sz w:val="32"/>
                <w:szCs w:val="32"/>
              </w:rPr>
            </w:pPr>
            <w:r w:rsidRPr="006E7C0C">
              <w:rPr>
                <w:rFonts w:ascii="Arial" w:hAnsi="Arial" w:cs="Arial"/>
                <w:b/>
                <w:kern w:val="22"/>
                <w:sz w:val="32"/>
                <w:szCs w:val="32"/>
              </w:rPr>
              <w:t>CBD</w:t>
            </w:r>
          </w:p>
        </w:tc>
      </w:tr>
      <w:tr w:rsidR="00396952" w:rsidRPr="00AC6628" w:rsidTr="00BF3506">
        <w:tc>
          <w:tcPr>
            <w:tcW w:w="6117" w:type="dxa"/>
            <w:gridSpan w:val="2"/>
            <w:tcBorders>
              <w:top w:val="single" w:sz="12" w:space="0" w:color="auto"/>
              <w:bottom w:val="single" w:sz="36" w:space="0" w:color="auto"/>
            </w:tcBorders>
            <w:vAlign w:val="center"/>
          </w:tcPr>
          <w:p w:rsidR="00396952" w:rsidRPr="006E7C0C" w:rsidRDefault="00AC6628" w:rsidP="00BF3506">
            <w:pPr>
              <w:rPr>
                <w:kern w:val="22"/>
              </w:rPr>
            </w:pPr>
            <w:r w:rsidRPr="00D32EC0">
              <w:rPr>
                <w:noProof/>
                <w:szCs w:val="22"/>
                <w:lang w:val="fr-CA" w:eastAsia="fr-CA"/>
              </w:rPr>
              <w:drawing>
                <wp:inline distT="0" distB="0" distL="0" distR="0" wp14:anchorId="056CCEFC" wp14:editId="3A4D4C80">
                  <wp:extent cx="2860675" cy="1068705"/>
                  <wp:effectExtent l="0" t="0" r="0" b="0"/>
                  <wp:docPr id="7" name="Image 2"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BD_logo_fr-CMYK-black [Conver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10687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396952" w:rsidRPr="004576D3" w:rsidRDefault="00396952" w:rsidP="006E7C0C">
            <w:pPr>
              <w:ind w:left="1215"/>
              <w:jc w:val="left"/>
              <w:rPr>
                <w:kern w:val="22"/>
                <w:szCs w:val="22"/>
                <w:lang w:val="fr-CA"/>
              </w:rPr>
            </w:pPr>
            <w:r w:rsidRPr="004576D3">
              <w:rPr>
                <w:kern w:val="22"/>
                <w:szCs w:val="22"/>
                <w:lang w:val="fr-CA"/>
              </w:rPr>
              <w:t>Distr.</w:t>
            </w:r>
          </w:p>
          <w:p w:rsidR="00396952" w:rsidRPr="004576D3" w:rsidRDefault="008366D4" w:rsidP="006E7C0C">
            <w:pPr>
              <w:ind w:left="1215"/>
              <w:jc w:val="left"/>
              <w:rPr>
                <w:kern w:val="22"/>
                <w:szCs w:val="22"/>
                <w:lang w:val="fr-CA"/>
              </w:rPr>
            </w:pPr>
            <w:sdt>
              <w:sdtPr>
                <w:rPr>
                  <w:kern w:val="22"/>
                  <w:szCs w:val="22"/>
                  <w:lang w:val="fr-CA"/>
                </w:rPr>
                <w:alias w:val="Status"/>
                <w:tag w:val=""/>
                <w:id w:val="307985777"/>
                <w:placeholder>
                  <w:docPart w:val="0D4B207D99C14635A9F11D6670B088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C6628" w:rsidRPr="004576D3">
                  <w:rPr>
                    <w:kern w:val="22"/>
                    <w:szCs w:val="22"/>
                    <w:lang w:val="fr-CA"/>
                  </w:rPr>
                  <w:t>GÉNÉRALE</w:t>
                </w:r>
              </w:sdtContent>
            </w:sdt>
          </w:p>
          <w:p w:rsidR="00396952" w:rsidRPr="004576D3" w:rsidRDefault="00396952" w:rsidP="006E7C0C">
            <w:pPr>
              <w:ind w:left="1215"/>
              <w:jc w:val="left"/>
              <w:rPr>
                <w:kern w:val="22"/>
                <w:szCs w:val="22"/>
                <w:lang w:val="fr-CA"/>
              </w:rPr>
            </w:pPr>
          </w:p>
          <w:p w:rsidR="00396952" w:rsidRPr="004576D3" w:rsidRDefault="008366D4" w:rsidP="006E7C0C">
            <w:pPr>
              <w:ind w:left="1215"/>
              <w:jc w:val="left"/>
              <w:rPr>
                <w:kern w:val="22"/>
                <w:szCs w:val="22"/>
                <w:lang w:val="fr-CA"/>
              </w:rPr>
            </w:pPr>
            <w:sdt>
              <w:sdtPr>
                <w:rPr>
                  <w:kern w:val="22"/>
                  <w:lang w:val="fr-CA"/>
                </w:rPr>
                <w:alias w:val="Subject"/>
                <w:tag w:val=""/>
                <w:id w:val="2137136483"/>
                <w:placeholder>
                  <w:docPart w:val="C5D0334F12E244779BF7895522BE77B2"/>
                </w:placeholder>
                <w:dataBinding w:prefixMappings="xmlns:ns0='http://purl.org/dc/elements/1.1/' xmlns:ns1='http://schemas.openxmlformats.org/package/2006/metadata/core-properties' " w:xpath="/ns1:coreProperties[1]/ns0:subject[1]" w:storeItemID="{6C3C8BC8-F283-45AE-878A-BAB7291924A1}"/>
                <w:text/>
              </w:sdtPr>
              <w:sdtEndPr/>
              <w:sdtContent>
                <w:r w:rsidR="00120B35" w:rsidRPr="004576D3">
                  <w:rPr>
                    <w:kern w:val="22"/>
                    <w:lang w:val="fr-CA"/>
                  </w:rPr>
                  <w:t>CBD/NP</w:t>
                </w:r>
                <w:r w:rsidR="00510097" w:rsidRPr="004576D3">
                  <w:rPr>
                    <w:kern w:val="22"/>
                    <w:lang w:val="fr-CA"/>
                  </w:rPr>
                  <w:t>/</w:t>
                </w:r>
                <w:r w:rsidR="00120B35" w:rsidRPr="004576D3">
                  <w:rPr>
                    <w:kern w:val="22"/>
                    <w:lang w:val="fr-CA"/>
                  </w:rPr>
                  <w:t>MOP/DEC/3/10</w:t>
                </w:r>
              </w:sdtContent>
            </w:sdt>
          </w:p>
          <w:p w:rsidR="00396952" w:rsidRPr="00AC6628" w:rsidRDefault="00120B35" w:rsidP="006E7C0C">
            <w:pPr>
              <w:ind w:left="1215"/>
              <w:jc w:val="left"/>
              <w:rPr>
                <w:kern w:val="22"/>
                <w:szCs w:val="22"/>
                <w:lang w:val="fr-CA"/>
              </w:rPr>
            </w:pPr>
            <w:r w:rsidRPr="00AC6628">
              <w:rPr>
                <w:kern w:val="22"/>
                <w:szCs w:val="22"/>
                <w:lang w:val="fr-CA"/>
              </w:rPr>
              <w:t xml:space="preserve">30 </w:t>
            </w:r>
            <w:r w:rsidR="00AC6628" w:rsidRPr="00AC6628">
              <w:rPr>
                <w:kern w:val="22"/>
                <w:szCs w:val="22"/>
                <w:lang w:val="fr-CA"/>
              </w:rPr>
              <w:t>novembre</w:t>
            </w:r>
            <w:r w:rsidR="00396952" w:rsidRPr="00AC6628">
              <w:rPr>
                <w:kern w:val="22"/>
                <w:szCs w:val="22"/>
                <w:lang w:val="fr-CA"/>
              </w:rPr>
              <w:t xml:space="preserve"> 2018</w:t>
            </w:r>
          </w:p>
          <w:p w:rsidR="00396952" w:rsidRPr="00AC6628" w:rsidRDefault="00396952" w:rsidP="006E7C0C">
            <w:pPr>
              <w:ind w:left="1215"/>
              <w:jc w:val="left"/>
              <w:rPr>
                <w:kern w:val="22"/>
                <w:szCs w:val="22"/>
                <w:lang w:val="fr-CA"/>
              </w:rPr>
            </w:pPr>
          </w:p>
          <w:p w:rsidR="00AC6628" w:rsidRPr="00AC6628" w:rsidRDefault="00AC6628" w:rsidP="006E7C0C">
            <w:pPr>
              <w:ind w:left="1215"/>
              <w:jc w:val="left"/>
              <w:rPr>
                <w:kern w:val="22"/>
                <w:szCs w:val="22"/>
                <w:lang w:val="fr-CA"/>
              </w:rPr>
            </w:pPr>
            <w:r>
              <w:rPr>
                <w:kern w:val="22"/>
                <w:szCs w:val="22"/>
                <w:lang w:val="fr-CA"/>
              </w:rPr>
              <w:t>FRANÇ</w:t>
            </w:r>
            <w:r w:rsidRPr="00AC6628">
              <w:rPr>
                <w:kern w:val="22"/>
                <w:szCs w:val="22"/>
                <w:lang w:val="fr-CA"/>
              </w:rPr>
              <w:t>AIS</w:t>
            </w:r>
          </w:p>
          <w:p w:rsidR="00396952" w:rsidRPr="00AC6628" w:rsidRDefault="00396952" w:rsidP="006E7C0C">
            <w:pPr>
              <w:ind w:left="1215"/>
              <w:jc w:val="left"/>
              <w:rPr>
                <w:kern w:val="22"/>
                <w:szCs w:val="22"/>
                <w:lang w:val="fr-CA"/>
              </w:rPr>
            </w:pPr>
            <w:r w:rsidRPr="00AC6628">
              <w:rPr>
                <w:kern w:val="22"/>
                <w:szCs w:val="22"/>
                <w:lang w:val="fr-CA"/>
              </w:rPr>
              <w:t>ORIGINAL</w:t>
            </w:r>
            <w:r w:rsidR="00AC6628">
              <w:rPr>
                <w:kern w:val="22"/>
                <w:szCs w:val="22"/>
                <w:lang w:val="fr-CA"/>
              </w:rPr>
              <w:t xml:space="preserve"> </w:t>
            </w:r>
            <w:r w:rsidRPr="00AC6628">
              <w:rPr>
                <w:kern w:val="22"/>
                <w:szCs w:val="22"/>
                <w:lang w:val="fr-CA"/>
              </w:rPr>
              <w:t xml:space="preserve">: </w:t>
            </w:r>
            <w:r w:rsidR="00AC6628">
              <w:rPr>
                <w:kern w:val="22"/>
                <w:szCs w:val="22"/>
                <w:lang w:val="fr-CA"/>
              </w:rPr>
              <w:t>ANGLAIS</w:t>
            </w:r>
          </w:p>
          <w:p w:rsidR="00396952" w:rsidRPr="00AC6628" w:rsidRDefault="00396952" w:rsidP="006E7C0C">
            <w:pPr>
              <w:jc w:val="left"/>
              <w:rPr>
                <w:kern w:val="22"/>
                <w:lang w:val="fr-CA"/>
              </w:rPr>
            </w:pPr>
          </w:p>
        </w:tc>
      </w:tr>
    </w:tbl>
    <w:p w:rsidR="00AC6628" w:rsidRPr="008A4DC7" w:rsidRDefault="00AC6628" w:rsidP="00AC6628">
      <w:pPr>
        <w:suppressLineNumbers/>
        <w:tabs>
          <w:tab w:val="left" w:pos="5580"/>
        </w:tabs>
        <w:suppressAutoHyphens/>
        <w:kinsoku w:val="0"/>
        <w:overflowPunct w:val="0"/>
        <w:autoSpaceDE w:val="0"/>
        <w:autoSpaceDN w:val="0"/>
        <w:ind w:left="170" w:right="3938" w:hanging="170"/>
        <w:jc w:val="left"/>
        <w:rPr>
          <w:rFonts w:eastAsia="Batang"/>
          <w:snapToGrid w:val="0"/>
          <w:kern w:val="22"/>
          <w:lang w:val="fr-FR"/>
        </w:rPr>
      </w:pPr>
      <w:r w:rsidRPr="008A4DC7">
        <w:rPr>
          <w:snapToGrid w:val="0"/>
          <w:kern w:val="22"/>
          <w:lang w:val="fr-FR"/>
        </w:rPr>
        <w:t>CONFÉRENCE DES PARTIES À LA CONVENTION SUR LA DIVERSITÉ BIOLOGIQUE SIÉGEANT EN TANT QUE RÉUNION DES PARTIES AU PROTOCOLE</w:t>
      </w:r>
      <w:r w:rsidRPr="008A4DC7">
        <w:rPr>
          <w:rFonts w:eastAsia="Batang"/>
          <w:snapToGrid w:val="0"/>
          <w:kern w:val="22"/>
          <w:lang w:val="fr-FR"/>
        </w:rPr>
        <w:t xml:space="preserve"> DE NAGOYA SUR L</w:t>
      </w:r>
      <w:r>
        <w:rPr>
          <w:rFonts w:eastAsia="Batang"/>
          <w:snapToGrid w:val="0"/>
          <w:kern w:val="22"/>
          <w:lang w:val="fr-FR"/>
        </w:rPr>
        <w:t xml:space="preserve">’ACCÈS AUX </w:t>
      </w:r>
      <w:r w:rsidRPr="008A4DC7">
        <w:rPr>
          <w:rFonts w:eastAsia="Batang"/>
          <w:snapToGrid w:val="0"/>
          <w:kern w:val="22"/>
          <w:lang w:val="fr-FR"/>
        </w:rPr>
        <w:t>RES</w:t>
      </w:r>
      <w:r>
        <w:rPr>
          <w:rFonts w:eastAsia="Batang"/>
          <w:snapToGrid w:val="0"/>
          <w:kern w:val="22"/>
          <w:lang w:val="fr-FR"/>
        </w:rPr>
        <w:t>S</w:t>
      </w:r>
      <w:r w:rsidRPr="008A4DC7">
        <w:rPr>
          <w:rFonts w:eastAsia="Batang"/>
          <w:snapToGrid w:val="0"/>
          <w:kern w:val="22"/>
          <w:lang w:val="fr-FR"/>
        </w:rPr>
        <w:t>OURCES</w:t>
      </w:r>
      <w:r>
        <w:rPr>
          <w:rFonts w:eastAsia="Batang"/>
          <w:snapToGrid w:val="0"/>
          <w:kern w:val="22"/>
          <w:lang w:val="fr-FR"/>
        </w:rPr>
        <w:t xml:space="preserve"> GÉNÉTIQUES ET LE PARTAGE JUSTE ET É</w:t>
      </w:r>
      <w:r w:rsidRPr="008A4DC7">
        <w:rPr>
          <w:rFonts w:eastAsia="Batang"/>
          <w:snapToGrid w:val="0"/>
          <w:kern w:val="22"/>
          <w:lang w:val="fr-FR"/>
        </w:rPr>
        <w:t xml:space="preserve">QUITABLE </w:t>
      </w:r>
      <w:r>
        <w:rPr>
          <w:rFonts w:eastAsia="Batang"/>
          <w:snapToGrid w:val="0"/>
          <w:kern w:val="22"/>
          <w:lang w:val="fr-FR"/>
        </w:rPr>
        <w:t>DES AVANTAGES DÉCOULANT DE LEUR UTILIS</w:t>
      </w:r>
      <w:r w:rsidRPr="008A4DC7">
        <w:rPr>
          <w:rFonts w:eastAsia="Batang"/>
          <w:snapToGrid w:val="0"/>
          <w:kern w:val="22"/>
          <w:lang w:val="fr-FR"/>
        </w:rPr>
        <w:t>ATION</w:t>
      </w:r>
    </w:p>
    <w:p w:rsidR="00AC6628" w:rsidRPr="008A4DC7" w:rsidRDefault="00AC6628" w:rsidP="00AC6628">
      <w:pPr>
        <w:suppressLineNumbers/>
        <w:suppressAutoHyphens/>
        <w:kinsoku w:val="0"/>
        <w:overflowPunct w:val="0"/>
        <w:autoSpaceDE w:val="0"/>
        <w:autoSpaceDN w:val="0"/>
        <w:ind w:left="170" w:right="3119" w:hanging="170"/>
        <w:jc w:val="left"/>
        <w:rPr>
          <w:rFonts w:eastAsia="Batang"/>
          <w:snapToGrid w:val="0"/>
          <w:kern w:val="22"/>
          <w:lang w:val="fr-FR"/>
        </w:rPr>
      </w:pPr>
      <w:r w:rsidRPr="008A4DC7">
        <w:rPr>
          <w:rFonts w:eastAsia="Batang"/>
          <w:snapToGrid w:val="0"/>
          <w:kern w:val="22"/>
          <w:lang w:val="fr-FR"/>
        </w:rPr>
        <w:t>Troisième réunion</w:t>
      </w:r>
    </w:p>
    <w:p w:rsidR="00AC6628" w:rsidRPr="008A4DC7" w:rsidRDefault="004719E6" w:rsidP="00AC6628">
      <w:pPr>
        <w:suppressLineNumbers/>
        <w:suppressAutoHyphens/>
        <w:kinsoku w:val="0"/>
        <w:overflowPunct w:val="0"/>
        <w:autoSpaceDE w:val="0"/>
        <w:autoSpaceDN w:val="0"/>
        <w:rPr>
          <w:snapToGrid w:val="0"/>
          <w:kern w:val="22"/>
          <w:szCs w:val="22"/>
          <w:lang w:val="fr-FR" w:eastAsia="nb-NO"/>
        </w:rPr>
      </w:pPr>
      <w:bookmarkStart w:id="0" w:name="_Hlk505863673"/>
      <w:r>
        <w:rPr>
          <w:snapToGrid w:val="0"/>
          <w:kern w:val="22"/>
          <w:szCs w:val="22"/>
          <w:lang w:val="fr-FR" w:eastAsia="nb-NO"/>
        </w:rPr>
        <w:t>Charm e</w:t>
      </w:r>
      <w:bookmarkStart w:id="1" w:name="_GoBack"/>
      <w:bookmarkEnd w:id="1"/>
      <w:r w:rsidR="004576D3">
        <w:rPr>
          <w:snapToGrid w:val="0"/>
          <w:kern w:val="22"/>
          <w:szCs w:val="22"/>
          <w:lang w:val="fr-FR" w:eastAsia="nb-NO"/>
        </w:rPr>
        <w:t>l-C</w:t>
      </w:r>
      <w:r w:rsidR="00BF26BF">
        <w:rPr>
          <w:snapToGrid w:val="0"/>
          <w:kern w:val="22"/>
          <w:szCs w:val="22"/>
          <w:lang w:val="fr-FR" w:eastAsia="nb-NO"/>
        </w:rPr>
        <w:t>heikh, É</w:t>
      </w:r>
      <w:r w:rsidR="00AC6628" w:rsidRPr="008A4DC7">
        <w:rPr>
          <w:snapToGrid w:val="0"/>
          <w:kern w:val="22"/>
          <w:szCs w:val="22"/>
          <w:lang w:val="fr-FR" w:eastAsia="nb-NO"/>
        </w:rPr>
        <w:t>gypt</w:t>
      </w:r>
      <w:bookmarkEnd w:id="0"/>
      <w:r w:rsidR="00AC6628" w:rsidRPr="008A4DC7">
        <w:rPr>
          <w:snapToGrid w:val="0"/>
          <w:kern w:val="22"/>
          <w:szCs w:val="22"/>
          <w:lang w:val="fr-FR" w:eastAsia="nb-NO"/>
        </w:rPr>
        <w:t>e, 17-29 novembre 2018</w:t>
      </w:r>
    </w:p>
    <w:p w:rsidR="00C9161D" w:rsidRPr="00AC6628" w:rsidRDefault="00AC6628" w:rsidP="00AC6628">
      <w:pPr>
        <w:rPr>
          <w:kern w:val="22"/>
          <w:lang w:val="fr-CA"/>
        </w:rPr>
      </w:pPr>
      <w:r w:rsidRPr="0035283B">
        <w:rPr>
          <w:kern w:val="22"/>
          <w:lang w:val="fr-CA"/>
        </w:rPr>
        <w:t>Point 1</w:t>
      </w:r>
      <w:r>
        <w:rPr>
          <w:kern w:val="22"/>
          <w:lang w:val="fr-CA"/>
        </w:rPr>
        <w:t>5</w:t>
      </w:r>
      <w:r w:rsidRPr="0035283B">
        <w:rPr>
          <w:kern w:val="22"/>
          <w:lang w:val="fr-CA"/>
        </w:rPr>
        <w:t xml:space="preserve"> de l’ordre du jou</w:t>
      </w:r>
      <w:r>
        <w:rPr>
          <w:kern w:val="22"/>
          <w:lang w:val="fr-CA"/>
        </w:rPr>
        <w:t>r</w:t>
      </w:r>
    </w:p>
    <w:p w:rsidR="00120B35" w:rsidRPr="00AC6628" w:rsidRDefault="00AC6628" w:rsidP="006E7C0C">
      <w:pPr>
        <w:pStyle w:val="Titre1"/>
        <w:tabs>
          <w:tab w:val="clear" w:pos="720"/>
        </w:tabs>
        <w:rPr>
          <w:kern w:val="22"/>
          <w:szCs w:val="22"/>
          <w:lang w:val="fr-CA"/>
        </w:rPr>
      </w:pPr>
      <w:bookmarkStart w:id="2" w:name="_Hlk532291362"/>
      <w:r w:rsidRPr="005F34F5">
        <w:rPr>
          <w:rFonts w:ascii="Times New Roman Bold" w:hAnsi="Times New Roman Bold"/>
          <w:kern w:val="22"/>
          <w:lang w:val="fr-CA"/>
        </w:rPr>
        <w:t>d</w:t>
      </w:r>
      <w:r>
        <w:rPr>
          <w:rFonts w:ascii="Times New Roman Bold" w:hAnsi="Times New Roman Bold"/>
          <w:kern w:val="22"/>
          <w:lang w:val="fr-CA"/>
        </w:rPr>
        <w:t>écision adoptée par les parties au protocole de nagoya sur l’accès et le partage des avantages</w:t>
      </w:r>
    </w:p>
    <w:bookmarkEnd w:id="2"/>
    <w:p w:rsidR="00C9161D" w:rsidRPr="00AC6628" w:rsidRDefault="008366D4" w:rsidP="006E7C0C">
      <w:pPr>
        <w:spacing w:before="120" w:after="240"/>
        <w:ind w:left="720" w:hanging="720"/>
        <w:jc w:val="left"/>
        <w:rPr>
          <w:b/>
          <w:caps/>
          <w:kern w:val="22"/>
          <w:lang w:val="fr-CA"/>
        </w:rPr>
      </w:pPr>
      <w:sdt>
        <w:sdtPr>
          <w:rPr>
            <w:b/>
            <w:kern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C6628" w:rsidRPr="00AC6628">
            <w:rPr>
              <w:b/>
              <w:kern w:val="22"/>
              <w:lang w:val="fr-CA"/>
            </w:rPr>
            <w:t>3/10.</w:t>
          </w:r>
          <w:r w:rsidR="00AC6628" w:rsidRPr="00AC6628">
            <w:rPr>
              <w:b/>
              <w:kern w:val="22"/>
              <w:lang w:val="fr-CA"/>
            </w:rPr>
            <w:tab/>
          </w:r>
          <w:r w:rsidR="00AC6628">
            <w:rPr>
              <w:b/>
              <w:kern w:val="22"/>
              <w:lang w:val="fr-CA"/>
            </w:rPr>
            <w:t>E</w:t>
          </w:r>
          <w:r w:rsidR="00AC6628" w:rsidRPr="00AC6628">
            <w:rPr>
              <w:b/>
              <w:kern w:val="22"/>
              <w:lang w:val="fr-CA"/>
            </w:rPr>
            <w:t>xamen de l'expérience de la tenue d</w:t>
          </w:r>
          <w:r w:rsidR="00CF3A77">
            <w:rPr>
              <w:b/>
              <w:kern w:val="22"/>
              <w:lang w:val="fr-CA"/>
            </w:rPr>
            <w:t>e réunions concomitantes de la Conférence des Parties à la Convention, de la Conférence des P</w:t>
          </w:r>
          <w:r w:rsidR="00AC6628" w:rsidRPr="00AC6628">
            <w:rPr>
              <w:b/>
              <w:kern w:val="22"/>
              <w:lang w:val="fr-CA"/>
            </w:rPr>
            <w:t>arties si</w:t>
          </w:r>
          <w:r w:rsidR="00CF3A77">
            <w:rPr>
              <w:b/>
              <w:kern w:val="22"/>
              <w:lang w:val="fr-CA"/>
            </w:rPr>
            <w:t>égeant en tant que réunion des Parties au Protocole de C</w:t>
          </w:r>
          <w:r w:rsidR="00AC6628" w:rsidRPr="00AC6628">
            <w:rPr>
              <w:b/>
              <w:kern w:val="22"/>
              <w:lang w:val="fr-CA"/>
            </w:rPr>
            <w:t xml:space="preserve">artagena et de la </w:t>
          </w:r>
          <w:r w:rsidR="00CF3A77">
            <w:rPr>
              <w:b/>
              <w:kern w:val="22"/>
              <w:lang w:val="fr-CA"/>
            </w:rPr>
            <w:t>Conférence des P</w:t>
          </w:r>
          <w:r w:rsidR="00AC6628" w:rsidRPr="00AC6628">
            <w:rPr>
              <w:b/>
              <w:kern w:val="22"/>
              <w:lang w:val="fr-CA"/>
            </w:rPr>
            <w:t>arties si</w:t>
          </w:r>
          <w:r w:rsidR="00CF3A77">
            <w:rPr>
              <w:b/>
              <w:kern w:val="22"/>
              <w:lang w:val="fr-CA"/>
            </w:rPr>
            <w:t>égeant en tant que réunion des Parties au Protocole de N</w:t>
          </w:r>
          <w:r w:rsidR="00AC6628" w:rsidRPr="00AC6628">
            <w:rPr>
              <w:b/>
              <w:kern w:val="22"/>
              <w:lang w:val="fr-CA"/>
            </w:rPr>
            <w:t>agoya</w:t>
          </w:r>
        </w:sdtContent>
      </w:sdt>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i/>
          <w:kern w:val="22"/>
          <w:szCs w:val="22"/>
          <w:lang w:val="fr-CA"/>
        </w:rPr>
      </w:pPr>
      <w:r w:rsidRPr="000A7DBA">
        <w:rPr>
          <w:i/>
          <w:kern w:val="22"/>
          <w:szCs w:val="22"/>
          <w:lang w:val="fr-CA"/>
        </w:rPr>
        <w:t>La Conférence des Parties siégeant en tant que réunion des Parties au Protocole de Nagoya sur l'accès et le partage des avantages,</w:t>
      </w:r>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i/>
          <w:iCs/>
          <w:kern w:val="22"/>
          <w:szCs w:val="22"/>
          <w:lang w:val="fr-CA"/>
        </w:rPr>
        <w:t>Rappelant</w:t>
      </w:r>
      <w:r w:rsidRPr="000A7DBA">
        <w:rPr>
          <w:kern w:val="22"/>
          <w:szCs w:val="22"/>
          <w:lang w:val="fr-CA"/>
        </w:rPr>
        <w:t xml:space="preserve"> les décisions </w:t>
      </w:r>
      <w:hyperlink r:id="rId12" w:history="1">
        <w:r w:rsidRPr="000A7DBA">
          <w:rPr>
            <w:color w:val="0000FF"/>
            <w:kern w:val="22"/>
            <w:szCs w:val="22"/>
            <w:u w:val="single"/>
            <w:lang w:val="fr-CA"/>
          </w:rPr>
          <w:t>NP-1/12</w:t>
        </w:r>
      </w:hyperlink>
      <w:r>
        <w:rPr>
          <w:kern w:val="22"/>
          <w:szCs w:val="22"/>
          <w:lang w:val="fr-CA"/>
        </w:rPr>
        <w:t xml:space="preserve"> </w:t>
      </w:r>
      <w:r w:rsidRPr="000A7DBA">
        <w:rPr>
          <w:kern w:val="22"/>
          <w:szCs w:val="22"/>
          <w:lang w:val="fr-CA"/>
        </w:rPr>
        <w:t xml:space="preserve">et </w:t>
      </w:r>
      <w:hyperlink r:id="rId13" w:history="1">
        <w:r w:rsidRPr="000A7DBA">
          <w:rPr>
            <w:color w:val="0000FF"/>
            <w:kern w:val="22"/>
            <w:szCs w:val="22"/>
            <w:u w:val="single"/>
            <w:lang w:val="fr-CA"/>
          </w:rPr>
          <w:t>NP-2/12</w:t>
        </w:r>
      </w:hyperlink>
      <w:r w:rsidRPr="000A7DBA">
        <w:rPr>
          <w:kern w:val="22"/>
          <w:szCs w:val="22"/>
          <w:lang w:val="fr-CA"/>
        </w:rPr>
        <w:t>,</w:t>
      </w:r>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i/>
          <w:iCs/>
          <w:kern w:val="22"/>
          <w:szCs w:val="22"/>
          <w:lang w:val="fr-CA"/>
        </w:rPr>
        <w:t>Ayant examiné</w:t>
      </w:r>
      <w:r w:rsidRPr="000A7DBA">
        <w:rPr>
          <w:kern w:val="22"/>
          <w:szCs w:val="22"/>
          <w:lang w:val="fr-CA"/>
        </w:rPr>
        <w:t xml:space="preserve"> l’expérience de la tenue de réunions concomitantes de la Conférence des Parties à la Convention, la Conférence des Parties siégeant en tant que réunion des Parties au Protocole de Cartagena et la Conférence des Parties siégeant en tant que réunion des Parties au Protocole de Nagoya, en utilisant les critères établis dans l</w:t>
      </w:r>
      <w:r>
        <w:rPr>
          <w:kern w:val="22"/>
          <w:szCs w:val="22"/>
          <w:lang w:val="fr-CA"/>
        </w:rPr>
        <w:t>a</w:t>
      </w:r>
      <w:r w:rsidRPr="000A7DBA">
        <w:rPr>
          <w:kern w:val="22"/>
          <w:szCs w:val="22"/>
          <w:lang w:val="fr-CA"/>
        </w:rPr>
        <w:t xml:space="preserve"> décision NP-2/12, et </w:t>
      </w:r>
      <w:r w:rsidRPr="000A7DBA">
        <w:rPr>
          <w:i/>
          <w:iCs/>
          <w:kern w:val="22"/>
          <w:szCs w:val="22"/>
          <w:lang w:val="fr-CA"/>
        </w:rPr>
        <w:t>tenant compte</w:t>
      </w:r>
      <w:r w:rsidRPr="000A7DBA">
        <w:rPr>
          <w:kern w:val="22"/>
          <w:szCs w:val="22"/>
          <w:lang w:val="fr-CA"/>
        </w:rPr>
        <w:t xml:space="preserve"> des points de vue des Parties, des observateurs et des participants à la treizième réunion de la Conférence des Parties, la huitième réunion de la Conférence des Parties siégeant en tant que réunion des Parties au Protocole de Cartagena et la deuxième réunion de la Conférence des Parties siégeant en tant que réunion des Parties au Protocole de Nagoya, et par le biais d’enquêtes effectuées après les réunions,</w:t>
      </w:r>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i/>
          <w:iCs/>
          <w:kern w:val="22"/>
          <w:szCs w:val="22"/>
          <w:lang w:val="fr-CA"/>
        </w:rPr>
        <w:t>Sachant</w:t>
      </w:r>
      <w:r w:rsidRPr="000A7DBA">
        <w:rPr>
          <w:kern w:val="22"/>
          <w:szCs w:val="22"/>
          <w:lang w:val="fr-CA"/>
        </w:rPr>
        <w:t xml:space="preserve"> qu’un autre examen sera effectué à la quinzième réunion de la Conférence des Parties à la Convention, la dixième réunion de la Conférence des Parties siégeant en tant que réunion des Parties au Protocole de Cartagena et la quatrième réunion de la Conférence des Parties siégeant en tant que réunion des Parties au Protocole de Nagoya,</w:t>
      </w:r>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kern w:val="22"/>
          <w:szCs w:val="22"/>
          <w:lang w:val="fr-CA"/>
        </w:rPr>
        <w:t>1.</w:t>
      </w:r>
      <w:r w:rsidRPr="000A7DBA">
        <w:rPr>
          <w:kern w:val="22"/>
          <w:szCs w:val="22"/>
          <w:lang w:val="fr-CA"/>
        </w:rPr>
        <w:tab/>
      </w:r>
      <w:r w:rsidRPr="000A7DBA">
        <w:rPr>
          <w:i/>
          <w:kern w:val="22"/>
          <w:szCs w:val="22"/>
          <w:lang w:val="fr-CA"/>
        </w:rPr>
        <w:t>Constate avec satisfaction</w:t>
      </w:r>
      <w:r w:rsidRPr="000A7DBA">
        <w:rPr>
          <w:kern w:val="22"/>
          <w:szCs w:val="22"/>
          <w:lang w:val="fr-CA"/>
        </w:rPr>
        <w:t xml:space="preserve"> que les réunions concomitantes ont permis une intégration accrue de la Convention et de ses protocoles ainsi qu’une amélioration des consultations, de la coordination et des synergies parmi les correspondants nationaux respectifs </w:t>
      </w:r>
      <w:r w:rsidRPr="002B7819">
        <w:rPr>
          <w:kern w:val="22"/>
          <w:szCs w:val="22"/>
          <w:lang w:val="fr-CA"/>
        </w:rPr>
        <w:t>;</w:t>
      </w:r>
    </w:p>
    <w:p w:rsidR="00CF3A77" w:rsidRPr="002B7819"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kern w:val="22"/>
          <w:szCs w:val="22"/>
          <w:lang w:val="fr-CA"/>
        </w:rPr>
        <w:t>2.</w:t>
      </w:r>
      <w:r w:rsidRPr="000A7DBA">
        <w:rPr>
          <w:kern w:val="22"/>
          <w:szCs w:val="22"/>
          <w:lang w:val="fr-CA"/>
        </w:rPr>
        <w:tab/>
      </w:r>
      <w:r w:rsidRPr="000A7DBA">
        <w:rPr>
          <w:i/>
          <w:kern w:val="22"/>
          <w:szCs w:val="22"/>
          <w:lang w:val="fr-CA"/>
        </w:rPr>
        <w:t>Note</w:t>
      </w:r>
      <w:r w:rsidRPr="000A7DBA">
        <w:rPr>
          <w:kern w:val="22"/>
          <w:szCs w:val="22"/>
          <w:lang w:val="fr-CA"/>
        </w:rPr>
        <w:t xml:space="preserve"> que la plupart des critères ont été considérés comme ayant été remplis ou partiellement remplis et que des améliorations supplémentaires du fonctionnement des réunions concomitantes sont souhaitables, notamment en ce qui concerne les résultats et l’efficacité des réunions des Parties aux protocoles </w:t>
      </w:r>
      <w:r w:rsidRPr="002B7819">
        <w:rPr>
          <w:kern w:val="22"/>
          <w:szCs w:val="22"/>
          <w:lang w:val="fr-CA"/>
        </w:rPr>
        <w:t>;</w:t>
      </w:r>
    </w:p>
    <w:p w:rsidR="00CF3A77"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sidRPr="000A7DBA">
        <w:rPr>
          <w:kern w:val="22"/>
          <w:szCs w:val="22"/>
          <w:lang w:val="fr-CA"/>
        </w:rPr>
        <w:lastRenderedPageBreak/>
        <w:t>3.</w:t>
      </w:r>
      <w:r w:rsidRPr="000A7DBA">
        <w:rPr>
          <w:kern w:val="22"/>
          <w:szCs w:val="22"/>
          <w:lang w:val="fr-CA"/>
        </w:rPr>
        <w:tab/>
      </w:r>
      <w:r w:rsidRPr="000A7DBA">
        <w:rPr>
          <w:i/>
          <w:kern w:val="22"/>
          <w:szCs w:val="22"/>
          <w:lang w:val="fr-CA"/>
        </w:rPr>
        <w:t>Réitère</w:t>
      </w:r>
      <w:r w:rsidRPr="000A7DBA">
        <w:rPr>
          <w:kern w:val="22"/>
          <w:szCs w:val="22"/>
          <w:lang w:val="fr-CA"/>
        </w:rPr>
        <w:t xml:space="preserve"> l’importance d’assurer la participation pleine et effective des représentants des Parties qui sont des pays en développement, en particulier les pays les moins avancés et les petits États insulaires, ainsi que les pays à économie en transition, aux réunions concomitantes, et </w:t>
      </w:r>
      <w:r w:rsidRPr="000A7DBA">
        <w:rPr>
          <w:i/>
          <w:kern w:val="22"/>
          <w:szCs w:val="22"/>
          <w:lang w:val="fr-CA"/>
        </w:rPr>
        <w:t>souligne</w:t>
      </w:r>
      <w:r w:rsidRPr="000A7DBA">
        <w:rPr>
          <w:kern w:val="22"/>
          <w:szCs w:val="22"/>
          <w:lang w:val="fr-CA"/>
        </w:rPr>
        <w:t>, à cet égard, l’importance, en particulier, d’assurer une participation adéquate des représentants aux réunions des protocoles en fournissant des fonds à cette participation, y compris à des réunions intersessions </w:t>
      </w:r>
      <w:r w:rsidRPr="002B7819">
        <w:rPr>
          <w:kern w:val="22"/>
          <w:szCs w:val="22"/>
          <w:lang w:val="fr-CA"/>
        </w:rPr>
        <w:t>;</w:t>
      </w:r>
    </w:p>
    <w:p w:rsidR="00CF3A77" w:rsidRPr="000A7DBA" w:rsidRDefault="00CF3A77" w:rsidP="00CF3A77">
      <w:pPr>
        <w:suppressLineNumbers/>
        <w:shd w:val="clear" w:color="auto" w:fill="FFFFFF" w:themeFill="background1"/>
        <w:suppressAutoHyphens/>
        <w:kinsoku w:val="0"/>
        <w:overflowPunct w:val="0"/>
        <w:autoSpaceDE w:val="0"/>
        <w:autoSpaceDN w:val="0"/>
        <w:adjustRightInd w:val="0"/>
        <w:snapToGrid w:val="0"/>
        <w:spacing w:before="120" w:after="120"/>
        <w:ind w:firstLine="720"/>
        <w:rPr>
          <w:kern w:val="22"/>
          <w:szCs w:val="22"/>
          <w:lang w:val="fr-CA"/>
        </w:rPr>
      </w:pPr>
      <w:r>
        <w:rPr>
          <w:kern w:val="22"/>
          <w:szCs w:val="22"/>
          <w:lang w:val="fr-CA"/>
        </w:rPr>
        <w:t>4.</w:t>
      </w:r>
      <w:r>
        <w:rPr>
          <w:kern w:val="22"/>
          <w:szCs w:val="22"/>
          <w:lang w:val="fr-CA"/>
        </w:rPr>
        <w:tab/>
      </w:r>
      <w:r w:rsidRPr="00513C8A">
        <w:rPr>
          <w:i/>
          <w:kern w:val="22"/>
          <w:lang w:val="fr-FR"/>
        </w:rPr>
        <w:t>Prie</w:t>
      </w:r>
      <w:r>
        <w:rPr>
          <w:kern w:val="22"/>
          <w:lang w:val="fr-FR"/>
        </w:rPr>
        <w:t> la Secrétaire exécutive d’élaborer davantage l’examen préliminaire de l’expérience de réunions concomitantes en appliquant les critères énoncés dans la décision 2/12, en se fondant sur l’expérience acquise lors de la quatorzième réunion de la Conférence des Parties, la neuvième réunion de la Conférence des Parties siégeant en tant que réunion des Parties au Protocole de Cartagena et la troisième réunion de la Conférence des Parties siégeant en tant que réunion des Parties au Protocole de Nagoya, pour examen par l’Organe subsidiaire chargé de l’application pour examen à sa troisième réunion ;</w:t>
      </w:r>
    </w:p>
    <w:p w:rsidR="00987619" w:rsidRPr="00CF3A77" w:rsidRDefault="00CF3A77" w:rsidP="00CF3A77">
      <w:pPr>
        <w:suppressLineNumbers/>
        <w:shd w:val="clear" w:color="auto" w:fill="FFFFFF"/>
        <w:suppressAutoHyphens/>
        <w:kinsoku w:val="0"/>
        <w:overflowPunct w:val="0"/>
        <w:autoSpaceDE w:val="0"/>
        <w:autoSpaceDN w:val="0"/>
        <w:adjustRightInd w:val="0"/>
        <w:snapToGrid w:val="0"/>
        <w:spacing w:before="120" w:after="120"/>
        <w:ind w:firstLine="720"/>
        <w:rPr>
          <w:kern w:val="22"/>
          <w:szCs w:val="22"/>
          <w:u w:val="single"/>
          <w:lang w:val="fr-CA"/>
        </w:rPr>
      </w:pPr>
      <w:r>
        <w:rPr>
          <w:kern w:val="22"/>
          <w:szCs w:val="22"/>
          <w:lang w:val="fr-CA"/>
        </w:rPr>
        <w:t>5</w:t>
      </w:r>
      <w:r w:rsidRPr="000A7DBA">
        <w:rPr>
          <w:kern w:val="22"/>
          <w:szCs w:val="22"/>
          <w:lang w:val="fr-CA"/>
        </w:rPr>
        <w:t>.</w:t>
      </w:r>
      <w:r w:rsidRPr="000A7DBA">
        <w:rPr>
          <w:kern w:val="22"/>
          <w:szCs w:val="22"/>
          <w:lang w:val="fr-CA"/>
        </w:rPr>
        <w:tab/>
      </w:r>
      <w:r w:rsidRPr="000A7DBA">
        <w:rPr>
          <w:i/>
          <w:kern w:val="22"/>
          <w:szCs w:val="22"/>
          <w:lang w:val="fr-CA"/>
        </w:rPr>
        <w:t>Demande</w:t>
      </w:r>
      <w:r w:rsidRPr="000A7DBA">
        <w:rPr>
          <w:kern w:val="22"/>
          <w:szCs w:val="22"/>
          <w:lang w:val="fr-CA"/>
        </w:rPr>
        <w:t xml:space="preserve"> au Bureau et à la Secrétaire exécutive, lors de la mise au point finale de l’organisation des travaux proposée pour la quinzième réunion de la Conférence des Parties à la Convention, la dixième réunion de la Conférence des Parties siégeant en tant que réunion des Parties au Protocole de Cartagena et la quatrième réunion de la Conférence des Parties siégeant en tant que réunion des Parties au Protocole de Nagoya, de prendre en compte la présente décision</w:t>
      </w:r>
      <w:r>
        <w:rPr>
          <w:kern w:val="22"/>
          <w:szCs w:val="22"/>
          <w:lang w:val="fr-CA"/>
        </w:rPr>
        <w:t xml:space="preserve">, </w:t>
      </w:r>
      <w:r w:rsidRPr="000A7DBA">
        <w:rPr>
          <w:kern w:val="22"/>
          <w:szCs w:val="22"/>
          <w:lang w:val="fr-CA"/>
        </w:rPr>
        <w:t>les i</w:t>
      </w:r>
      <w:r w:rsidR="00BF26BF">
        <w:rPr>
          <w:kern w:val="22"/>
          <w:szCs w:val="22"/>
          <w:lang w:val="fr-CA"/>
        </w:rPr>
        <w:t>nformations qui figurent dans les</w:t>
      </w:r>
      <w:r w:rsidRPr="000A7DBA">
        <w:rPr>
          <w:kern w:val="22"/>
          <w:szCs w:val="22"/>
          <w:lang w:val="fr-CA"/>
        </w:rPr>
        <w:t xml:space="preserve"> note</w:t>
      </w:r>
      <w:r w:rsidR="00BF26BF">
        <w:rPr>
          <w:kern w:val="22"/>
          <w:szCs w:val="22"/>
          <w:lang w:val="fr-CA"/>
        </w:rPr>
        <w:t>s</w:t>
      </w:r>
      <w:r w:rsidRPr="000A7DBA">
        <w:rPr>
          <w:kern w:val="22"/>
          <w:szCs w:val="22"/>
          <w:lang w:val="fr-CA"/>
        </w:rPr>
        <w:t xml:space="preserve"> de la Secrétaire exécutive</w:t>
      </w:r>
      <w:r>
        <w:rPr>
          <w:rStyle w:val="Appelnotedebasdep"/>
          <w:rFonts w:eastAsiaTheme="majorEastAsia"/>
          <w:kern w:val="22"/>
          <w:szCs w:val="22"/>
        </w:rPr>
        <w:footnoteReference w:id="1"/>
      </w:r>
      <w:r>
        <w:rPr>
          <w:kern w:val="22"/>
          <w:szCs w:val="22"/>
          <w:lang w:val="fr-CA"/>
        </w:rPr>
        <w:t xml:space="preserve">, </w:t>
      </w:r>
      <w:r>
        <w:rPr>
          <w:kern w:val="22"/>
          <w:lang w:val="fr-FR"/>
        </w:rPr>
        <w:t>ainsi que l’e</w:t>
      </w:r>
      <w:r w:rsidR="00BF26BF">
        <w:rPr>
          <w:kern w:val="22"/>
          <w:lang w:val="fr-FR"/>
        </w:rPr>
        <w:t xml:space="preserve">xpérience acquise lors </w:t>
      </w:r>
      <w:r>
        <w:rPr>
          <w:kern w:val="22"/>
          <w:lang w:val="fr-FR"/>
        </w:rPr>
        <w:t>de la quatorzième réunion de la Conférence des Parties, la neuvième réunion de la Conférence des Parties siégeant en tant que réunion des Parties au Protocole de Cartagena et la troisième réunion de la Conférence des Parties siégeant en tant que réunion des Parties au Protocole de Nagoya</w:t>
      </w:r>
      <w:r w:rsidR="00987619" w:rsidRPr="00CF3A77">
        <w:rPr>
          <w:kern w:val="22"/>
          <w:szCs w:val="22"/>
          <w:lang w:val="fr-CA"/>
        </w:rPr>
        <w:t>.</w:t>
      </w:r>
    </w:p>
    <w:p w:rsidR="00937AB0" w:rsidRPr="00510097" w:rsidRDefault="00937AB0" w:rsidP="00937AB0">
      <w:pPr>
        <w:suppressLineNumbers/>
        <w:shd w:val="clear" w:color="auto" w:fill="FFFFFF"/>
        <w:suppressAutoHyphens/>
        <w:kinsoku w:val="0"/>
        <w:overflowPunct w:val="0"/>
        <w:autoSpaceDE w:val="0"/>
        <w:autoSpaceDN w:val="0"/>
        <w:adjustRightInd w:val="0"/>
        <w:snapToGrid w:val="0"/>
        <w:spacing w:before="120" w:after="120"/>
        <w:ind w:firstLine="720"/>
        <w:jc w:val="center"/>
        <w:rPr>
          <w:rFonts w:eastAsia="Malgun Gothic"/>
          <w:kern w:val="22"/>
        </w:rPr>
      </w:pPr>
      <w:r w:rsidRPr="006E7C0C">
        <w:rPr>
          <w:kern w:val="22"/>
        </w:rPr>
        <w:t>__________</w:t>
      </w:r>
    </w:p>
    <w:sectPr w:rsidR="00937AB0" w:rsidRPr="00510097"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D4" w:rsidRDefault="008366D4" w:rsidP="00CF1848">
      <w:r>
        <w:separator/>
      </w:r>
    </w:p>
  </w:endnote>
  <w:endnote w:type="continuationSeparator" w:id="0">
    <w:p w:rsidR="008366D4" w:rsidRDefault="008366D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D4" w:rsidRDefault="008366D4" w:rsidP="00CF1848">
      <w:r>
        <w:separator/>
      </w:r>
    </w:p>
  </w:footnote>
  <w:footnote w:type="continuationSeparator" w:id="0">
    <w:p w:rsidR="008366D4" w:rsidRDefault="008366D4" w:rsidP="00CF1848">
      <w:r>
        <w:continuationSeparator/>
      </w:r>
    </w:p>
  </w:footnote>
  <w:footnote w:id="1">
    <w:p w:rsidR="00CF3A77" w:rsidRPr="00447F30" w:rsidRDefault="00CF3A77" w:rsidP="00CF3A77">
      <w:pPr>
        <w:pStyle w:val="Notedebasdepage"/>
        <w:ind w:firstLine="0"/>
      </w:pPr>
      <w:r>
        <w:rPr>
          <w:rStyle w:val="Appelnotedebasdep"/>
          <w:rFonts w:eastAsiaTheme="majorEastAsia"/>
        </w:rPr>
        <w:footnoteRef/>
      </w:r>
      <w:r>
        <w:t xml:space="preserve"> CBD/SBI/2/16 et Add.1.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AC6628" w:rsidRDefault="00510097" w:rsidP="006E7C0C">
        <w:pPr>
          <w:pStyle w:val="En-tte"/>
          <w:tabs>
            <w:tab w:val="clear" w:pos="4320"/>
            <w:tab w:val="clear" w:pos="8640"/>
          </w:tabs>
          <w:jc w:val="left"/>
          <w:rPr>
            <w:noProof/>
            <w:kern w:val="22"/>
            <w:lang w:val="fr-CA"/>
          </w:rPr>
        </w:pPr>
        <w:r w:rsidRPr="00AC6628">
          <w:rPr>
            <w:noProof/>
            <w:kern w:val="22"/>
            <w:lang w:val="fr-CA"/>
          </w:rPr>
          <w:t>CBD/NP/MOP/DEC/3/10</w:t>
        </w:r>
      </w:p>
    </w:sdtContent>
  </w:sdt>
  <w:p w:rsidR="00534681" w:rsidRPr="00AC6628" w:rsidRDefault="00534681" w:rsidP="006E7C0C">
    <w:pPr>
      <w:pStyle w:val="En-tte"/>
      <w:tabs>
        <w:tab w:val="clear" w:pos="4320"/>
        <w:tab w:val="clear" w:pos="8640"/>
      </w:tabs>
      <w:jc w:val="left"/>
      <w:rPr>
        <w:noProof/>
        <w:kern w:val="22"/>
        <w:lang w:val="fr-CA"/>
      </w:rPr>
    </w:pPr>
    <w:r w:rsidRPr="00AC6628">
      <w:rPr>
        <w:noProof/>
        <w:kern w:val="22"/>
        <w:lang w:val="fr-CA"/>
      </w:rPr>
      <w:t xml:space="preserve">Page </w:t>
    </w:r>
    <w:r w:rsidRPr="006E7C0C">
      <w:rPr>
        <w:noProof/>
        <w:kern w:val="22"/>
      </w:rPr>
      <w:fldChar w:fldCharType="begin"/>
    </w:r>
    <w:r w:rsidRPr="00AC6628">
      <w:rPr>
        <w:noProof/>
        <w:kern w:val="22"/>
        <w:lang w:val="fr-CA"/>
      </w:rPr>
      <w:instrText xml:space="preserve"> PAGE   \* MERGEFORMAT </w:instrText>
    </w:r>
    <w:r w:rsidRPr="006E7C0C">
      <w:rPr>
        <w:noProof/>
        <w:kern w:val="22"/>
      </w:rPr>
      <w:fldChar w:fldCharType="separate"/>
    </w:r>
    <w:r w:rsidR="004719E6">
      <w:rPr>
        <w:noProof/>
        <w:kern w:val="22"/>
        <w:lang w:val="fr-CA"/>
      </w:rPr>
      <w:t>2</w:t>
    </w:r>
    <w:r w:rsidRPr="006E7C0C">
      <w:rPr>
        <w:noProof/>
        <w:kern w:val="22"/>
      </w:rPr>
      <w:fldChar w:fldCharType="end"/>
    </w:r>
  </w:p>
  <w:p w:rsidR="00534681" w:rsidRPr="00AC6628" w:rsidRDefault="00534681" w:rsidP="006E7C0C">
    <w:pPr>
      <w:pStyle w:val="En-tte"/>
      <w:tabs>
        <w:tab w:val="clear" w:pos="4320"/>
        <w:tab w:val="clear" w:pos="8640"/>
      </w:tabs>
      <w:jc w:val="left"/>
      <w:rPr>
        <w:noProof/>
        <w:kern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6E7C0C" w:rsidRDefault="00510097" w:rsidP="009505C9">
        <w:pPr>
          <w:pStyle w:val="En-tte"/>
          <w:jc w:val="right"/>
          <w:rPr>
            <w:lang w:val="fr-FR"/>
          </w:rPr>
        </w:pPr>
        <w:r>
          <w:rPr>
            <w:lang w:val="fr-FR"/>
          </w:rPr>
          <w:t>CBD/NP/MOP/DEC/3/10</w:t>
        </w:r>
      </w:p>
    </w:sdtContent>
  </w:sdt>
  <w:p w:rsidR="009505C9" w:rsidRPr="00000614" w:rsidRDefault="009505C9"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rsidR="009505C9" w:rsidRPr="00000614" w:rsidRDefault="009505C9">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E673A"/>
    <w:rsid w:val="000F74F5"/>
    <w:rsid w:val="00100B63"/>
    <w:rsid w:val="00105372"/>
    <w:rsid w:val="00120B35"/>
    <w:rsid w:val="00131E7A"/>
    <w:rsid w:val="00156D03"/>
    <w:rsid w:val="00172AF6"/>
    <w:rsid w:val="00176CEE"/>
    <w:rsid w:val="00197AB7"/>
    <w:rsid w:val="001A1D1E"/>
    <w:rsid w:val="0027791A"/>
    <w:rsid w:val="002D2E43"/>
    <w:rsid w:val="002F4983"/>
    <w:rsid w:val="00372F74"/>
    <w:rsid w:val="00396952"/>
    <w:rsid w:val="003F6B88"/>
    <w:rsid w:val="003F7224"/>
    <w:rsid w:val="00405146"/>
    <w:rsid w:val="0042412C"/>
    <w:rsid w:val="00427D21"/>
    <w:rsid w:val="00452147"/>
    <w:rsid w:val="004576D3"/>
    <w:rsid w:val="004644C2"/>
    <w:rsid w:val="00467F9C"/>
    <w:rsid w:val="004719E6"/>
    <w:rsid w:val="004832D2"/>
    <w:rsid w:val="00510097"/>
    <w:rsid w:val="00514AB9"/>
    <w:rsid w:val="005345E1"/>
    <w:rsid w:val="00534681"/>
    <w:rsid w:val="00547115"/>
    <w:rsid w:val="005C4D44"/>
    <w:rsid w:val="006122BA"/>
    <w:rsid w:val="0061445E"/>
    <w:rsid w:val="0062246C"/>
    <w:rsid w:val="006A328D"/>
    <w:rsid w:val="006B2290"/>
    <w:rsid w:val="006E7C0C"/>
    <w:rsid w:val="006F1189"/>
    <w:rsid w:val="00717D88"/>
    <w:rsid w:val="0072457D"/>
    <w:rsid w:val="00735D5A"/>
    <w:rsid w:val="00744DA2"/>
    <w:rsid w:val="007942D3"/>
    <w:rsid w:val="007B6C09"/>
    <w:rsid w:val="007C2CA7"/>
    <w:rsid w:val="007C6593"/>
    <w:rsid w:val="007E09DA"/>
    <w:rsid w:val="008178B6"/>
    <w:rsid w:val="008366D4"/>
    <w:rsid w:val="00865B74"/>
    <w:rsid w:val="008D67FA"/>
    <w:rsid w:val="00930BA1"/>
    <w:rsid w:val="0093169E"/>
    <w:rsid w:val="00937AB0"/>
    <w:rsid w:val="009505C9"/>
    <w:rsid w:val="00987619"/>
    <w:rsid w:val="009B6F1C"/>
    <w:rsid w:val="009C200D"/>
    <w:rsid w:val="00AC6628"/>
    <w:rsid w:val="00AD680C"/>
    <w:rsid w:val="00B05724"/>
    <w:rsid w:val="00B16D94"/>
    <w:rsid w:val="00B3369F"/>
    <w:rsid w:val="00B76AAB"/>
    <w:rsid w:val="00BF26BF"/>
    <w:rsid w:val="00C35537"/>
    <w:rsid w:val="00C9161D"/>
    <w:rsid w:val="00CE3124"/>
    <w:rsid w:val="00CF1848"/>
    <w:rsid w:val="00CF3A77"/>
    <w:rsid w:val="00D12044"/>
    <w:rsid w:val="00D71888"/>
    <w:rsid w:val="00D76A18"/>
    <w:rsid w:val="00DC0825"/>
    <w:rsid w:val="00DD118C"/>
    <w:rsid w:val="00E65A45"/>
    <w:rsid w:val="00E66235"/>
    <w:rsid w:val="00E83C24"/>
    <w:rsid w:val="00E9318D"/>
    <w:rsid w:val="00E97013"/>
    <w:rsid w:val="00F85F4F"/>
    <w:rsid w:val="00F94774"/>
    <w:rsid w:val="00FA548E"/>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987619"/>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
    <w:name w:val="Unresolved Mention"/>
    <w:basedOn w:val="Policepardfaut"/>
    <w:uiPriority w:val="99"/>
    <w:semiHidden/>
    <w:unhideWhenUsed/>
    <w:rsid w:val="00B05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731879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np-mop-02/np-mop-02-dec-12-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1/np-mop-01-dec-12-fr.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0D4B207D99C14635A9F11D6670B08866"/>
        <w:category>
          <w:name w:val="General"/>
          <w:gallery w:val="placeholder"/>
        </w:category>
        <w:types>
          <w:type w:val="bbPlcHdr"/>
        </w:types>
        <w:behaviors>
          <w:behavior w:val="content"/>
        </w:behaviors>
        <w:guid w:val="{7991F0AA-722E-4B34-8530-95217271E7A1}"/>
      </w:docPartPr>
      <w:docPartBody>
        <w:p w:rsidR="00727D2A" w:rsidRDefault="00250B7D" w:rsidP="00250B7D">
          <w:pPr>
            <w:pStyle w:val="0D4B207D99C14635A9F11D6670B08866"/>
          </w:pPr>
          <w:r w:rsidRPr="007E02EB">
            <w:rPr>
              <w:rStyle w:val="Textedelespacerserv"/>
            </w:rPr>
            <w:t>[Status]</w:t>
          </w:r>
        </w:p>
      </w:docPartBody>
    </w:docPart>
    <w:docPart>
      <w:docPartPr>
        <w:name w:val="C5D0334F12E244779BF7895522BE77B2"/>
        <w:category>
          <w:name w:val="General"/>
          <w:gallery w:val="placeholder"/>
        </w:category>
        <w:types>
          <w:type w:val="bbPlcHdr"/>
        </w:types>
        <w:behaviors>
          <w:behavior w:val="content"/>
        </w:behaviors>
        <w:guid w:val="{B1F2FAED-F695-44C2-A32F-F143FA785213}"/>
      </w:docPartPr>
      <w:docPartBody>
        <w:p w:rsidR="00727D2A" w:rsidRDefault="00250B7D" w:rsidP="00250B7D">
          <w:pPr>
            <w:pStyle w:val="C5D0334F12E244779BF7895522BE77B2"/>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50B7D"/>
    <w:rsid w:val="00261E9A"/>
    <w:rsid w:val="00267719"/>
    <w:rsid w:val="003D0E86"/>
    <w:rsid w:val="00500A2B"/>
    <w:rsid w:val="0058288D"/>
    <w:rsid w:val="006801B3"/>
    <w:rsid w:val="006D4430"/>
    <w:rsid w:val="006F2068"/>
    <w:rsid w:val="00720F63"/>
    <w:rsid w:val="00727D2A"/>
    <w:rsid w:val="007F1B76"/>
    <w:rsid w:val="00810A55"/>
    <w:rsid w:val="008C6619"/>
    <w:rsid w:val="008D420E"/>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0B7D"/>
    <w:rPr>
      <w:color w:val="808080"/>
    </w:rPr>
  </w:style>
  <w:style w:type="paragraph" w:customStyle="1" w:styleId="C444DEE40D7C456B82AF1A09CD132ABF">
    <w:name w:val="C444DEE40D7C456B82AF1A09CD132ABF"/>
    <w:rsid w:val="00CE6602"/>
    <w:pPr>
      <w:spacing w:after="160" w:line="259" w:lineRule="auto"/>
    </w:pPr>
  </w:style>
  <w:style w:type="paragraph" w:customStyle="1" w:styleId="99AA84461E7A4F3986CC048C82E55525">
    <w:name w:val="99AA84461E7A4F3986CC048C82E55525"/>
    <w:rsid w:val="00250B7D"/>
    <w:pPr>
      <w:spacing w:after="160" w:line="259" w:lineRule="auto"/>
    </w:pPr>
    <w:rPr>
      <w:lang w:val="en-CA" w:eastAsia="en-CA"/>
    </w:rPr>
  </w:style>
  <w:style w:type="paragraph" w:customStyle="1" w:styleId="3341EC8B77F540FCB7B99DD623D2A2C9">
    <w:name w:val="3341EC8B77F540FCB7B99DD623D2A2C9"/>
    <w:rsid w:val="00250B7D"/>
    <w:pPr>
      <w:spacing w:after="160" w:line="259" w:lineRule="auto"/>
    </w:pPr>
    <w:rPr>
      <w:lang w:val="en-CA" w:eastAsia="en-CA"/>
    </w:rPr>
  </w:style>
  <w:style w:type="paragraph" w:customStyle="1" w:styleId="C86F54281D854611B7787429A280C535">
    <w:name w:val="C86F54281D854611B7787429A280C535"/>
    <w:rsid w:val="00250B7D"/>
    <w:pPr>
      <w:spacing w:after="160" w:line="259" w:lineRule="auto"/>
    </w:pPr>
    <w:rPr>
      <w:lang w:val="en-CA" w:eastAsia="en-CA"/>
    </w:rPr>
  </w:style>
  <w:style w:type="paragraph" w:customStyle="1" w:styleId="E53888D8AF5744629839C6A39B79698A">
    <w:name w:val="E53888D8AF5744629839C6A39B79698A"/>
    <w:rsid w:val="00250B7D"/>
    <w:pPr>
      <w:spacing w:after="160" w:line="259" w:lineRule="auto"/>
    </w:pPr>
    <w:rPr>
      <w:lang w:val="en-CA" w:eastAsia="en-CA"/>
    </w:rPr>
  </w:style>
  <w:style w:type="paragraph" w:customStyle="1" w:styleId="0D4B207D99C14635A9F11D6670B08866">
    <w:name w:val="0D4B207D99C14635A9F11D6670B08866"/>
    <w:rsid w:val="00250B7D"/>
    <w:pPr>
      <w:spacing w:after="160" w:line="259" w:lineRule="auto"/>
    </w:pPr>
    <w:rPr>
      <w:lang w:val="en-CA" w:eastAsia="en-CA"/>
    </w:rPr>
  </w:style>
  <w:style w:type="paragraph" w:customStyle="1" w:styleId="C5D0334F12E244779BF7895522BE77B2">
    <w:name w:val="C5D0334F12E244779BF7895522BE77B2"/>
    <w:rsid w:val="00250B7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89CF77-65DF-45D5-ACEA-3648624EB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751</Words>
  <Characters>4134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3/10.	Review of experience in holding concurrently meetings of the Conference of the Parties to the Convention, the Conference of the Parties serving as the meeting of the Parties to the Cartagena Protocol, and the Conference of the Parties serving as the</vt:lpstr>
      <vt:lpstr>3/10.	Review of experience in holding concurrently meetings of the Conference of the Parties to the Convention, the Conference of the Parties serving as the meeting of the Parties to the Cartagena Protocol, and the Conference of the Parties serving as the</vt:lpstr>
    </vt:vector>
  </TitlesOfParts>
  <Company>SCBD</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	Examen de l'expérience de la tenue de réunions concomitantes de la Conférence des Parties à la Convention, de la Conférence des Parties siégeant en tant que réunion des Parties au Protocole de Cartagena et de la Conférence des Parties siégeant en tant que réunion des Parties au Protocole de Nagoya</dc:title>
  <dc:subject>CBD/NP/MOP/DEC/3/10</dc:subject>
  <dc:creator>NP MOP 3</dc:creator>
  <cp:keywords>Review of experience in holding concurrently meetings of the Conference of the Parties to the Convention, the Conference of the Parties serving as the meeting of the Parties to the Cartagena Protocol, and the Conference of the Parties serving as the meeting of the Parties to the Nagoya Protocol, Nagoya Protocol on Access to Genetic Resources and the Fair and Equitable Sharing of Benefits Arising from Their Utilization, Convention on Biological Diversity</cp:keywords>
  <cp:lastModifiedBy>Louise</cp:lastModifiedBy>
  <cp:revision>5</cp:revision>
  <dcterms:created xsi:type="dcterms:W3CDTF">2019-02-20T17:45:00Z</dcterms:created>
  <dcterms:modified xsi:type="dcterms:W3CDTF">2019-02-20T18:16:00Z</dcterms:modified>
  <cp:contentStatus>GÉNÉRALE</cp:contentStatus>
</cp:coreProperties>
</file>