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67283" w:rsidRPr="00582B26" w14:paraId="2D0F52C0" w14:textId="77777777" w:rsidTr="00527836">
        <w:trPr>
          <w:trHeight w:val="709"/>
        </w:trPr>
        <w:tc>
          <w:tcPr>
            <w:tcW w:w="976" w:type="dxa"/>
            <w:tcBorders>
              <w:bottom w:val="single" w:sz="12" w:space="0" w:color="auto"/>
            </w:tcBorders>
          </w:tcPr>
          <w:p w14:paraId="094C41AB" w14:textId="77777777" w:rsidR="00F67283" w:rsidRPr="005F2FD1" w:rsidRDefault="00F67283" w:rsidP="00527836">
            <w:pPr>
              <w:rPr>
                <w:kern w:val="22"/>
              </w:rPr>
            </w:pPr>
            <w:r w:rsidRPr="00582B26">
              <w:rPr>
                <w:noProof/>
                <w:kern w:val="22"/>
                <w:lang w:val="fr-CA" w:eastAsia="fr-CA"/>
              </w:rPr>
              <w:drawing>
                <wp:inline distT="0" distB="0" distL="0" distR="0" wp14:anchorId="65FCC4C3" wp14:editId="2D15492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D7FEA9A" w14:textId="77777777" w:rsidR="00F67283" w:rsidRPr="005F2FD1" w:rsidRDefault="00F67283" w:rsidP="00527836">
            <w:pPr>
              <w:rPr>
                <w:kern w:val="22"/>
              </w:rPr>
            </w:pPr>
            <w:r w:rsidRPr="00582B26">
              <w:rPr>
                <w:noProof/>
                <w:kern w:val="22"/>
                <w:lang w:val="fr-CA" w:eastAsia="fr-CA"/>
              </w:rPr>
              <w:drawing>
                <wp:inline distT="0" distB="0" distL="0" distR="0" wp14:anchorId="24A42E9E" wp14:editId="499D27E2">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F57F99A" w14:textId="77777777" w:rsidR="00F67283" w:rsidRPr="006F58B4" w:rsidRDefault="00F67283" w:rsidP="00527836">
            <w:pPr>
              <w:jc w:val="right"/>
              <w:rPr>
                <w:rFonts w:ascii="Arial" w:hAnsi="Arial" w:cs="Arial"/>
                <w:b/>
                <w:kern w:val="22"/>
                <w:sz w:val="32"/>
                <w:szCs w:val="32"/>
              </w:rPr>
            </w:pPr>
            <w:r w:rsidRPr="004A6641">
              <w:rPr>
                <w:rFonts w:ascii="Arial" w:hAnsi="Arial" w:cs="Arial"/>
                <w:b/>
                <w:kern w:val="22"/>
                <w:sz w:val="32"/>
                <w:szCs w:val="32"/>
              </w:rPr>
              <w:t>CBD</w:t>
            </w:r>
          </w:p>
        </w:tc>
      </w:tr>
      <w:tr w:rsidR="00F67283" w:rsidRPr="00582B26" w14:paraId="5566FB94" w14:textId="77777777" w:rsidTr="00527836">
        <w:tc>
          <w:tcPr>
            <w:tcW w:w="6117" w:type="dxa"/>
            <w:gridSpan w:val="2"/>
            <w:tcBorders>
              <w:top w:val="single" w:sz="12" w:space="0" w:color="auto"/>
              <w:bottom w:val="single" w:sz="36" w:space="0" w:color="auto"/>
            </w:tcBorders>
            <w:vAlign w:val="center"/>
          </w:tcPr>
          <w:p w14:paraId="3FE6665E" w14:textId="77777777" w:rsidR="00F67283" w:rsidRPr="005F2FD1" w:rsidRDefault="005D1CE5" w:rsidP="00527836">
            <w:pPr>
              <w:rPr>
                <w:kern w:val="22"/>
              </w:rPr>
            </w:pPr>
            <w:r w:rsidRPr="00581912">
              <w:rPr>
                <w:noProof/>
                <w:szCs w:val="22"/>
                <w:lang w:val="fr-CA" w:eastAsia="fr-CA"/>
              </w:rPr>
              <w:drawing>
                <wp:inline distT="0" distB="0" distL="0" distR="0" wp14:anchorId="2D0FE3B1" wp14:editId="559EC7EE">
                  <wp:extent cx="2855595" cy="1080135"/>
                  <wp:effectExtent l="0" t="0" r="1905" b="571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5595" cy="108013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4F1FD18" w14:textId="77777777" w:rsidR="00F67283" w:rsidRPr="00234E8A" w:rsidRDefault="00F67283" w:rsidP="00582B26">
            <w:pPr>
              <w:ind w:left="1213"/>
              <w:jc w:val="left"/>
              <w:rPr>
                <w:kern w:val="22"/>
                <w:szCs w:val="22"/>
                <w:lang w:val="fr-CA"/>
              </w:rPr>
            </w:pPr>
            <w:proofErr w:type="spellStart"/>
            <w:r w:rsidRPr="00234E8A">
              <w:rPr>
                <w:kern w:val="22"/>
                <w:szCs w:val="22"/>
                <w:lang w:val="fr-CA"/>
              </w:rPr>
              <w:t>Distr</w:t>
            </w:r>
            <w:proofErr w:type="spellEnd"/>
            <w:r w:rsidRPr="00234E8A">
              <w:rPr>
                <w:kern w:val="22"/>
                <w:szCs w:val="22"/>
                <w:lang w:val="fr-CA"/>
              </w:rPr>
              <w:t>.</w:t>
            </w:r>
          </w:p>
          <w:p w14:paraId="52872622" w14:textId="77777777" w:rsidR="00F67283" w:rsidRPr="00234E8A" w:rsidRDefault="00A73F16" w:rsidP="00582B26">
            <w:pPr>
              <w:ind w:left="1213"/>
              <w:jc w:val="left"/>
              <w:rPr>
                <w:kern w:val="22"/>
                <w:szCs w:val="22"/>
                <w:lang w:val="fr-CA"/>
              </w:rPr>
            </w:pPr>
            <w:sdt>
              <w:sdtPr>
                <w:rPr>
                  <w:kern w:val="22"/>
                  <w:szCs w:val="22"/>
                  <w:lang w:val="fr-CA"/>
                </w:rPr>
                <w:alias w:val="Status"/>
                <w:tag w:val=""/>
                <w:id w:val="307985777"/>
                <w:placeholder>
                  <w:docPart w:val="4BF5E8CF906449808F02A14DE8F1E3AD"/>
                </w:placeholder>
                <w:dataBinding w:prefixMappings="xmlns:ns0='http://purl.org/dc/elements/1.1/' xmlns:ns1='http://schemas.openxmlformats.org/package/2006/metadata/core-properties' " w:xpath="/ns1:coreProperties[1]/ns1:contentStatus[1]" w:storeItemID="{6C3C8BC8-F283-45AE-878A-BAB7291924A1}"/>
                <w:text/>
              </w:sdtPr>
              <w:sdtEndPr/>
              <w:sdtContent>
                <w:r w:rsidR="005D1CE5" w:rsidRPr="00234E8A">
                  <w:rPr>
                    <w:kern w:val="22"/>
                    <w:szCs w:val="22"/>
                    <w:lang w:val="fr-CA"/>
                  </w:rPr>
                  <w:t>GÉNÉRALE</w:t>
                </w:r>
              </w:sdtContent>
            </w:sdt>
          </w:p>
          <w:p w14:paraId="25CECAD5" w14:textId="77777777" w:rsidR="00F67283" w:rsidRPr="00234E8A" w:rsidRDefault="00F67283" w:rsidP="00582B26">
            <w:pPr>
              <w:ind w:left="1213"/>
              <w:jc w:val="left"/>
              <w:rPr>
                <w:kern w:val="22"/>
                <w:szCs w:val="22"/>
                <w:lang w:val="fr-CA"/>
              </w:rPr>
            </w:pPr>
          </w:p>
          <w:p w14:paraId="0948171D" w14:textId="77777777" w:rsidR="00F67283" w:rsidRPr="00234E8A" w:rsidRDefault="00A73F16" w:rsidP="00582B26">
            <w:pPr>
              <w:ind w:left="1213"/>
              <w:jc w:val="left"/>
              <w:rPr>
                <w:kern w:val="22"/>
                <w:szCs w:val="22"/>
                <w:lang w:val="fr-CA"/>
              </w:rPr>
            </w:pPr>
            <w:sdt>
              <w:sdtPr>
                <w:rPr>
                  <w:kern w:val="22"/>
                  <w:lang w:val="fr-CA"/>
                </w:rPr>
                <w:alias w:val="Subject"/>
                <w:tag w:val=""/>
                <w:id w:val="2137136483"/>
                <w:placeholder>
                  <w:docPart w:val="79B4BFBC9D8A48D1B48F0ACA09DB5729"/>
                </w:placeholder>
                <w:dataBinding w:prefixMappings="xmlns:ns0='http://purl.org/dc/elements/1.1/' xmlns:ns1='http://schemas.openxmlformats.org/package/2006/metadata/core-properties' " w:xpath="/ns1:coreProperties[1]/ns0:subject[1]" w:storeItemID="{6C3C8BC8-F283-45AE-878A-BAB7291924A1}"/>
                <w:text/>
              </w:sdtPr>
              <w:sdtEndPr/>
              <w:sdtContent>
                <w:r w:rsidR="00CA45B3" w:rsidRPr="00234E8A">
                  <w:rPr>
                    <w:kern w:val="22"/>
                    <w:lang w:val="fr-CA"/>
                  </w:rPr>
                  <w:t>CBD/NP/MOP/DEC/3/11</w:t>
                </w:r>
              </w:sdtContent>
            </w:sdt>
          </w:p>
          <w:p w14:paraId="2DAB5CD2" w14:textId="77777777" w:rsidR="00F67283" w:rsidRPr="006F58B4" w:rsidRDefault="00CA45B3" w:rsidP="00582B26">
            <w:pPr>
              <w:ind w:left="1213"/>
              <w:jc w:val="left"/>
              <w:rPr>
                <w:kern w:val="22"/>
                <w:szCs w:val="22"/>
              </w:rPr>
            </w:pPr>
            <w:r w:rsidRPr="005F2FD1">
              <w:rPr>
                <w:kern w:val="22"/>
                <w:szCs w:val="22"/>
              </w:rPr>
              <w:t xml:space="preserve">30 </w:t>
            </w:r>
            <w:proofErr w:type="spellStart"/>
            <w:r w:rsidR="005D1CE5">
              <w:rPr>
                <w:kern w:val="22"/>
                <w:szCs w:val="22"/>
              </w:rPr>
              <w:t>novembre</w:t>
            </w:r>
            <w:proofErr w:type="spellEnd"/>
            <w:r w:rsidR="00F67283" w:rsidRPr="004A6641">
              <w:rPr>
                <w:kern w:val="22"/>
                <w:szCs w:val="22"/>
              </w:rPr>
              <w:t xml:space="preserve"> 2018</w:t>
            </w:r>
          </w:p>
          <w:p w14:paraId="2214C15A" w14:textId="77777777" w:rsidR="00F67283" w:rsidRPr="00E15080" w:rsidRDefault="00F67283" w:rsidP="00582B26">
            <w:pPr>
              <w:ind w:left="1213"/>
              <w:jc w:val="left"/>
              <w:rPr>
                <w:kern w:val="22"/>
                <w:szCs w:val="22"/>
              </w:rPr>
            </w:pPr>
          </w:p>
          <w:p w14:paraId="114A641A" w14:textId="77777777" w:rsidR="005D1CE5" w:rsidRDefault="005D1CE5" w:rsidP="00582B26">
            <w:pPr>
              <w:ind w:left="1213"/>
              <w:jc w:val="left"/>
              <w:rPr>
                <w:kern w:val="22"/>
                <w:szCs w:val="22"/>
              </w:rPr>
            </w:pPr>
            <w:r>
              <w:rPr>
                <w:kern w:val="22"/>
                <w:szCs w:val="22"/>
              </w:rPr>
              <w:t>FRANÇAIS</w:t>
            </w:r>
          </w:p>
          <w:p w14:paraId="6DEEFB14" w14:textId="77777777" w:rsidR="00F67283" w:rsidRPr="00582B26" w:rsidRDefault="00F67283" w:rsidP="00582B26">
            <w:pPr>
              <w:ind w:left="1213"/>
              <w:jc w:val="left"/>
              <w:rPr>
                <w:kern w:val="22"/>
                <w:szCs w:val="22"/>
              </w:rPr>
            </w:pPr>
            <w:proofErr w:type="gramStart"/>
            <w:r w:rsidRPr="00582B26">
              <w:rPr>
                <w:kern w:val="22"/>
                <w:szCs w:val="22"/>
              </w:rPr>
              <w:t>ORIGINAL</w:t>
            </w:r>
            <w:r w:rsidR="00293D46">
              <w:rPr>
                <w:kern w:val="22"/>
                <w:szCs w:val="22"/>
              </w:rPr>
              <w:t xml:space="preserve"> </w:t>
            </w:r>
            <w:r w:rsidRPr="00582B26">
              <w:rPr>
                <w:kern w:val="22"/>
                <w:szCs w:val="22"/>
              </w:rPr>
              <w:t>:</w:t>
            </w:r>
            <w:proofErr w:type="gramEnd"/>
            <w:r w:rsidRPr="00582B26">
              <w:rPr>
                <w:kern w:val="22"/>
                <w:szCs w:val="22"/>
              </w:rPr>
              <w:t xml:space="preserve"> </w:t>
            </w:r>
            <w:r w:rsidR="00293D46">
              <w:rPr>
                <w:kern w:val="22"/>
                <w:szCs w:val="22"/>
              </w:rPr>
              <w:t>ANGLAIS</w:t>
            </w:r>
          </w:p>
          <w:p w14:paraId="042332F8" w14:textId="77777777" w:rsidR="00F67283" w:rsidRPr="00582B26" w:rsidRDefault="00F67283" w:rsidP="00582B26">
            <w:pPr>
              <w:ind w:left="1213"/>
              <w:jc w:val="left"/>
              <w:rPr>
                <w:kern w:val="22"/>
              </w:rPr>
            </w:pPr>
          </w:p>
        </w:tc>
      </w:tr>
    </w:tbl>
    <w:p w14:paraId="6ACE5267" w14:textId="77777777" w:rsidR="005D1CE5" w:rsidRPr="00581912" w:rsidRDefault="005D1CE5" w:rsidP="005D1CE5">
      <w:pPr>
        <w:pStyle w:val="Cornernotation"/>
        <w:suppressLineNumbers/>
        <w:suppressAutoHyphens/>
        <w:kinsoku w:val="0"/>
        <w:overflowPunct w:val="0"/>
        <w:autoSpaceDE w:val="0"/>
        <w:autoSpaceDN w:val="0"/>
        <w:spacing w:before="60"/>
        <w:ind w:left="227" w:right="3780" w:hanging="227"/>
        <w:rPr>
          <w:snapToGrid w:val="0"/>
          <w:kern w:val="22"/>
          <w:szCs w:val="22"/>
          <w:lang w:val="fr-FR"/>
        </w:rPr>
      </w:pPr>
      <w:r w:rsidRPr="00581912">
        <w:rPr>
          <w:snapToGrid w:val="0"/>
          <w:kern w:val="22"/>
          <w:lang w:val="fr-FR"/>
        </w:rPr>
        <w:t>CONFÉRENCE DES PARTIES À LA CONVENTION SUR LA DIVERSITÉ BIOLOGIQUE SIÉGEANT EN TANT QUE RÉUNION DES PARTIES AU PROTOCOLE DE NAGOYA SUR L’ACCÈS AUX RESSOURCES GÉNÉTIQUES ET LE PARTAGE JUSTE ET ÉQUITABLE DES AVANTAGES DÉCOULANT DE LEUR UTILISATION</w:t>
      </w:r>
    </w:p>
    <w:p w14:paraId="083C1A01" w14:textId="77777777" w:rsidR="005D1CE5" w:rsidRPr="00581912" w:rsidRDefault="005D1CE5" w:rsidP="005D1CE5">
      <w:pPr>
        <w:pStyle w:val="Cornernotation"/>
        <w:suppressLineNumbers/>
        <w:suppressAutoHyphens/>
        <w:kinsoku w:val="0"/>
        <w:overflowPunct w:val="0"/>
        <w:autoSpaceDE w:val="0"/>
        <w:autoSpaceDN w:val="0"/>
        <w:ind w:left="0" w:right="4512" w:firstLine="0"/>
        <w:rPr>
          <w:snapToGrid w:val="0"/>
          <w:kern w:val="22"/>
          <w:szCs w:val="22"/>
          <w:lang w:val="fr-FR"/>
        </w:rPr>
      </w:pPr>
      <w:r w:rsidRPr="00581912">
        <w:rPr>
          <w:snapToGrid w:val="0"/>
          <w:kern w:val="22"/>
          <w:szCs w:val="22"/>
          <w:lang w:val="fr-FR"/>
        </w:rPr>
        <w:t>Troisième réunion</w:t>
      </w:r>
    </w:p>
    <w:p w14:paraId="04BE5117" w14:textId="30E46FA3" w:rsidR="005D1CE5" w:rsidRPr="00581912" w:rsidRDefault="00234E8A" w:rsidP="005D1CE5">
      <w:pPr>
        <w:suppressLineNumbers/>
        <w:suppressAutoHyphens/>
        <w:kinsoku w:val="0"/>
        <w:overflowPunct w:val="0"/>
        <w:autoSpaceDE w:val="0"/>
        <w:autoSpaceDN w:val="0"/>
        <w:rPr>
          <w:snapToGrid w:val="0"/>
          <w:kern w:val="22"/>
          <w:szCs w:val="22"/>
          <w:lang w:val="fr-FR" w:eastAsia="nb-NO"/>
        </w:rPr>
      </w:pPr>
      <w:bookmarkStart w:id="0" w:name="_Hlk505863673"/>
      <w:proofErr w:type="spellStart"/>
      <w:r>
        <w:rPr>
          <w:snapToGrid w:val="0"/>
          <w:kern w:val="22"/>
          <w:szCs w:val="22"/>
          <w:lang w:val="fr-FR"/>
        </w:rPr>
        <w:t>Charm</w:t>
      </w:r>
      <w:proofErr w:type="spellEnd"/>
      <w:r>
        <w:rPr>
          <w:snapToGrid w:val="0"/>
          <w:kern w:val="22"/>
          <w:szCs w:val="22"/>
          <w:lang w:val="fr-FR"/>
        </w:rPr>
        <w:t xml:space="preserve"> el-C</w:t>
      </w:r>
      <w:r w:rsidR="005D1CE5" w:rsidRPr="00581912">
        <w:rPr>
          <w:snapToGrid w:val="0"/>
          <w:kern w:val="22"/>
          <w:szCs w:val="22"/>
          <w:lang w:val="fr-FR"/>
        </w:rPr>
        <w:t>heikh, Égypte</w:t>
      </w:r>
      <w:bookmarkEnd w:id="0"/>
      <w:r w:rsidR="005D1CE5" w:rsidRPr="00581912">
        <w:rPr>
          <w:snapToGrid w:val="0"/>
          <w:kern w:val="22"/>
          <w:szCs w:val="22"/>
          <w:lang w:val="fr-FR"/>
        </w:rPr>
        <w:t>, 17-29 novembre 2018</w:t>
      </w:r>
    </w:p>
    <w:p w14:paraId="14397FBA" w14:textId="77777777" w:rsidR="00C9161D" w:rsidRPr="005D1CE5" w:rsidRDefault="005D1CE5" w:rsidP="005D1CE5">
      <w:pPr>
        <w:rPr>
          <w:kern w:val="22"/>
          <w:szCs w:val="22"/>
          <w:lang w:val="fr-CA"/>
        </w:rPr>
      </w:pPr>
      <w:r w:rsidRPr="00581912">
        <w:rPr>
          <w:kern w:val="22"/>
          <w:szCs w:val="22"/>
          <w:lang w:val="fr-FR"/>
        </w:rPr>
        <w:t>Point 15 de l’ordre du jou</w:t>
      </w:r>
      <w:r>
        <w:rPr>
          <w:kern w:val="22"/>
          <w:szCs w:val="22"/>
          <w:lang w:val="fr-FR"/>
        </w:rPr>
        <w:t>r</w:t>
      </w:r>
    </w:p>
    <w:p w14:paraId="7CE5C807" w14:textId="77777777" w:rsidR="00CA45B3" w:rsidRPr="005D1CE5" w:rsidRDefault="005D1CE5" w:rsidP="00582B26">
      <w:pPr>
        <w:pStyle w:val="Heading1"/>
        <w:tabs>
          <w:tab w:val="clear" w:pos="720"/>
        </w:tabs>
        <w:rPr>
          <w:rFonts w:ascii="Times New Roman Bold" w:hAnsi="Times New Roman Bold"/>
          <w:kern w:val="22"/>
          <w:szCs w:val="22"/>
          <w:lang w:val="fr-CA"/>
        </w:rPr>
      </w:pPr>
      <w:bookmarkStart w:id="1" w:name="_Hlk532291362"/>
      <w:r w:rsidRPr="005D1CE5">
        <w:rPr>
          <w:rFonts w:ascii="Times New Roman Bold" w:hAnsi="Times New Roman Bold"/>
          <w:kern w:val="22"/>
          <w:lang w:val="fr-CA"/>
        </w:rPr>
        <w:t>d</w:t>
      </w:r>
      <w:r>
        <w:rPr>
          <w:rFonts w:ascii="Times New Roman Bold" w:hAnsi="Times New Roman Bold"/>
          <w:kern w:val="22"/>
          <w:lang w:val="fr-CA"/>
        </w:rPr>
        <w:t>écision adoptée par les parties au protocole de nagoya sur l’accès et le partage des avantages</w:t>
      </w:r>
    </w:p>
    <w:bookmarkEnd w:id="1"/>
    <w:p w14:paraId="16379CFF" w14:textId="77777777" w:rsidR="00C9161D" w:rsidRPr="005D1CE5" w:rsidRDefault="00A73F16" w:rsidP="008C31CC">
      <w:pPr>
        <w:spacing w:before="240" w:after="120"/>
        <w:jc w:val="center"/>
        <w:rPr>
          <w:b/>
          <w:caps/>
          <w:kern w:val="22"/>
          <w:szCs w:val="22"/>
          <w:lang w:val="fr-CA"/>
        </w:rPr>
      </w:pPr>
      <w:sdt>
        <w:sdtPr>
          <w:rPr>
            <w:b/>
            <w:caps/>
            <w:kern w:val="22"/>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D1CE5" w:rsidRPr="005D1CE5">
            <w:rPr>
              <w:b/>
              <w:caps/>
              <w:kern w:val="22"/>
              <w:szCs w:val="22"/>
              <w:lang w:val="fr-FR"/>
            </w:rPr>
            <w:t>3/11.</w:t>
          </w:r>
          <w:r w:rsidR="005D1CE5" w:rsidRPr="005D1CE5">
            <w:rPr>
              <w:b/>
              <w:caps/>
              <w:kern w:val="22"/>
              <w:szCs w:val="22"/>
              <w:lang w:val="fr-FR"/>
            </w:rPr>
            <w:tab/>
          </w:r>
          <w:r w:rsidR="005D1CE5">
            <w:rPr>
              <w:b/>
              <w:caps/>
              <w:kern w:val="22"/>
              <w:szCs w:val="22"/>
              <w:lang w:val="fr-FR"/>
            </w:rPr>
            <w:t>P</w:t>
          </w:r>
          <w:r w:rsidR="005D1CE5">
            <w:rPr>
              <w:b/>
              <w:kern w:val="22"/>
              <w:szCs w:val="22"/>
              <w:lang w:val="fr-FR"/>
            </w:rPr>
            <w:t>rocédure relative à</w:t>
          </w:r>
          <w:r w:rsidR="005D1CE5" w:rsidRPr="005D1CE5">
            <w:rPr>
              <w:b/>
              <w:kern w:val="22"/>
              <w:szCs w:val="22"/>
              <w:lang w:val="fr-FR"/>
            </w:rPr>
            <w:t xml:space="preserve"> la prévention et </w:t>
          </w:r>
          <w:r w:rsidR="005D1CE5">
            <w:rPr>
              <w:b/>
              <w:kern w:val="22"/>
              <w:szCs w:val="22"/>
              <w:lang w:val="fr-FR"/>
            </w:rPr>
            <w:t>à</w:t>
          </w:r>
          <w:r w:rsidR="005D1CE5" w:rsidRPr="005D1CE5">
            <w:rPr>
              <w:b/>
              <w:kern w:val="22"/>
              <w:szCs w:val="22"/>
              <w:lang w:val="fr-FR"/>
            </w:rPr>
            <w:t xml:space="preserve"> </w:t>
          </w:r>
          <w:r w:rsidR="005D1CE5">
            <w:rPr>
              <w:b/>
              <w:kern w:val="22"/>
              <w:szCs w:val="22"/>
              <w:lang w:val="fr-FR"/>
            </w:rPr>
            <w:t>la gestion des conflits d’intérêt</w:t>
          </w:r>
          <w:r w:rsidR="00293D46">
            <w:rPr>
              <w:b/>
              <w:kern w:val="22"/>
              <w:szCs w:val="22"/>
              <w:lang w:val="fr-FR"/>
            </w:rPr>
            <w:t>s</w:t>
          </w:r>
          <w:r w:rsidR="005D1CE5" w:rsidRPr="005D1CE5">
            <w:rPr>
              <w:b/>
              <w:kern w:val="22"/>
              <w:szCs w:val="22"/>
              <w:lang w:val="fr-FR"/>
            </w:rPr>
            <w:t xml:space="preserve"> au sein des groupes d’experts</w:t>
          </w:r>
        </w:sdtContent>
      </w:sdt>
    </w:p>
    <w:p w14:paraId="6E8E9E34" w14:textId="77777777" w:rsidR="005D1CE5" w:rsidRPr="00581912" w:rsidRDefault="005D1CE5" w:rsidP="005D1CE5">
      <w:pPr>
        <w:pStyle w:val="ListParagraph"/>
        <w:keepNext/>
        <w:spacing w:before="120" w:after="120"/>
        <w:ind w:left="0" w:firstLine="709"/>
        <w:contextualSpacing w:val="0"/>
        <w:rPr>
          <w:kern w:val="22"/>
          <w:szCs w:val="22"/>
          <w:lang w:val="fr-FR"/>
        </w:rPr>
      </w:pPr>
      <w:r w:rsidRPr="00581912">
        <w:rPr>
          <w:i/>
          <w:kern w:val="22"/>
          <w:szCs w:val="22"/>
          <w:lang w:val="fr-FR"/>
        </w:rPr>
        <w:t>La Conférence des Parties siégeant en tant que Réunion des Parties au Protocole de Nagoya</w:t>
      </w:r>
      <w:r>
        <w:rPr>
          <w:i/>
          <w:kern w:val="22"/>
          <w:szCs w:val="22"/>
          <w:lang w:val="fr-FR"/>
        </w:rPr>
        <w:t xml:space="preserve"> sur l’accès et le partage des avantages</w:t>
      </w:r>
      <w:r w:rsidRPr="00581912">
        <w:rPr>
          <w:i/>
          <w:kern w:val="22"/>
          <w:szCs w:val="22"/>
          <w:lang w:val="fr-FR"/>
        </w:rPr>
        <w:t>,</w:t>
      </w:r>
    </w:p>
    <w:p w14:paraId="70581A3D" w14:textId="77777777" w:rsidR="005D1CE5" w:rsidRPr="00581912" w:rsidRDefault="005D1CE5" w:rsidP="005D1CE5">
      <w:pPr>
        <w:pStyle w:val="ListParagraph"/>
        <w:spacing w:before="120" w:after="120"/>
        <w:ind w:left="0" w:firstLine="720"/>
        <w:contextualSpacing w:val="0"/>
        <w:rPr>
          <w:kern w:val="22"/>
          <w:szCs w:val="22"/>
          <w:lang w:val="fr-FR"/>
        </w:rPr>
      </w:pPr>
      <w:r w:rsidRPr="00581912">
        <w:rPr>
          <w:i/>
          <w:kern w:val="22"/>
          <w:szCs w:val="22"/>
          <w:lang w:val="fr-FR"/>
        </w:rPr>
        <w:t xml:space="preserve">Reconnaissant </w:t>
      </w:r>
      <w:r w:rsidRPr="00581912">
        <w:rPr>
          <w:kern w:val="22"/>
          <w:szCs w:val="22"/>
          <w:lang w:val="fr-FR"/>
        </w:rPr>
        <w:t>qu’il importe au plus haut point que les décisions soient prises en s’appuyant sur les meilleurs avis d’experts disponibles,</w:t>
      </w:r>
    </w:p>
    <w:p w14:paraId="7EF37EFB" w14:textId="77777777" w:rsidR="005D1CE5" w:rsidRPr="00581912" w:rsidRDefault="005D1CE5" w:rsidP="005D1CE5">
      <w:pPr>
        <w:suppressLineNumbers/>
        <w:suppressAutoHyphens/>
        <w:kinsoku w:val="0"/>
        <w:overflowPunct w:val="0"/>
        <w:autoSpaceDE w:val="0"/>
        <w:autoSpaceDN w:val="0"/>
        <w:adjustRightInd w:val="0"/>
        <w:snapToGrid w:val="0"/>
        <w:spacing w:before="120" w:after="120"/>
        <w:ind w:firstLine="720"/>
        <w:rPr>
          <w:kern w:val="22"/>
          <w:szCs w:val="22"/>
          <w:lang w:val="fr-FR" w:eastAsia="en-CA"/>
        </w:rPr>
      </w:pPr>
      <w:r w:rsidRPr="00581912">
        <w:rPr>
          <w:i/>
          <w:kern w:val="22"/>
          <w:szCs w:val="22"/>
          <w:lang w:val="fr-FR"/>
        </w:rPr>
        <w:t>Reconnaissant également</w:t>
      </w:r>
      <w:r w:rsidRPr="00581912">
        <w:rPr>
          <w:kern w:val="22"/>
          <w:szCs w:val="22"/>
          <w:lang w:val="fr-FR"/>
        </w:rPr>
        <w:t xml:space="preserve"> la nécessité d’éviter ou de gérer, de manière transparente, les conflits </w:t>
      </w:r>
      <w:proofErr w:type="gramStart"/>
      <w:r w:rsidRPr="00581912">
        <w:rPr>
          <w:kern w:val="22"/>
          <w:szCs w:val="22"/>
          <w:lang w:val="fr-FR"/>
        </w:rPr>
        <w:t>d’intérêts</w:t>
      </w:r>
      <w:proofErr w:type="gramEnd"/>
      <w:r w:rsidRPr="00581912">
        <w:rPr>
          <w:kern w:val="22"/>
          <w:szCs w:val="22"/>
          <w:lang w:val="fr-FR"/>
        </w:rPr>
        <w:t xml:space="preserve"> au sein des groupes d’experts constitués de temps à autre</w:t>
      </w:r>
      <w:r w:rsidR="00293D46">
        <w:rPr>
          <w:kern w:val="22"/>
          <w:szCs w:val="22"/>
          <w:lang w:val="fr-FR"/>
        </w:rPr>
        <w:t>s</w:t>
      </w:r>
      <w:r w:rsidRPr="00581912">
        <w:rPr>
          <w:kern w:val="22"/>
          <w:szCs w:val="22"/>
          <w:lang w:val="fr-FR"/>
        </w:rPr>
        <w:t xml:space="preserve"> pour formuler des recommandations,</w:t>
      </w:r>
    </w:p>
    <w:p w14:paraId="5E5B67E1" w14:textId="77777777" w:rsidR="005D1CE5" w:rsidRPr="00581912" w:rsidRDefault="005D1CE5" w:rsidP="005D1CE5">
      <w:pPr>
        <w:pStyle w:val="ListParagraph"/>
        <w:spacing w:before="120" w:after="120"/>
        <w:ind w:left="0" w:firstLine="720"/>
        <w:contextualSpacing w:val="0"/>
        <w:rPr>
          <w:kern w:val="22"/>
          <w:szCs w:val="22"/>
          <w:lang w:val="fr-FR"/>
        </w:rPr>
      </w:pPr>
      <w:r w:rsidRPr="00581912">
        <w:rPr>
          <w:kern w:val="22"/>
          <w:szCs w:val="22"/>
          <w:lang w:val="fr-FR" w:eastAsia="en-CA"/>
        </w:rPr>
        <w:t>1.</w:t>
      </w:r>
      <w:r w:rsidRPr="00581912">
        <w:rPr>
          <w:kern w:val="22"/>
          <w:szCs w:val="22"/>
          <w:lang w:val="fr-FR" w:eastAsia="en-CA"/>
        </w:rPr>
        <w:tab/>
      </w:r>
      <w:r w:rsidRPr="00581912">
        <w:rPr>
          <w:i/>
          <w:kern w:val="22"/>
          <w:szCs w:val="22"/>
          <w:lang w:val="fr-FR"/>
        </w:rPr>
        <w:t>Approuve</w:t>
      </w:r>
      <w:r w:rsidRPr="00581912">
        <w:rPr>
          <w:kern w:val="22"/>
          <w:szCs w:val="22"/>
          <w:lang w:val="fr-FR"/>
        </w:rPr>
        <w:t xml:space="preserve"> la procédure </w:t>
      </w:r>
      <w:r w:rsidRPr="00581912">
        <w:rPr>
          <w:kern w:val="22"/>
          <w:szCs w:val="22"/>
          <w:lang w:val="fr-FR" w:eastAsia="de-AT"/>
        </w:rPr>
        <w:t xml:space="preserve">relative à la prévention et à la gestion des conflits d’intérêts au sein des groupes d’experts </w:t>
      </w:r>
      <w:r w:rsidRPr="00581912">
        <w:rPr>
          <w:kern w:val="22"/>
          <w:szCs w:val="22"/>
          <w:lang w:val="fr-FR"/>
        </w:rPr>
        <w:t xml:space="preserve">qui figure à l’annexe de la décision </w:t>
      </w:r>
      <w:r w:rsidR="00293D46">
        <w:rPr>
          <w:rFonts w:eastAsia="MS Mincho" w:cs="Angsana New"/>
          <w:color w:val="000000" w:themeColor="text1"/>
          <w:kern w:val="22"/>
          <w:lang w:val="fr-FR"/>
        </w:rPr>
        <w:t xml:space="preserve">14/33 de la Conférence des Parties à la </w:t>
      </w:r>
      <w:proofErr w:type="gramStart"/>
      <w:r w:rsidR="00293D46">
        <w:rPr>
          <w:rFonts w:eastAsia="MS Mincho" w:cs="Angsana New"/>
          <w:color w:val="000000" w:themeColor="text1"/>
          <w:kern w:val="22"/>
          <w:lang w:val="fr-FR"/>
        </w:rPr>
        <w:t>Convention</w:t>
      </w:r>
      <w:r w:rsidRPr="00581912">
        <w:rPr>
          <w:rFonts w:eastAsia="MS Mincho" w:cs="Angsana New"/>
          <w:color w:val="000000" w:themeColor="text1"/>
          <w:kern w:val="22"/>
          <w:lang w:val="fr-FR"/>
        </w:rPr>
        <w:t>;</w:t>
      </w:r>
      <w:proofErr w:type="gramEnd"/>
    </w:p>
    <w:p w14:paraId="73AD16F3" w14:textId="77777777" w:rsidR="005D1CE5" w:rsidRPr="00581912" w:rsidRDefault="005D1CE5" w:rsidP="005D1CE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581912">
        <w:rPr>
          <w:kern w:val="22"/>
          <w:szCs w:val="22"/>
          <w:lang w:val="fr-FR"/>
        </w:rPr>
        <w:t>2.</w:t>
      </w:r>
      <w:r w:rsidRPr="00581912">
        <w:rPr>
          <w:kern w:val="22"/>
          <w:szCs w:val="22"/>
          <w:lang w:val="fr-FR"/>
        </w:rPr>
        <w:tab/>
      </w:r>
      <w:r w:rsidRPr="00581912">
        <w:rPr>
          <w:i/>
          <w:iCs/>
          <w:kern w:val="22"/>
          <w:szCs w:val="22"/>
          <w:lang w:val="fr-FR"/>
        </w:rPr>
        <w:t>Prie</w:t>
      </w:r>
      <w:r w:rsidRPr="00581912">
        <w:rPr>
          <w:kern w:val="22"/>
          <w:szCs w:val="22"/>
          <w:lang w:val="fr-FR"/>
        </w:rPr>
        <w:t xml:space="preserve"> la Secrétaire exécutive de veiller à </w:t>
      </w:r>
      <w:r w:rsidRPr="00581912">
        <w:rPr>
          <w:kern w:val="22"/>
          <w:szCs w:val="22"/>
          <w:lang w:val="fr-FR" w:eastAsia="de-AT"/>
        </w:rPr>
        <w:t xml:space="preserve">l’application, </w:t>
      </w:r>
      <w:r w:rsidR="00EC6482" w:rsidRPr="00EC6482">
        <w:rPr>
          <w:kern w:val="22"/>
          <w:szCs w:val="22"/>
          <w:lang w:val="fr-FR" w:eastAsia="de-AT"/>
        </w:rPr>
        <w:t>avec les adaptations nécessaires</w:t>
      </w:r>
      <w:r w:rsidRPr="00581912">
        <w:rPr>
          <w:kern w:val="22"/>
          <w:szCs w:val="22"/>
          <w:lang w:val="fr-FR" w:eastAsia="de-AT"/>
        </w:rPr>
        <w:t xml:space="preserve">, dans le cadre des travaux des groupes d’experts techniques menés au titre du Protocole de </w:t>
      </w:r>
      <w:r>
        <w:rPr>
          <w:kern w:val="22"/>
          <w:szCs w:val="22"/>
          <w:lang w:val="fr-FR" w:eastAsia="de-AT"/>
        </w:rPr>
        <w:t>Nagoya</w:t>
      </w:r>
      <w:r w:rsidRPr="00581912">
        <w:rPr>
          <w:kern w:val="22"/>
          <w:szCs w:val="22"/>
          <w:lang w:val="fr-FR" w:eastAsia="de-AT"/>
        </w:rPr>
        <w:t>, de la procédure relative à la prévention et à la gestion des conflits d’intérêts au sein des groupes d’experts, en consultation avec le Bureau de l’Organe subsidiaire chargé de fournir des avis scientifiques, techniques et technologique</w:t>
      </w:r>
      <w:r w:rsidR="00EC6482">
        <w:rPr>
          <w:kern w:val="22"/>
          <w:szCs w:val="22"/>
          <w:lang w:val="fr-FR" w:eastAsia="de-AT"/>
        </w:rPr>
        <w:t>s</w:t>
      </w:r>
      <w:r w:rsidRPr="00581912">
        <w:rPr>
          <w:kern w:val="22"/>
          <w:szCs w:val="22"/>
          <w:lang w:val="fr-FR" w:eastAsia="de-AT"/>
        </w:rPr>
        <w:t xml:space="preserve"> ou le Bureau de la Conférence des Parties lorsque celui-ci fait fonction de Bureau de la Conférence des Parties siégeant en tant que réunion des Parties au Protocole de Nagoya, selon qu’il convient;</w:t>
      </w:r>
    </w:p>
    <w:p w14:paraId="52565DEA" w14:textId="77777777" w:rsidR="005D1CE5" w:rsidRPr="00581912" w:rsidRDefault="005D1CE5" w:rsidP="005D1CE5">
      <w:pPr>
        <w:pStyle w:val="ListBullet"/>
        <w:tabs>
          <w:tab w:val="clear" w:pos="360"/>
        </w:tabs>
        <w:spacing w:before="120" w:after="120" w:line="240" w:lineRule="auto"/>
        <w:ind w:firstLine="720"/>
        <w:contextualSpacing w:val="0"/>
        <w:rPr>
          <w:rFonts w:ascii="Times New Roman" w:hAnsi="Times New Roman"/>
          <w:kern w:val="22"/>
          <w:szCs w:val="22"/>
          <w:lang w:val="fr-FR"/>
        </w:rPr>
      </w:pPr>
      <w:r w:rsidRPr="00581912">
        <w:rPr>
          <w:rFonts w:ascii="Times New Roman" w:hAnsi="Times New Roman"/>
          <w:kern w:val="22"/>
          <w:szCs w:val="22"/>
          <w:lang w:val="fr-FR"/>
        </w:rPr>
        <w:t>3.</w:t>
      </w:r>
      <w:r w:rsidRPr="00581912">
        <w:rPr>
          <w:rFonts w:ascii="Times New Roman" w:hAnsi="Times New Roman"/>
          <w:kern w:val="22"/>
          <w:szCs w:val="22"/>
          <w:lang w:val="fr-FR"/>
        </w:rPr>
        <w:tab/>
      </w:r>
      <w:r w:rsidRPr="00581912">
        <w:rPr>
          <w:rFonts w:ascii="Times New Roman" w:hAnsi="Times New Roman"/>
          <w:i/>
          <w:iCs/>
          <w:kern w:val="22"/>
          <w:szCs w:val="22"/>
          <w:lang w:val="fr-FR"/>
        </w:rPr>
        <w:t>Prie également</w:t>
      </w:r>
      <w:r w:rsidRPr="00581912">
        <w:rPr>
          <w:rFonts w:ascii="Times New Roman" w:hAnsi="Times New Roman"/>
          <w:kern w:val="22"/>
          <w:szCs w:val="22"/>
          <w:lang w:val="fr-FR"/>
        </w:rPr>
        <w:t xml:space="preserve"> la Secrétaire exécutive de préparer un rapport sur : a) l’application de la procédure, et b) les évolutions pertinentes en matière de prévention ou de gestion de conflits d’intérêts dans le cadre d’autres accords multilatéraux, initiatives ou organisations intergouvernementales de protection de l’environnement et, s’il y a lieu, de proposer des mises à jour et des modifications de la procédure actuelle, aux fins d’examen par l’Organe subsidiaire chargé de l’application lors d’une réunion qui se tiendra avant la </w:t>
      </w:r>
      <w:r w:rsidR="00293D46">
        <w:rPr>
          <w:rFonts w:ascii="Times New Roman" w:hAnsi="Times New Roman"/>
          <w:kern w:val="22"/>
          <w:szCs w:val="22"/>
          <w:lang w:val="fr-FR"/>
        </w:rPr>
        <w:t>cinquième</w:t>
      </w:r>
      <w:r w:rsidRPr="00581912">
        <w:rPr>
          <w:rFonts w:ascii="Times New Roman" w:hAnsi="Times New Roman"/>
          <w:kern w:val="22"/>
          <w:szCs w:val="22"/>
          <w:lang w:val="fr-FR"/>
        </w:rPr>
        <w:t xml:space="preserve"> réunion de la Conférence des Parties</w:t>
      </w:r>
      <w:r w:rsidR="00293D46">
        <w:rPr>
          <w:rFonts w:ascii="Times New Roman" w:hAnsi="Times New Roman"/>
          <w:kern w:val="22"/>
          <w:szCs w:val="22"/>
          <w:lang w:val="fr-FR"/>
        </w:rPr>
        <w:t xml:space="preserve"> siégeant en tant que réunion des Parties au Protocole de Nagoya</w:t>
      </w:r>
      <w:r w:rsidRPr="00581912">
        <w:rPr>
          <w:rFonts w:ascii="Times New Roman" w:hAnsi="Times New Roman"/>
          <w:kern w:val="22"/>
          <w:szCs w:val="22"/>
          <w:lang w:val="fr-FR"/>
        </w:rPr>
        <w:t>;</w:t>
      </w:r>
    </w:p>
    <w:p w14:paraId="565DBABD" w14:textId="77777777" w:rsidR="00FE56C7" w:rsidRPr="005D1CE5" w:rsidRDefault="005D1CE5" w:rsidP="005D1CE5">
      <w:pPr>
        <w:pStyle w:val="ListBullet"/>
        <w:suppressLineNumbers/>
        <w:tabs>
          <w:tab w:val="clear" w:pos="360"/>
        </w:tabs>
        <w:suppressAutoHyphens/>
        <w:spacing w:before="120" w:after="120" w:line="240" w:lineRule="auto"/>
        <w:ind w:firstLine="720"/>
        <w:contextualSpacing w:val="0"/>
        <w:rPr>
          <w:rFonts w:ascii="Times New Roman" w:hAnsi="Times New Roman"/>
          <w:kern w:val="22"/>
          <w:szCs w:val="22"/>
          <w:lang w:val="fr-CA" w:eastAsia="en-CA"/>
        </w:rPr>
      </w:pPr>
      <w:r w:rsidRPr="00581912">
        <w:rPr>
          <w:rFonts w:ascii="Times New Roman" w:hAnsi="Times New Roman"/>
          <w:kern w:val="22"/>
          <w:szCs w:val="22"/>
          <w:lang w:val="fr-FR"/>
        </w:rPr>
        <w:t>4.</w:t>
      </w:r>
      <w:r w:rsidRPr="00581912">
        <w:rPr>
          <w:rFonts w:ascii="Times New Roman" w:hAnsi="Times New Roman"/>
          <w:kern w:val="22"/>
          <w:szCs w:val="22"/>
          <w:lang w:val="fr-FR"/>
        </w:rPr>
        <w:tab/>
      </w:r>
      <w:r w:rsidRPr="00581912">
        <w:rPr>
          <w:rFonts w:ascii="Times New Roman" w:hAnsi="Times New Roman"/>
          <w:i/>
          <w:iCs/>
          <w:kern w:val="22"/>
          <w:szCs w:val="22"/>
          <w:lang w:val="fr-FR"/>
        </w:rPr>
        <w:t xml:space="preserve">Prie </w:t>
      </w:r>
      <w:r w:rsidRPr="00581912">
        <w:rPr>
          <w:rFonts w:ascii="Times New Roman" w:hAnsi="Times New Roman"/>
          <w:kern w:val="22"/>
          <w:szCs w:val="22"/>
          <w:lang w:val="fr-FR"/>
        </w:rPr>
        <w:t>l’Organe subsidiaire chargé de l’application d’examiner le rapport dont il est question au paragraphe 3 ci</w:t>
      </w:r>
      <w:r w:rsidRPr="00581912">
        <w:rPr>
          <w:rFonts w:ascii="Times New Roman" w:hAnsi="Times New Roman"/>
          <w:kern w:val="22"/>
          <w:szCs w:val="22"/>
          <w:lang w:val="fr-FR"/>
        </w:rPr>
        <w:noBreakHyphen/>
        <w:t xml:space="preserve">dessus et de soumettre des recommandations, selon qu’il convient, pour examen par la </w:t>
      </w:r>
      <w:r w:rsidRPr="00581912">
        <w:rPr>
          <w:rFonts w:ascii="Times New Roman" w:hAnsi="Times New Roman"/>
          <w:kern w:val="22"/>
          <w:szCs w:val="22"/>
          <w:lang w:val="fr-FR"/>
        </w:rPr>
        <w:lastRenderedPageBreak/>
        <w:t>Conférence des Parties</w:t>
      </w:r>
      <w:r w:rsidR="00293D46">
        <w:rPr>
          <w:rFonts w:ascii="Times New Roman" w:hAnsi="Times New Roman"/>
          <w:kern w:val="22"/>
          <w:szCs w:val="22"/>
          <w:lang w:val="fr-FR"/>
        </w:rPr>
        <w:t xml:space="preserve"> siégeant en tant que réunion des Parties au Protocole de Nagoya, à sa cinquième réunion</w:t>
      </w:r>
      <w:r w:rsidR="00FE56C7" w:rsidRPr="005D1CE5">
        <w:rPr>
          <w:rFonts w:ascii="Times New Roman" w:hAnsi="Times New Roman"/>
          <w:kern w:val="22"/>
          <w:szCs w:val="22"/>
          <w:lang w:val="fr-CA"/>
        </w:rPr>
        <w:t>.</w:t>
      </w:r>
    </w:p>
    <w:p w14:paraId="64D1D19B" w14:textId="77777777" w:rsidR="00427D21" w:rsidRPr="005D1CE5" w:rsidRDefault="00427D21" w:rsidP="00405146">
      <w:pPr>
        <w:pStyle w:val="Para1"/>
        <w:numPr>
          <w:ilvl w:val="0"/>
          <w:numId w:val="0"/>
        </w:numPr>
        <w:rPr>
          <w:kern w:val="22"/>
          <w:szCs w:val="22"/>
          <w:lang w:val="fr-CA"/>
        </w:rPr>
      </w:pPr>
    </w:p>
    <w:p w14:paraId="60630531" w14:textId="77777777" w:rsidR="00C9161D" w:rsidRPr="00582B26" w:rsidRDefault="00C9161D" w:rsidP="00C9161D">
      <w:pPr>
        <w:jc w:val="center"/>
        <w:rPr>
          <w:kern w:val="22"/>
          <w:szCs w:val="22"/>
        </w:rPr>
      </w:pPr>
      <w:r w:rsidRPr="00582B26">
        <w:rPr>
          <w:kern w:val="22"/>
          <w:szCs w:val="22"/>
        </w:rPr>
        <w:t>______</w:t>
      </w:r>
      <w:r w:rsidR="001B2A59" w:rsidRPr="00582B26">
        <w:rPr>
          <w:kern w:val="22"/>
          <w:szCs w:val="22"/>
        </w:rPr>
        <w:t>____</w:t>
      </w:r>
    </w:p>
    <w:p w14:paraId="51CB197E" w14:textId="77777777" w:rsidR="00B3369F" w:rsidRPr="00582B26" w:rsidRDefault="00B3369F" w:rsidP="00C9161D">
      <w:pPr>
        <w:rPr>
          <w:kern w:val="22"/>
          <w:szCs w:val="22"/>
        </w:rPr>
      </w:pPr>
      <w:bookmarkStart w:id="2" w:name="_GoBack"/>
      <w:bookmarkEnd w:id="2"/>
    </w:p>
    <w:sectPr w:rsidR="00B3369F" w:rsidRPr="00582B26"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48F35" w14:textId="77777777" w:rsidR="00C403B1" w:rsidRDefault="00C403B1" w:rsidP="00CF1848">
      <w:r>
        <w:separator/>
      </w:r>
    </w:p>
  </w:endnote>
  <w:endnote w:type="continuationSeparator" w:id="0">
    <w:p w14:paraId="544C2291" w14:textId="77777777" w:rsidR="00C403B1" w:rsidRDefault="00C403B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4AA31" w14:textId="77777777" w:rsidR="00C403B1" w:rsidRDefault="00C403B1" w:rsidP="00CF1848">
      <w:r>
        <w:separator/>
      </w:r>
    </w:p>
  </w:footnote>
  <w:footnote w:type="continuationSeparator" w:id="0">
    <w:p w14:paraId="129DB591" w14:textId="77777777" w:rsidR="00C403B1" w:rsidRDefault="00C403B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0A976C6E" w14:textId="77777777" w:rsidR="00534681" w:rsidRPr="00582B26" w:rsidRDefault="00CA45B3" w:rsidP="00534681">
        <w:pPr>
          <w:pStyle w:val="Header"/>
          <w:rPr>
            <w:lang w:val="fr-FR"/>
          </w:rPr>
        </w:pPr>
        <w:r w:rsidRPr="00582B26">
          <w:rPr>
            <w:lang w:val="fr-FR"/>
          </w:rPr>
          <w:t>CBD/NP/MOP/DEC/3/11</w:t>
        </w:r>
      </w:p>
    </w:sdtContent>
  </w:sdt>
  <w:p w14:paraId="6E276DC2"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34E8A">
      <w:rPr>
        <w:noProof/>
        <w:lang w:val="fr-FR"/>
      </w:rPr>
      <w:t>2</w:t>
    </w:r>
    <w:r>
      <w:rPr>
        <w:noProof/>
      </w:rPr>
      <w:fldChar w:fldCharType="end"/>
    </w:r>
  </w:p>
  <w:p w14:paraId="79AA9559"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7C726B04" w14:textId="77777777" w:rsidR="009505C9" w:rsidRPr="00582B26" w:rsidRDefault="00CA45B3" w:rsidP="009505C9">
        <w:pPr>
          <w:pStyle w:val="Header"/>
          <w:jc w:val="right"/>
          <w:rPr>
            <w:lang w:val="fr-FR"/>
          </w:rPr>
        </w:pPr>
        <w:r w:rsidRPr="00582B26">
          <w:rPr>
            <w:lang w:val="fr-FR"/>
          </w:rPr>
          <w:t>CBD/NP/MOP/DEC/3/11</w:t>
        </w:r>
      </w:p>
    </w:sdtContent>
  </w:sdt>
  <w:p w14:paraId="4C807356"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76D57FE2"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0" w:nlCheck="1" w:checkStyle="0"/>
  <w:activeWritingStyle w:appName="MSWord" w:lang="fr-CA" w:vendorID="64" w:dllVersion="0" w:nlCheck="1" w:checkStyle="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7471A"/>
    <w:rsid w:val="000B5900"/>
    <w:rsid w:val="000E1F7F"/>
    <w:rsid w:val="000E673A"/>
    <w:rsid w:val="000F74F5"/>
    <w:rsid w:val="00105372"/>
    <w:rsid w:val="001246A8"/>
    <w:rsid w:val="00131E7A"/>
    <w:rsid w:val="00172AF6"/>
    <w:rsid w:val="00176CEE"/>
    <w:rsid w:val="001B09F0"/>
    <w:rsid w:val="001B2A59"/>
    <w:rsid w:val="00234431"/>
    <w:rsid w:val="00234E8A"/>
    <w:rsid w:val="002762B9"/>
    <w:rsid w:val="00293D46"/>
    <w:rsid w:val="002C2D2D"/>
    <w:rsid w:val="002F47CF"/>
    <w:rsid w:val="00350E85"/>
    <w:rsid w:val="00372F74"/>
    <w:rsid w:val="003F7224"/>
    <w:rsid w:val="00405146"/>
    <w:rsid w:val="0042412C"/>
    <w:rsid w:val="00427D21"/>
    <w:rsid w:val="004441D3"/>
    <w:rsid w:val="004561D8"/>
    <w:rsid w:val="00457378"/>
    <w:rsid w:val="004644C2"/>
    <w:rsid w:val="00467F9C"/>
    <w:rsid w:val="004A4621"/>
    <w:rsid w:val="004A6641"/>
    <w:rsid w:val="00503A09"/>
    <w:rsid w:val="005345E1"/>
    <w:rsid w:val="00534681"/>
    <w:rsid w:val="00544044"/>
    <w:rsid w:val="00566714"/>
    <w:rsid w:val="00582B26"/>
    <w:rsid w:val="00584A17"/>
    <w:rsid w:val="005D1CE5"/>
    <w:rsid w:val="005F2FD1"/>
    <w:rsid w:val="006122BA"/>
    <w:rsid w:val="0061445E"/>
    <w:rsid w:val="0065139C"/>
    <w:rsid w:val="006B2290"/>
    <w:rsid w:val="006F1189"/>
    <w:rsid w:val="006F58B4"/>
    <w:rsid w:val="00713B47"/>
    <w:rsid w:val="00717D88"/>
    <w:rsid w:val="007942D3"/>
    <w:rsid w:val="007970E7"/>
    <w:rsid w:val="007B3F26"/>
    <w:rsid w:val="007B6C09"/>
    <w:rsid w:val="007E09DA"/>
    <w:rsid w:val="008178B6"/>
    <w:rsid w:val="00865B74"/>
    <w:rsid w:val="008A1722"/>
    <w:rsid w:val="008C31CC"/>
    <w:rsid w:val="00912A67"/>
    <w:rsid w:val="00930BA1"/>
    <w:rsid w:val="0093169E"/>
    <w:rsid w:val="009505C9"/>
    <w:rsid w:val="00982EE9"/>
    <w:rsid w:val="009C200D"/>
    <w:rsid w:val="00A454EF"/>
    <w:rsid w:val="00A45824"/>
    <w:rsid w:val="00A73F16"/>
    <w:rsid w:val="00A7459E"/>
    <w:rsid w:val="00A858DA"/>
    <w:rsid w:val="00AD1410"/>
    <w:rsid w:val="00B2183B"/>
    <w:rsid w:val="00B3369F"/>
    <w:rsid w:val="00B47FFE"/>
    <w:rsid w:val="00B93204"/>
    <w:rsid w:val="00C35537"/>
    <w:rsid w:val="00C403B1"/>
    <w:rsid w:val="00C60381"/>
    <w:rsid w:val="00C61EDF"/>
    <w:rsid w:val="00C63EBC"/>
    <w:rsid w:val="00C9161D"/>
    <w:rsid w:val="00CA45B3"/>
    <w:rsid w:val="00CF1848"/>
    <w:rsid w:val="00D115C8"/>
    <w:rsid w:val="00D12044"/>
    <w:rsid w:val="00D76A18"/>
    <w:rsid w:val="00D81852"/>
    <w:rsid w:val="00DD118C"/>
    <w:rsid w:val="00DD2CBF"/>
    <w:rsid w:val="00DE253C"/>
    <w:rsid w:val="00E15080"/>
    <w:rsid w:val="00E15A26"/>
    <w:rsid w:val="00E42065"/>
    <w:rsid w:val="00E4227C"/>
    <w:rsid w:val="00E66235"/>
    <w:rsid w:val="00E83C24"/>
    <w:rsid w:val="00E9318D"/>
    <w:rsid w:val="00E96A43"/>
    <w:rsid w:val="00EC6482"/>
    <w:rsid w:val="00F67283"/>
    <w:rsid w:val="00F94774"/>
    <w:rsid w:val="00FC53DB"/>
    <w:rsid w:val="00FE56C7"/>
    <w:rsid w:val="00FE739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4A2DD4"/>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A4621"/>
    <w:pPr>
      <w:spacing w:after="160" w:line="240" w:lineRule="exact"/>
      <w:jc w:val="left"/>
    </w:pPr>
    <w:rPr>
      <w:rFonts w:asciiTheme="minorHAnsi" w:eastAsiaTheme="minorEastAsia" w:hAnsiTheme="minorHAnsi" w:cstheme="minorBidi"/>
      <w:vertAlign w:val="superscript"/>
      <w:lang w:val="fr-CA"/>
    </w:rPr>
  </w:style>
  <w:style w:type="paragraph" w:styleId="ListBullet">
    <w:name w:val="List Bullet"/>
    <w:aliases w:val="UL 1"/>
    <w:basedOn w:val="Normal"/>
    <w:uiPriority w:val="9"/>
    <w:qFormat/>
    <w:rsid w:val="00FE56C7"/>
    <w:pPr>
      <w:tabs>
        <w:tab w:val="num" w:pos="360"/>
      </w:tabs>
      <w:spacing w:line="276" w:lineRule="auto"/>
      <w:contextualSpacing/>
    </w:pPr>
    <w:rPr>
      <w:rFonts w:ascii="Arial" w:hAnsi="Arial"/>
      <w:lang w:val="de-AT" w:eastAsia="de-AT"/>
    </w:rPr>
  </w:style>
  <w:style w:type="paragraph" w:styleId="CommentSubject">
    <w:name w:val="annotation subject"/>
    <w:basedOn w:val="CommentText"/>
    <w:next w:val="CommentText"/>
    <w:link w:val="CommentSubjectChar"/>
    <w:uiPriority w:val="99"/>
    <w:semiHidden/>
    <w:unhideWhenUsed/>
    <w:rsid w:val="00E4227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4227C"/>
    <w:rPr>
      <w:rFonts w:ascii="Times New Roman" w:eastAsia="Times New Roman" w:hAnsi="Times New Roman" w:cs="Times New Roman"/>
      <w:b/>
      <w:bCs/>
      <w:sz w:val="20"/>
      <w:szCs w:val="20"/>
      <w:lang w:val="en-GB"/>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5D1CE5"/>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282152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BF5E8CF906449808F02A14DE8F1E3AD"/>
        <w:category>
          <w:name w:val="General"/>
          <w:gallery w:val="placeholder"/>
        </w:category>
        <w:types>
          <w:type w:val="bbPlcHdr"/>
        </w:types>
        <w:behaviors>
          <w:behavior w:val="content"/>
        </w:behaviors>
        <w:guid w:val="{ACD3303E-C4F0-4547-899B-1A7D0BD1AB57}"/>
      </w:docPartPr>
      <w:docPartBody>
        <w:p w:rsidR="000E73FC" w:rsidRDefault="00B93FD6" w:rsidP="00B93FD6">
          <w:pPr>
            <w:pStyle w:val="4BF5E8CF906449808F02A14DE8F1E3AD"/>
          </w:pPr>
          <w:r w:rsidRPr="007E02EB">
            <w:rPr>
              <w:rStyle w:val="PlaceholderText"/>
            </w:rPr>
            <w:t>[Status]</w:t>
          </w:r>
        </w:p>
      </w:docPartBody>
    </w:docPart>
    <w:docPart>
      <w:docPartPr>
        <w:name w:val="79B4BFBC9D8A48D1B48F0ACA09DB5729"/>
        <w:category>
          <w:name w:val="General"/>
          <w:gallery w:val="placeholder"/>
        </w:category>
        <w:types>
          <w:type w:val="bbPlcHdr"/>
        </w:types>
        <w:behaviors>
          <w:behavior w:val="content"/>
        </w:behaviors>
        <w:guid w:val="{B9B0EB03-F2C0-4215-A606-FE8EBB6A6BCE}"/>
      </w:docPartPr>
      <w:docPartBody>
        <w:p w:rsidR="000E73FC" w:rsidRDefault="00B93FD6" w:rsidP="00B93FD6">
          <w:pPr>
            <w:pStyle w:val="79B4BFBC9D8A48D1B48F0ACA09DB5729"/>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E73FC"/>
    <w:rsid w:val="00127D4D"/>
    <w:rsid w:val="00261E9A"/>
    <w:rsid w:val="00500A2B"/>
    <w:rsid w:val="0058288D"/>
    <w:rsid w:val="005F063A"/>
    <w:rsid w:val="00673FD2"/>
    <w:rsid w:val="006801B3"/>
    <w:rsid w:val="00720F63"/>
    <w:rsid w:val="007F1B76"/>
    <w:rsid w:val="00810A55"/>
    <w:rsid w:val="00836332"/>
    <w:rsid w:val="008C6619"/>
    <w:rsid w:val="008D420E"/>
    <w:rsid w:val="0098642F"/>
    <w:rsid w:val="00B93FD6"/>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3FD6"/>
  </w:style>
  <w:style w:type="paragraph" w:customStyle="1" w:styleId="C444DEE40D7C456B82AF1A09CD132ABF">
    <w:name w:val="C444DEE40D7C456B82AF1A09CD132ABF"/>
    <w:rsid w:val="00CE6602"/>
    <w:pPr>
      <w:spacing w:after="160" w:line="259" w:lineRule="auto"/>
    </w:pPr>
  </w:style>
  <w:style w:type="paragraph" w:customStyle="1" w:styleId="4BF5E8CF906449808F02A14DE8F1E3AD">
    <w:name w:val="4BF5E8CF906449808F02A14DE8F1E3AD"/>
    <w:rsid w:val="00B93FD6"/>
    <w:pPr>
      <w:spacing w:after="160" w:line="259" w:lineRule="auto"/>
    </w:pPr>
    <w:rPr>
      <w:lang w:val="en-CA" w:eastAsia="en-CA"/>
    </w:rPr>
  </w:style>
  <w:style w:type="paragraph" w:customStyle="1" w:styleId="79B4BFBC9D8A48D1B48F0ACA09DB5729">
    <w:name w:val="79B4BFBC9D8A48D1B48F0ACA09DB5729"/>
    <w:rsid w:val="00B93FD6"/>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A35B54-23A4-4C48-AF0A-9D59E17D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437</Words>
  <Characters>2491</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3/11.	Procedure for avoiding or managing conflicts of interest in expert groups</vt:lpstr>
      <vt:lpstr>3/11.	Procedure for avoiding or managing conflicts of interest in expert groups</vt:lpstr>
    </vt:vector>
  </TitlesOfParts>
  <Company>SCBD</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Procédure relative à la prévention et à la gestion des conflits d’intérêts au sein des groupes d’experts</dc:title>
  <dc:subject>CBD/NP/MOP/DEC/3/11</dc:subject>
  <dc:creator>NP MOP 3</dc:creator>
  <cp:keywords>Procedure for avoiding or managing conflicts of interest in expert groups, Review of the effectiveness of structures and processes, Nagoya Protocol on Access to Genetic Resources and the Fair and Equitable Sharing of Benefits Arising from Their Utilization, Convention on Biological Diversity</cp:keywords>
  <cp:lastModifiedBy>Tatiana Zavarzina</cp:lastModifiedBy>
  <cp:revision>5</cp:revision>
  <dcterms:created xsi:type="dcterms:W3CDTF">2019-02-20T17:54:00Z</dcterms:created>
  <dcterms:modified xsi:type="dcterms:W3CDTF">2019-02-26T18:08:00Z</dcterms:modified>
  <cp:contentStatus>GÉNÉRALE</cp:contentStatus>
</cp:coreProperties>
</file>