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D5F92" w14:paraId="3F9A175B" w14:textId="77777777" w:rsidTr="00396CED">
        <w:trPr>
          <w:trHeight w:val="709"/>
        </w:trPr>
        <w:tc>
          <w:tcPr>
            <w:tcW w:w="976" w:type="dxa"/>
            <w:tcBorders>
              <w:bottom w:val="single" w:sz="12" w:space="0" w:color="auto"/>
            </w:tcBorders>
          </w:tcPr>
          <w:p w14:paraId="606AF947" w14:textId="77777777" w:rsidR="002D5F92" w:rsidRDefault="002D5F92" w:rsidP="00396CED">
            <w:r>
              <w:rPr>
                <w:noProof/>
                <w:lang w:val="fr-CA" w:eastAsia="fr-CA"/>
              </w:rPr>
              <w:drawing>
                <wp:inline distT="0" distB="0" distL="0" distR="0" wp14:anchorId="02ED7FF1" wp14:editId="6C51E0C4">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02E9FC27" w14:textId="77777777" w:rsidR="002D5F92" w:rsidRDefault="002D5F92" w:rsidP="00396CED">
            <w:r>
              <w:rPr>
                <w:noProof/>
                <w:lang w:val="fr-CA" w:eastAsia="fr-CA"/>
              </w:rPr>
              <w:drawing>
                <wp:inline distT="0" distB="0" distL="0" distR="0" wp14:anchorId="1C28C375" wp14:editId="62DF1A78">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657B207C" w14:textId="77777777" w:rsidR="002D5F92" w:rsidRPr="00C9161D" w:rsidRDefault="002D5F92" w:rsidP="00396CED">
            <w:pPr>
              <w:jc w:val="right"/>
              <w:rPr>
                <w:rFonts w:ascii="Arial" w:hAnsi="Arial" w:cs="Arial"/>
                <w:b/>
                <w:sz w:val="32"/>
                <w:szCs w:val="32"/>
              </w:rPr>
            </w:pPr>
            <w:r w:rsidRPr="00C9161D">
              <w:rPr>
                <w:rFonts w:ascii="Arial" w:hAnsi="Arial" w:cs="Arial"/>
                <w:b/>
                <w:sz w:val="32"/>
                <w:szCs w:val="32"/>
              </w:rPr>
              <w:t>CBD</w:t>
            </w:r>
          </w:p>
        </w:tc>
      </w:tr>
      <w:tr w:rsidR="002D5F92" w:rsidRPr="00C95DDA" w14:paraId="1C1C40C5" w14:textId="77777777" w:rsidTr="00396CED">
        <w:tc>
          <w:tcPr>
            <w:tcW w:w="6117" w:type="dxa"/>
            <w:gridSpan w:val="2"/>
            <w:tcBorders>
              <w:top w:val="single" w:sz="12" w:space="0" w:color="auto"/>
              <w:bottom w:val="single" w:sz="36" w:space="0" w:color="auto"/>
            </w:tcBorders>
            <w:vAlign w:val="center"/>
          </w:tcPr>
          <w:p w14:paraId="157ED487" w14:textId="285EFC33" w:rsidR="002D5F92" w:rsidRPr="00C95DDA" w:rsidRDefault="00DF6D3C" w:rsidP="00396CED">
            <w:pPr>
              <w:rPr>
                <w:lang w:val="fr-CA"/>
              </w:rPr>
            </w:pPr>
            <w:r w:rsidRPr="00C95DDA">
              <w:rPr>
                <w:bCs/>
                <w:noProof/>
                <w:szCs w:val="22"/>
                <w:lang w:val="fr-CA" w:eastAsia="fr-CA"/>
              </w:rPr>
              <w:drawing>
                <wp:inline distT="0" distB="0" distL="0" distR="0" wp14:anchorId="5EFE0977" wp14:editId="52BE0B5F">
                  <wp:extent cx="2857500" cy="1076325"/>
                  <wp:effectExtent l="0" t="0" r="0" b="0"/>
                  <wp:docPr id="2" name="Pictur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3DAC0A0C" w14:textId="77777777" w:rsidR="002D5F92" w:rsidRPr="00C95DDA" w:rsidRDefault="002D5F92" w:rsidP="00396CED">
            <w:pPr>
              <w:ind w:left="1215"/>
              <w:rPr>
                <w:szCs w:val="22"/>
                <w:lang w:val="fr-CA"/>
              </w:rPr>
            </w:pPr>
            <w:proofErr w:type="spellStart"/>
            <w:r w:rsidRPr="00C95DDA">
              <w:rPr>
                <w:szCs w:val="22"/>
                <w:lang w:val="fr-CA"/>
              </w:rPr>
              <w:t>Distr</w:t>
            </w:r>
            <w:proofErr w:type="spellEnd"/>
            <w:r w:rsidRPr="00C95DDA">
              <w:rPr>
                <w:szCs w:val="22"/>
                <w:lang w:val="fr-CA"/>
              </w:rPr>
              <w:t>.</w:t>
            </w:r>
          </w:p>
          <w:p w14:paraId="0C0A4162" w14:textId="5F1C7F03" w:rsidR="002D5F92" w:rsidRPr="00C95DDA" w:rsidRDefault="001F5380" w:rsidP="00396CED">
            <w:pPr>
              <w:ind w:left="1215"/>
              <w:rPr>
                <w:szCs w:val="22"/>
                <w:lang w:val="fr-CA"/>
              </w:rPr>
            </w:pPr>
            <w:sdt>
              <w:sdtPr>
                <w:rPr>
                  <w:caps/>
                  <w:szCs w:val="22"/>
                  <w:lang w:val="fr-CA"/>
                </w:rPr>
                <w:alias w:val="Status"/>
                <w:tag w:val=""/>
                <w:id w:val="307985777"/>
                <w:placeholder>
                  <w:docPart w:val="2DC15644B7F98D4C8758E5797E157481"/>
                </w:placeholder>
                <w:dataBinding w:prefixMappings="xmlns:ns0='http://purl.org/dc/elements/1.1/' xmlns:ns1='http://schemas.openxmlformats.org/package/2006/metadata/core-properties' " w:xpath="/ns1:coreProperties[1]/ns1:contentStatus[1]" w:storeItemID="{6C3C8BC8-F283-45AE-878A-BAB7291924A1}"/>
                <w:text/>
              </w:sdtPr>
              <w:sdtEndPr/>
              <w:sdtContent>
                <w:r w:rsidR="00DF6D3C" w:rsidRPr="00C95DDA">
                  <w:rPr>
                    <w:caps/>
                    <w:szCs w:val="22"/>
                    <w:lang w:val="fr-CA"/>
                  </w:rPr>
                  <w:t>GÉNÉRALE</w:t>
                </w:r>
              </w:sdtContent>
            </w:sdt>
          </w:p>
          <w:p w14:paraId="007B09F9" w14:textId="77777777" w:rsidR="002D5F92" w:rsidRPr="00C95DDA" w:rsidRDefault="002D5F92" w:rsidP="00396CED">
            <w:pPr>
              <w:ind w:left="1215"/>
              <w:rPr>
                <w:szCs w:val="22"/>
                <w:lang w:val="fr-CA"/>
              </w:rPr>
            </w:pPr>
          </w:p>
          <w:p w14:paraId="0B3A3FDF" w14:textId="7CB85D9E" w:rsidR="002D5F92" w:rsidRPr="00C95DDA" w:rsidRDefault="001F5380" w:rsidP="00396CED">
            <w:pPr>
              <w:ind w:left="1215"/>
              <w:rPr>
                <w:szCs w:val="22"/>
                <w:lang w:val="fr-CA"/>
              </w:rPr>
            </w:pPr>
            <w:sdt>
              <w:sdtPr>
                <w:rPr>
                  <w:lang w:val="fr-CA"/>
                </w:rPr>
                <w:alias w:val="Subject"/>
                <w:tag w:val=""/>
                <w:id w:val="2137136483"/>
                <w:placeholder>
                  <w:docPart w:val="63A7474FA73CC342BBD332D23580261D"/>
                </w:placeholder>
                <w:dataBinding w:prefixMappings="xmlns:ns0='http://purl.org/dc/elements/1.1/' xmlns:ns1='http://schemas.openxmlformats.org/package/2006/metadata/core-properties' " w:xpath="/ns1:coreProperties[1]/ns0:subject[1]" w:storeItemID="{6C3C8BC8-F283-45AE-878A-BAB7291924A1}"/>
                <w:text/>
              </w:sdtPr>
              <w:sdtEndPr/>
              <w:sdtContent>
                <w:r w:rsidR="00D8683D" w:rsidRPr="00C95DDA">
                  <w:rPr>
                    <w:lang w:val="fr-CA"/>
                  </w:rPr>
                  <w:t>CBD/</w:t>
                </w:r>
                <w:proofErr w:type="spellStart"/>
                <w:r w:rsidR="00D8683D" w:rsidRPr="00C95DDA">
                  <w:rPr>
                    <w:lang w:val="fr-CA"/>
                  </w:rPr>
                  <w:t>NP</w:t>
                </w:r>
                <w:proofErr w:type="spellEnd"/>
                <w:r w:rsidR="00D8683D" w:rsidRPr="00C95DDA">
                  <w:rPr>
                    <w:lang w:val="fr-CA"/>
                  </w:rPr>
                  <w:t>/</w:t>
                </w:r>
                <w:proofErr w:type="spellStart"/>
                <w:r w:rsidR="0005027F" w:rsidRPr="00C95DDA">
                  <w:rPr>
                    <w:lang w:val="fr-CA"/>
                  </w:rPr>
                  <w:t>MOP</w:t>
                </w:r>
                <w:proofErr w:type="spellEnd"/>
                <w:r w:rsidR="0005027F" w:rsidRPr="00C95DDA">
                  <w:rPr>
                    <w:lang w:val="fr-CA"/>
                  </w:rPr>
                  <w:t>/DEC/3/14</w:t>
                </w:r>
              </w:sdtContent>
            </w:sdt>
          </w:p>
          <w:p w14:paraId="54B0FA25" w14:textId="308457EE" w:rsidR="002D5F92" w:rsidRPr="00C95DDA" w:rsidRDefault="0005027F" w:rsidP="00396CED">
            <w:pPr>
              <w:ind w:left="1215"/>
              <w:rPr>
                <w:szCs w:val="22"/>
                <w:lang w:val="fr-CA"/>
              </w:rPr>
            </w:pPr>
            <w:r w:rsidRPr="00C95DDA">
              <w:rPr>
                <w:szCs w:val="22"/>
                <w:lang w:val="fr-CA"/>
              </w:rPr>
              <w:t xml:space="preserve">30 </w:t>
            </w:r>
            <w:r w:rsidR="00DF6D3C" w:rsidRPr="00C95DDA">
              <w:rPr>
                <w:szCs w:val="22"/>
                <w:lang w:val="fr-CA"/>
              </w:rPr>
              <w:t>novembre</w:t>
            </w:r>
            <w:r w:rsidR="002D5F92" w:rsidRPr="00C95DDA">
              <w:rPr>
                <w:szCs w:val="22"/>
                <w:lang w:val="fr-CA"/>
              </w:rPr>
              <w:t xml:space="preserve"> 2018</w:t>
            </w:r>
          </w:p>
          <w:p w14:paraId="24794242" w14:textId="77777777" w:rsidR="002D5F92" w:rsidRPr="00C95DDA" w:rsidRDefault="002D5F92" w:rsidP="00396CED">
            <w:pPr>
              <w:ind w:left="1215"/>
              <w:rPr>
                <w:szCs w:val="22"/>
                <w:lang w:val="fr-CA"/>
              </w:rPr>
            </w:pPr>
          </w:p>
          <w:p w14:paraId="652E763D" w14:textId="6BCCF55D" w:rsidR="00DF6D3C" w:rsidRPr="00C95DDA" w:rsidRDefault="00DF6D3C" w:rsidP="00396CED">
            <w:pPr>
              <w:ind w:left="1215"/>
              <w:rPr>
                <w:szCs w:val="22"/>
                <w:lang w:val="fr-CA"/>
              </w:rPr>
            </w:pPr>
            <w:r w:rsidRPr="00C95DDA">
              <w:rPr>
                <w:szCs w:val="22"/>
                <w:lang w:val="fr-CA"/>
              </w:rPr>
              <w:t>FRANÇAIS</w:t>
            </w:r>
          </w:p>
          <w:p w14:paraId="5AEFB3D8" w14:textId="0390D4D8" w:rsidR="002D5F92" w:rsidRPr="00C95DDA" w:rsidRDefault="002D5F92" w:rsidP="00396CED">
            <w:pPr>
              <w:ind w:left="1215"/>
              <w:rPr>
                <w:szCs w:val="22"/>
                <w:lang w:val="fr-CA"/>
              </w:rPr>
            </w:pPr>
            <w:r w:rsidRPr="00C95DDA">
              <w:rPr>
                <w:szCs w:val="22"/>
                <w:lang w:val="fr-CA"/>
              </w:rPr>
              <w:t>ORIGINAL</w:t>
            </w:r>
            <w:r w:rsidR="00DF6D3C" w:rsidRPr="00C95DDA">
              <w:rPr>
                <w:szCs w:val="22"/>
                <w:lang w:val="fr-CA"/>
              </w:rPr>
              <w:t xml:space="preserve"> </w:t>
            </w:r>
            <w:r w:rsidRPr="00C95DDA">
              <w:rPr>
                <w:szCs w:val="22"/>
                <w:lang w:val="fr-CA"/>
              </w:rPr>
              <w:t xml:space="preserve">: </w:t>
            </w:r>
            <w:r w:rsidR="00DF6D3C" w:rsidRPr="00C95DDA">
              <w:rPr>
                <w:szCs w:val="22"/>
                <w:lang w:val="fr-CA"/>
              </w:rPr>
              <w:t>ANGLAIS</w:t>
            </w:r>
          </w:p>
          <w:p w14:paraId="38D34574" w14:textId="77777777" w:rsidR="002D5F92" w:rsidRPr="00C95DDA" w:rsidRDefault="002D5F92" w:rsidP="00396CED">
            <w:pPr>
              <w:rPr>
                <w:lang w:val="fr-CA"/>
              </w:rPr>
            </w:pPr>
          </w:p>
        </w:tc>
      </w:tr>
    </w:tbl>
    <w:p w14:paraId="3A1DEDFE" w14:textId="77777777" w:rsidR="00DF6D3C" w:rsidRPr="00C95DDA" w:rsidRDefault="00DF6D3C" w:rsidP="00DF6D3C">
      <w:pPr>
        <w:suppressLineNumbers/>
        <w:tabs>
          <w:tab w:val="left" w:pos="5580"/>
        </w:tabs>
        <w:suppressAutoHyphens/>
        <w:kinsoku w:val="0"/>
        <w:overflowPunct w:val="0"/>
        <w:autoSpaceDE w:val="0"/>
        <w:autoSpaceDN w:val="0"/>
        <w:ind w:left="170" w:right="3938" w:hanging="170"/>
        <w:jc w:val="left"/>
        <w:rPr>
          <w:rFonts w:eastAsia="Batang"/>
          <w:snapToGrid w:val="0"/>
          <w:kern w:val="22"/>
          <w:lang w:val="fr-CA"/>
        </w:rPr>
      </w:pPr>
      <w:r w:rsidRPr="00C95DDA">
        <w:rPr>
          <w:snapToGrid w:val="0"/>
          <w:kern w:val="22"/>
          <w:lang w:val="fr-CA"/>
        </w:rPr>
        <w:t>CONFÉRENCE DES PARTIES À LA CONVENTION SUR LA DIVERSITÉ BIOLOGIQUE SIÉGEANT EN TANT QUE RÉUNION DES PARTIES AU PROTOCOLE</w:t>
      </w:r>
      <w:r w:rsidRPr="00C95DDA">
        <w:rPr>
          <w:rFonts w:eastAsia="Batang"/>
          <w:snapToGrid w:val="0"/>
          <w:kern w:val="22"/>
          <w:lang w:val="fr-CA"/>
        </w:rPr>
        <w:t xml:space="preserve"> DE NAGOYA SUR L’ACCÈS AUX RESSOURCES GÉNÉTIQUES ET LE PARTAGE JUSTE ET ÉQUITABLE DES AVANTAGES DÉCOULANT DE LEUR UTILISATION</w:t>
      </w:r>
    </w:p>
    <w:p w14:paraId="293FF028" w14:textId="77777777" w:rsidR="00DF6D3C" w:rsidRPr="00C95DDA" w:rsidRDefault="00DF6D3C" w:rsidP="00DF6D3C">
      <w:pPr>
        <w:suppressLineNumbers/>
        <w:suppressAutoHyphens/>
        <w:kinsoku w:val="0"/>
        <w:overflowPunct w:val="0"/>
        <w:autoSpaceDE w:val="0"/>
        <w:autoSpaceDN w:val="0"/>
        <w:ind w:left="170" w:right="3119" w:hanging="170"/>
        <w:jc w:val="left"/>
        <w:rPr>
          <w:rFonts w:eastAsia="Batang"/>
          <w:snapToGrid w:val="0"/>
          <w:kern w:val="22"/>
          <w:lang w:val="fr-CA"/>
        </w:rPr>
      </w:pPr>
      <w:r w:rsidRPr="00C95DDA">
        <w:rPr>
          <w:rFonts w:eastAsia="Batang"/>
          <w:snapToGrid w:val="0"/>
          <w:kern w:val="22"/>
          <w:lang w:val="fr-CA"/>
        </w:rPr>
        <w:t>Troisième réunion</w:t>
      </w:r>
    </w:p>
    <w:p w14:paraId="14ED01EE" w14:textId="76D1BA7F" w:rsidR="00DF6D3C" w:rsidRPr="00C95DDA" w:rsidRDefault="00DF6D3C" w:rsidP="00DF6D3C">
      <w:pPr>
        <w:suppressLineNumbers/>
        <w:suppressAutoHyphens/>
        <w:kinsoku w:val="0"/>
        <w:overflowPunct w:val="0"/>
        <w:autoSpaceDE w:val="0"/>
        <w:autoSpaceDN w:val="0"/>
        <w:rPr>
          <w:snapToGrid w:val="0"/>
          <w:kern w:val="22"/>
          <w:szCs w:val="22"/>
          <w:lang w:val="fr-CA" w:eastAsia="nb-NO"/>
        </w:rPr>
      </w:pPr>
      <w:bookmarkStart w:id="0" w:name="_Hlk505863673"/>
      <w:r w:rsidRPr="00C95DDA">
        <w:rPr>
          <w:noProof/>
          <w:snapToGrid w:val="0"/>
          <w:kern w:val="22"/>
          <w:szCs w:val="22"/>
          <w:lang w:val="fr-CA" w:eastAsia="nb-NO"/>
        </w:rPr>
        <w:t>Charm el</w:t>
      </w:r>
      <w:r w:rsidRPr="00C95DDA">
        <w:rPr>
          <w:noProof/>
          <w:snapToGrid w:val="0"/>
          <w:kern w:val="22"/>
          <w:szCs w:val="22"/>
          <w:lang w:val="fr-CA" w:eastAsia="nb-NO"/>
        </w:rPr>
        <w:noBreakHyphen/>
        <w:t>Cheikh</w:t>
      </w:r>
      <w:r w:rsidR="00C95DDA">
        <w:rPr>
          <w:noProof/>
          <w:snapToGrid w:val="0"/>
          <w:kern w:val="22"/>
          <w:szCs w:val="22"/>
          <w:lang w:val="fr-CA" w:eastAsia="nb-NO"/>
        </w:rPr>
        <w:t>, É</w:t>
      </w:r>
      <w:r w:rsidRPr="00C95DDA">
        <w:rPr>
          <w:noProof/>
          <w:snapToGrid w:val="0"/>
          <w:kern w:val="22"/>
          <w:szCs w:val="22"/>
          <w:lang w:val="fr-CA" w:eastAsia="nb-NO"/>
        </w:rPr>
        <w:t>gypt</w:t>
      </w:r>
      <w:bookmarkEnd w:id="0"/>
      <w:r w:rsidRPr="00C95DDA">
        <w:rPr>
          <w:noProof/>
          <w:snapToGrid w:val="0"/>
          <w:kern w:val="22"/>
          <w:szCs w:val="22"/>
          <w:lang w:val="fr-CA" w:eastAsia="nb-NO"/>
        </w:rPr>
        <w:t>e</w:t>
      </w:r>
      <w:r w:rsidRPr="00C95DDA">
        <w:rPr>
          <w:snapToGrid w:val="0"/>
          <w:kern w:val="22"/>
          <w:szCs w:val="22"/>
          <w:lang w:val="fr-CA" w:eastAsia="nb-NO"/>
        </w:rPr>
        <w:t>, 17</w:t>
      </w:r>
      <w:r w:rsidRPr="00C95DDA">
        <w:rPr>
          <w:snapToGrid w:val="0"/>
          <w:kern w:val="22"/>
          <w:szCs w:val="22"/>
          <w:lang w:val="fr-CA" w:eastAsia="nb-NO"/>
        </w:rPr>
        <w:noBreakHyphen/>
        <w:t>29 novembre 2018</w:t>
      </w:r>
    </w:p>
    <w:p w14:paraId="0B9BBCE1" w14:textId="2C02AC05" w:rsidR="00C9161D" w:rsidRPr="00C95DDA" w:rsidRDefault="00DF6D3C" w:rsidP="00DF6D3C">
      <w:pPr>
        <w:rPr>
          <w:szCs w:val="22"/>
          <w:lang w:val="fr-CA"/>
        </w:rPr>
      </w:pPr>
      <w:r w:rsidRPr="00C95DDA">
        <w:rPr>
          <w:snapToGrid w:val="0"/>
          <w:kern w:val="22"/>
          <w:szCs w:val="22"/>
          <w:lang w:val="fr-CA"/>
        </w:rPr>
        <w:t>Point 18</w:t>
      </w:r>
      <w:r w:rsidRPr="00C95DDA">
        <w:rPr>
          <w:snapToGrid w:val="0"/>
          <w:kern w:val="22"/>
          <w:szCs w:val="22"/>
          <w:lang w:val="fr-CA"/>
        </w:rPr>
        <w:t xml:space="preserve"> de l’ordre du jour</w:t>
      </w:r>
    </w:p>
    <w:p w14:paraId="682193ED" w14:textId="01CEBC01" w:rsidR="0005027F" w:rsidRPr="00C95DDA" w:rsidRDefault="00C95DDA" w:rsidP="007E23CD">
      <w:pPr>
        <w:pStyle w:val="Titre1"/>
        <w:tabs>
          <w:tab w:val="clear" w:pos="720"/>
        </w:tabs>
        <w:rPr>
          <w:rFonts w:ascii="Times New Roman Bold" w:hAnsi="Times New Roman Bold"/>
          <w:szCs w:val="22"/>
          <w:lang w:val="fr-CA"/>
        </w:rPr>
      </w:pPr>
      <w:r w:rsidRPr="00C95DDA">
        <w:rPr>
          <w:rFonts w:ascii="Times New Roman Bold" w:hAnsi="Times New Roman Bold"/>
          <w:lang w:val="fr-CA"/>
        </w:rPr>
        <w:t>décision adoptée par les parties au protocole de nagoya sur l’accès et le partage des avantages</w:t>
      </w:r>
    </w:p>
    <w:p w14:paraId="70A9BE08" w14:textId="76BBFE1F" w:rsidR="00C9161D" w:rsidRPr="00C95DDA" w:rsidRDefault="0005027F" w:rsidP="007E23CD">
      <w:pPr>
        <w:pStyle w:val="recommendationheader"/>
        <w:tabs>
          <w:tab w:val="clear" w:pos="720"/>
        </w:tabs>
        <w:ind w:left="851" w:hanging="567"/>
        <w:jc w:val="left"/>
        <w:rPr>
          <w:caps/>
          <w:lang w:val="fr-CA"/>
        </w:rPr>
      </w:pPr>
      <w:r w:rsidRPr="00C95DDA">
        <w:rPr>
          <w:caps/>
          <w:snapToGrid w:val="0"/>
          <w:lang w:val="fr-CA"/>
        </w:rPr>
        <w:t>3/14.</w:t>
      </w:r>
      <w:r w:rsidRPr="00C95DDA">
        <w:rPr>
          <w:caps/>
          <w:snapToGrid w:val="0"/>
          <w:lang w:val="fr-CA"/>
        </w:rPr>
        <w:tab/>
      </w:r>
      <w:sdt>
        <w:sdtPr>
          <w:rPr>
            <w:caps/>
            <w:snapToGrid w:val="0"/>
            <w:szCs w:val="22"/>
            <w:lang w:val="fr-CA"/>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00C95DDA" w:rsidRPr="00C95DDA">
            <w:rPr>
              <w:snapToGrid w:val="0"/>
              <w:szCs w:val="22"/>
              <w:lang w:val="fr-CA"/>
            </w:rPr>
            <w:t>Instruments internationaux spéciaux sur l'accès et le partage des avantages dans le contexte du paragraphe 4 de l'article 4 du Protocole de Nagoya</w:t>
          </w:r>
        </w:sdtContent>
      </w:sdt>
    </w:p>
    <w:p w14:paraId="1DDB540D" w14:textId="180BF852" w:rsidR="00C95DDA" w:rsidRPr="00C95DDA" w:rsidRDefault="00C95DDA" w:rsidP="00C95DDA">
      <w:pPr>
        <w:suppressLineNumbers/>
        <w:suppressAutoHyphens/>
        <w:kinsoku w:val="0"/>
        <w:overflowPunct w:val="0"/>
        <w:autoSpaceDE w:val="0"/>
        <w:autoSpaceDN w:val="0"/>
        <w:adjustRightInd w:val="0"/>
        <w:snapToGrid w:val="0"/>
        <w:spacing w:before="120" w:after="120"/>
        <w:ind w:firstLine="709"/>
        <w:rPr>
          <w:i/>
          <w:kern w:val="22"/>
          <w:szCs w:val="22"/>
          <w:lang w:val="fr-CA"/>
        </w:rPr>
      </w:pPr>
      <w:r w:rsidRPr="00C95DDA">
        <w:rPr>
          <w:i/>
          <w:kern w:val="22"/>
          <w:szCs w:val="22"/>
          <w:lang w:val="fr-CA"/>
        </w:rPr>
        <w:t>La Conférence des Parties siégeant en tant que réunion des Parties au Protocole de Nagoya</w:t>
      </w:r>
      <w:r w:rsidR="00B43544">
        <w:rPr>
          <w:i/>
          <w:kern w:val="22"/>
          <w:szCs w:val="22"/>
          <w:lang w:val="fr-CA"/>
        </w:rPr>
        <w:t xml:space="preserve"> sur l’accès et le partage des avantages</w:t>
      </w:r>
      <w:r w:rsidRPr="00C95DDA">
        <w:rPr>
          <w:i/>
          <w:kern w:val="22"/>
          <w:szCs w:val="22"/>
          <w:lang w:val="fr-CA"/>
        </w:rPr>
        <w:t>,</w:t>
      </w:r>
    </w:p>
    <w:p w14:paraId="023425EE" w14:textId="77777777" w:rsidR="00C95DDA" w:rsidRPr="00C95DDA" w:rsidRDefault="00C95DDA" w:rsidP="00C95DDA">
      <w:pPr>
        <w:suppressLineNumbers/>
        <w:suppressAutoHyphens/>
        <w:kinsoku w:val="0"/>
        <w:overflowPunct w:val="0"/>
        <w:autoSpaceDE w:val="0"/>
        <w:autoSpaceDN w:val="0"/>
        <w:adjustRightInd w:val="0"/>
        <w:snapToGrid w:val="0"/>
        <w:spacing w:before="120" w:after="120"/>
        <w:ind w:firstLine="720"/>
        <w:rPr>
          <w:kern w:val="22"/>
          <w:szCs w:val="22"/>
          <w:lang w:val="fr-CA"/>
        </w:rPr>
      </w:pPr>
      <w:r w:rsidRPr="00C95DDA">
        <w:rPr>
          <w:i/>
          <w:kern w:val="22"/>
          <w:szCs w:val="22"/>
          <w:lang w:val="fr-CA"/>
        </w:rPr>
        <w:t>Reconnaissant</w:t>
      </w:r>
      <w:r w:rsidRPr="00C95DDA">
        <w:rPr>
          <w:kern w:val="22"/>
          <w:szCs w:val="22"/>
          <w:lang w:val="fr-CA"/>
        </w:rPr>
        <w:t xml:space="preserve"> la nécessité de renforcer la coordination et la complémentarité entre les instruments internationaux sur l'accès et le partage des avantages,</w:t>
      </w:r>
    </w:p>
    <w:p w14:paraId="259FDF93" w14:textId="77777777" w:rsidR="00C95DDA" w:rsidRPr="00C95DDA" w:rsidRDefault="00C95DDA" w:rsidP="00C95DDA">
      <w:pPr>
        <w:suppressLineNumbers/>
        <w:suppressAutoHyphens/>
        <w:kinsoku w:val="0"/>
        <w:overflowPunct w:val="0"/>
        <w:autoSpaceDE w:val="0"/>
        <w:autoSpaceDN w:val="0"/>
        <w:adjustRightInd w:val="0"/>
        <w:snapToGrid w:val="0"/>
        <w:spacing w:before="120" w:after="120"/>
        <w:ind w:firstLine="720"/>
        <w:rPr>
          <w:kern w:val="22"/>
          <w:szCs w:val="22"/>
          <w:lang w:val="fr-CA"/>
        </w:rPr>
      </w:pPr>
      <w:r w:rsidRPr="00C95DDA">
        <w:rPr>
          <w:i/>
          <w:kern w:val="22"/>
          <w:szCs w:val="22"/>
          <w:lang w:val="fr-CA"/>
        </w:rPr>
        <w:t xml:space="preserve">Soulignant </w:t>
      </w:r>
      <w:r w:rsidRPr="00C95DDA">
        <w:rPr>
          <w:kern w:val="22"/>
          <w:szCs w:val="22"/>
          <w:lang w:val="fr-CA"/>
        </w:rPr>
        <w:t>que les critères d'identification d'un instrument international spécial sur l'accès et le partage des avantages et un processus de reconnaissance d'un tel instrument n'ont pas vocation à établir une hiérarchie entre le Protocole de Nagoya et d'autres instruments internationaux,</w:t>
      </w:r>
    </w:p>
    <w:p w14:paraId="0150C228" w14:textId="77777777" w:rsidR="00C95DDA" w:rsidRPr="00C95DDA" w:rsidRDefault="00C95DDA" w:rsidP="00C95DDA">
      <w:pPr>
        <w:suppressLineNumbers/>
        <w:suppressAutoHyphens/>
        <w:kinsoku w:val="0"/>
        <w:overflowPunct w:val="0"/>
        <w:autoSpaceDE w:val="0"/>
        <w:autoSpaceDN w:val="0"/>
        <w:adjustRightInd w:val="0"/>
        <w:snapToGrid w:val="0"/>
        <w:spacing w:before="120" w:after="120"/>
        <w:ind w:firstLine="720"/>
        <w:rPr>
          <w:kern w:val="22"/>
          <w:szCs w:val="22"/>
          <w:lang w:val="fr-CA"/>
        </w:rPr>
      </w:pPr>
      <w:r w:rsidRPr="00C95DDA">
        <w:rPr>
          <w:kern w:val="22"/>
          <w:szCs w:val="22"/>
          <w:lang w:val="fr-CA"/>
        </w:rPr>
        <w:t>1.</w:t>
      </w:r>
      <w:r w:rsidRPr="00C95DDA">
        <w:rPr>
          <w:kern w:val="22"/>
          <w:szCs w:val="22"/>
          <w:lang w:val="fr-CA"/>
        </w:rPr>
        <w:tab/>
      </w:r>
      <w:r w:rsidRPr="00C95DDA">
        <w:rPr>
          <w:i/>
          <w:kern w:val="22"/>
          <w:szCs w:val="22"/>
          <w:lang w:val="fr-CA"/>
        </w:rPr>
        <w:t>Prend note</w:t>
      </w:r>
      <w:r w:rsidRPr="00C95DDA">
        <w:rPr>
          <w:kern w:val="22"/>
          <w:szCs w:val="22"/>
          <w:lang w:val="fr-CA"/>
        </w:rPr>
        <w:t xml:space="preserve"> de l'étude</w:t>
      </w:r>
      <w:r w:rsidRPr="00C95DDA">
        <w:rPr>
          <w:rStyle w:val="Appelnotedebasdep"/>
          <w:rFonts w:eastAsiaTheme="majorEastAsia"/>
          <w:kern w:val="22"/>
          <w:szCs w:val="22"/>
          <w:lang w:val="fr-CA"/>
        </w:rPr>
        <w:footnoteReference w:id="1"/>
      </w:r>
      <w:r w:rsidRPr="00C95DDA">
        <w:rPr>
          <w:kern w:val="22"/>
          <w:szCs w:val="22"/>
          <w:lang w:val="fr-CA"/>
        </w:rPr>
        <w:t xml:space="preserve"> et des critères potentiels pour la reconnaissance des instruments internationaux spéciaux sur l'accès et le partage des avantages dans le cadre du paragraphe 4 de l'article 4 du Protocole de Nagoya, tels que synthétisés dans l'annexe ci-dessous et </w:t>
      </w:r>
      <w:r w:rsidRPr="00C95DDA">
        <w:rPr>
          <w:i/>
          <w:kern w:val="22"/>
          <w:szCs w:val="22"/>
          <w:lang w:val="fr-CA"/>
        </w:rPr>
        <w:t>accepte</w:t>
      </w:r>
      <w:r w:rsidRPr="00C95DDA">
        <w:rPr>
          <w:kern w:val="22"/>
          <w:szCs w:val="22"/>
          <w:lang w:val="fr-CA"/>
        </w:rPr>
        <w:t xml:space="preserve"> de réexaminer ces critères potentiels à sa quatrième réunion ;</w:t>
      </w:r>
    </w:p>
    <w:p w14:paraId="1235220B" w14:textId="77777777" w:rsidR="00C95DDA" w:rsidRPr="00C95DDA" w:rsidRDefault="00C95DDA" w:rsidP="00C95DDA">
      <w:pPr>
        <w:suppressLineNumbers/>
        <w:suppressAutoHyphens/>
        <w:kinsoku w:val="0"/>
        <w:overflowPunct w:val="0"/>
        <w:autoSpaceDE w:val="0"/>
        <w:autoSpaceDN w:val="0"/>
        <w:adjustRightInd w:val="0"/>
        <w:snapToGrid w:val="0"/>
        <w:spacing w:before="120" w:after="120"/>
        <w:ind w:firstLine="720"/>
        <w:rPr>
          <w:kern w:val="22"/>
          <w:szCs w:val="22"/>
          <w:lang w:val="fr-CA"/>
        </w:rPr>
      </w:pPr>
      <w:r w:rsidRPr="00C95DDA">
        <w:rPr>
          <w:kern w:val="22"/>
          <w:szCs w:val="22"/>
          <w:lang w:val="fr-CA"/>
        </w:rPr>
        <w:t>2.</w:t>
      </w:r>
      <w:r w:rsidRPr="00C95DDA">
        <w:rPr>
          <w:kern w:val="22"/>
          <w:szCs w:val="22"/>
          <w:lang w:val="fr-CA"/>
        </w:rPr>
        <w:tab/>
      </w:r>
      <w:r w:rsidRPr="00C95DDA">
        <w:rPr>
          <w:i/>
          <w:kern w:val="22"/>
          <w:szCs w:val="22"/>
          <w:lang w:val="fr-CA"/>
        </w:rPr>
        <w:t>Invite</w:t>
      </w:r>
      <w:r w:rsidRPr="00C95DDA">
        <w:rPr>
          <w:kern w:val="22"/>
          <w:szCs w:val="22"/>
          <w:lang w:val="fr-CA"/>
        </w:rPr>
        <w:t xml:space="preserve"> les Parties et les autres gouvernements à soumettre :</w:t>
      </w:r>
    </w:p>
    <w:p w14:paraId="1B67CB9A" w14:textId="77777777" w:rsidR="00C95DDA" w:rsidRPr="00C95DDA" w:rsidRDefault="00C95DDA" w:rsidP="00C95DDA">
      <w:pPr>
        <w:suppressLineNumbers/>
        <w:suppressAutoHyphens/>
        <w:kinsoku w:val="0"/>
        <w:overflowPunct w:val="0"/>
        <w:autoSpaceDE w:val="0"/>
        <w:autoSpaceDN w:val="0"/>
        <w:adjustRightInd w:val="0"/>
        <w:snapToGrid w:val="0"/>
        <w:spacing w:before="120" w:after="120"/>
        <w:ind w:firstLine="720"/>
        <w:rPr>
          <w:kern w:val="22"/>
          <w:szCs w:val="22"/>
          <w:lang w:val="fr-CA"/>
        </w:rPr>
      </w:pPr>
      <w:r w:rsidRPr="00C95DDA">
        <w:rPr>
          <w:kern w:val="22"/>
          <w:szCs w:val="22"/>
          <w:lang w:val="fr-CA"/>
        </w:rPr>
        <w:t xml:space="preserve">a) </w:t>
      </w:r>
      <w:r w:rsidRPr="00C95DDA">
        <w:rPr>
          <w:kern w:val="22"/>
          <w:szCs w:val="22"/>
          <w:lang w:val="fr-CA"/>
        </w:rPr>
        <w:tab/>
        <w:t>Des informations sur la manière dont les instruments internationaux spéciaux sur l'accès et le partage des avantages sont traités dans leurs mesures internes ;</w:t>
      </w:r>
    </w:p>
    <w:p w14:paraId="77FA9C7C" w14:textId="77777777" w:rsidR="00C95DDA" w:rsidRPr="00C95DDA" w:rsidRDefault="00C95DDA" w:rsidP="00C95DDA">
      <w:pPr>
        <w:suppressLineNumbers/>
        <w:suppressAutoHyphens/>
        <w:kinsoku w:val="0"/>
        <w:overflowPunct w:val="0"/>
        <w:autoSpaceDE w:val="0"/>
        <w:autoSpaceDN w:val="0"/>
        <w:adjustRightInd w:val="0"/>
        <w:snapToGrid w:val="0"/>
        <w:spacing w:before="120" w:after="120"/>
        <w:ind w:firstLine="720"/>
        <w:rPr>
          <w:kern w:val="22"/>
          <w:szCs w:val="22"/>
          <w:lang w:val="fr-CA"/>
        </w:rPr>
      </w:pPr>
      <w:r w:rsidRPr="00C95DDA">
        <w:rPr>
          <w:kern w:val="22"/>
          <w:szCs w:val="22"/>
          <w:lang w:val="fr-CA"/>
        </w:rPr>
        <w:t xml:space="preserve">b) </w:t>
      </w:r>
      <w:r w:rsidRPr="00C95DDA">
        <w:rPr>
          <w:kern w:val="22"/>
          <w:szCs w:val="22"/>
          <w:lang w:val="fr-CA"/>
        </w:rPr>
        <w:tab/>
        <w:t>Des points de vue sur les critères potentiels figurant dans l'étude, en tenant compte des paragraphes 1 à 3 de l'article 4 du Protocole ;</w:t>
      </w:r>
    </w:p>
    <w:p w14:paraId="645238D1" w14:textId="77777777" w:rsidR="00C95DDA" w:rsidRPr="00C95DDA" w:rsidRDefault="00C95DDA" w:rsidP="00C95DDA">
      <w:pPr>
        <w:suppressLineNumbers/>
        <w:suppressAutoHyphens/>
        <w:kinsoku w:val="0"/>
        <w:overflowPunct w:val="0"/>
        <w:autoSpaceDE w:val="0"/>
        <w:autoSpaceDN w:val="0"/>
        <w:adjustRightInd w:val="0"/>
        <w:snapToGrid w:val="0"/>
        <w:spacing w:before="120" w:after="120"/>
        <w:ind w:firstLine="720"/>
        <w:rPr>
          <w:kern w:val="22"/>
          <w:szCs w:val="22"/>
          <w:lang w:val="fr-CA"/>
        </w:rPr>
      </w:pPr>
      <w:r w:rsidRPr="00C95DDA">
        <w:rPr>
          <w:kern w:val="22"/>
          <w:szCs w:val="22"/>
          <w:lang w:val="fr-CA"/>
        </w:rPr>
        <w:t>3.</w:t>
      </w:r>
      <w:r w:rsidRPr="00C95DDA">
        <w:rPr>
          <w:kern w:val="22"/>
          <w:szCs w:val="22"/>
          <w:lang w:val="fr-CA"/>
        </w:rPr>
        <w:tab/>
      </w:r>
      <w:r w:rsidRPr="00C95DDA">
        <w:rPr>
          <w:i/>
          <w:kern w:val="22"/>
          <w:szCs w:val="22"/>
          <w:lang w:val="fr-CA"/>
        </w:rPr>
        <w:t>Prie</w:t>
      </w:r>
      <w:r w:rsidRPr="00C95DDA">
        <w:rPr>
          <w:kern w:val="22"/>
          <w:szCs w:val="22"/>
          <w:lang w:val="fr-CA"/>
        </w:rPr>
        <w:t xml:space="preserve"> la Secrétaire exécutive de continuer à suivre les évolutions dans les instances internationales compétentes ;</w:t>
      </w:r>
    </w:p>
    <w:p w14:paraId="415AA495" w14:textId="77777777" w:rsidR="00C95DDA" w:rsidRPr="00C95DDA" w:rsidRDefault="00C95DDA" w:rsidP="00C95DDA">
      <w:pPr>
        <w:suppressLineNumbers/>
        <w:suppressAutoHyphens/>
        <w:kinsoku w:val="0"/>
        <w:overflowPunct w:val="0"/>
        <w:autoSpaceDE w:val="0"/>
        <w:autoSpaceDN w:val="0"/>
        <w:adjustRightInd w:val="0"/>
        <w:snapToGrid w:val="0"/>
        <w:spacing w:before="120" w:after="120"/>
        <w:ind w:firstLine="720"/>
        <w:rPr>
          <w:kern w:val="22"/>
          <w:szCs w:val="22"/>
          <w:lang w:val="fr-CA"/>
        </w:rPr>
      </w:pPr>
      <w:r w:rsidRPr="00C95DDA">
        <w:rPr>
          <w:kern w:val="22"/>
          <w:szCs w:val="22"/>
          <w:lang w:val="fr-CA"/>
        </w:rPr>
        <w:lastRenderedPageBreak/>
        <w:t>4.</w:t>
      </w:r>
      <w:r w:rsidRPr="00C95DDA">
        <w:rPr>
          <w:kern w:val="22"/>
          <w:szCs w:val="22"/>
          <w:lang w:val="fr-CA"/>
        </w:rPr>
        <w:tab/>
      </w:r>
      <w:r w:rsidRPr="00C95DDA">
        <w:rPr>
          <w:i/>
          <w:kern w:val="22"/>
          <w:szCs w:val="22"/>
          <w:lang w:val="fr-CA"/>
        </w:rPr>
        <w:t>Prie aussi</w:t>
      </w:r>
      <w:r w:rsidRPr="00C95DDA">
        <w:rPr>
          <w:kern w:val="22"/>
          <w:szCs w:val="22"/>
          <w:lang w:val="fr-CA"/>
        </w:rPr>
        <w:t xml:space="preserve"> la Secrétaire exécutive de synthétiser les informations et points de vue reçus, y compris les informations concernant les évolutions dans les instances internationales compétentes, et de les mettre à disposition pour examen par l'Organe subsidiaire chargé de l'application à sa troisième réunion ;</w:t>
      </w:r>
    </w:p>
    <w:p w14:paraId="4D68CF3B" w14:textId="77777777" w:rsidR="00C95DDA" w:rsidRPr="00C95DDA" w:rsidRDefault="00C95DDA" w:rsidP="00C95DDA">
      <w:pPr>
        <w:suppressLineNumbers/>
        <w:suppressAutoHyphens/>
        <w:kinsoku w:val="0"/>
        <w:overflowPunct w:val="0"/>
        <w:autoSpaceDE w:val="0"/>
        <w:autoSpaceDN w:val="0"/>
        <w:adjustRightInd w:val="0"/>
        <w:snapToGrid w:val="0"/>
        <w:spacing w:before="120" w:after="120"/>
        <w:ind w:firstLine="720"/>
        <w:rPr>
          <w:kern w:val="22"/>
          <w:szCs w:val="22"/>
          <w:lang w:val="fr-CA"/>
        </w:rPr>
      </w:pPr>
      <w:r w:rsidRPr="00C95DDA">
        <w:rPr>
          <w:kern w:val="22"/>
          <w:szCs w:val="22"/>
          <w:lang w:val="fr-CA"/>
        </w:rPr>
        <w:t>5.</w:t>
      </w:r>
      <w:r w:rsidRPr="00C95DDA">
        <w:rPr>
          <w:kern w:val="22"/>
          <w:szCs w:val="22"/>
          <w:lang w:val="fr-CA"/>
        </w:rPr>
        <w:tab/>
      </w:r>
      <w:r w:rsidRPr="00C95DDA">
        <w:rPr>
          <w:i/>
          <w:kern w:val="22"/>
          <w:szCs w:val="22"/>
          <w:lang w:val="fr-CA"/>
        </w:rPr>
        <w:t>Prie</w:t>
      </w:r>
      <w:r w:rsidRPr="00C95DDA">
        <w:rPr>
          <w:kern w:val="22"/>
          <w:szCs w:val="22"/>
          <w:lang w:val="fr-CA"/>
        </w:rPr>
        <w:t xml:space="preserve"> l'Organe subsidiaire chargé de l'application, à sa troisième réunion, d'examiner la synthèse mentionnée au paragraphe 4 ci-dessus et d'effectuer une recommandation à la Conférence des Parties siégeant en tant que réunion des Parties au Protocole de Nagoya à sa quatrième réunion ;</w:t>
      </w:r>
    </w:p>
    <w:p w14:paraId="48E2E1E0" w14:textId="77777777" w:rsidR="00C95DDA" w:rsidRPr="00C95DDA" w:rsidRDefault="00C95DDA" w:rsidP="00C95DDA">
      <w:pPr>
        <w:suppressLineNumbers/>
        <w:suppressAutoHyphens/>
        <w:kinsoku w:val="0"/>
        <w:overflowPunct w:val="0"/>
        <w:autoSpaceDE w:val="0"/>
        <w:autoSpaceDN w:val="0"/>
        <w:adjustRightInd w:val="0"/>
        <w:snapToGrid w:val="0"/>
        <w:spacing w:before="120" w:after="120"/>
        <w:ind w:firstLine="720"/>
        <w:rPr>
          <w:kern w:val="22"/>
          <w:szCs w:val="22"/>
          <w:lang w:val="fr-CA"/>
        </w:rPr>
      </w:pPr>
      <w:r w:rsidRPr="00C95DDA">
        <w:rPr>
          <w:kern w:val="22"/>
          <w:szCs w:val="22"/>
          <w:lang w:val="fr-CA"/>
        </w:rPr>
        <w:t>6.</w:t>
      </w:r>
      <w:r w:rsidRPr="00C95DDA">
        <w:rPr>
          <w:kern w:val="22"/>
          <w:szCs w:val="22"/>
          <w:lang w:val="fr-CA"/>
        </w:rPr>
        <w:tab/>
      </w:r>
      <w:r w:rsidRPr="00C95DDA">
        <w:rPr>
          <w:i/>
          <w:kern w:val="22"/>
          <w:szCs w:val="22"/>
          <w:lang w:val="fr-CA"/>
        </w:rPr>
        <w:t>Décide</w:t>
      </w:r>
      <w:r w:rsidRPr="00C95DDA">
        <w:rPr>
          <w:kern w:val="22"/>
          <w:szCs w:val="22"/>
          <w:lang w:val="fr-CA"/>
        </w:rPr>
        <w:t xml:space="preserve"> d'inscrire à l'ordre du jour de ses futures réunions un point permanent sur la « coopération avec d'autres organisations internationales » pour tenir compte des dernières évolutions dans les instances internationales compétentes, notamment toute information portant sur des instruments internationaux spéciaux sur l'accès et le partage des avantages reconnus par un autre organisme intergouvernemental et/ou par une Partie ou un groupe de Parties, en vue de renforcer la complémentarité entre le Protocole et les instruments internationaux spéciaux sur l'accès et le partage des avantages ;</w:t>
      </w:r>
    </w:p>
    <w:p w14:paraId="4300273D" w14:textId="77777777" w:rsidR="00C95DDA" w:rsidRPr="00C95DDA" w:rsidRDefault="00C95DDA" w:rsidP="00C95DDA">
      <w:pPr>
        <w:suppressLineNumbers/>
        <w:suppressAutoHyphens/>
        <w:kinsoku w:val="0"/>
        <w:overflowPunct w:val="0"/>
        <w:autoSpaceDE w:val="0"/>
        <w:autoSpaceDN w:val="0"/>
        <w:adjustRightInd w:val="0"/>
        <w:snapToGrid w:val="0"/>
        <w:spacing w:before="120" w:after="120"/>
        <w:ind w:firstLine="720"/>
        <w:rPr>
          <w:kern w:val="22"/>
          <w:szCs w:val="22"/>
          <w:lang w:val="fr-CA"/>
        </w:rPr>
      </w:pPr>
      <w:r w:rsidRPr="00C95DDA">
        <w:rPr>
          <w:kern w:val="22"/>
          <w:szCs w:val="22"/>
          <w:lang w:val="fr-CA"/>
        </w:rPr>
        <w:t>7.</w:t>
      </w:r>
      <w:r w:rsidRPr="00C95DDA">
        <w:rPr>
          <w:kern w:val="22"/>
          <w:szCs w:val="22"/>
          <w:lang w:val="fr-CA"/>
        </w:rPr>
        <w:tab/>
      </w:r>
      <w:r w:rsidRPr="00C95DDA">
        <w:rPr>
          <w:i/>
          <w:kern w:val="22"/>
          <w:szCs w:val="22"/>
          <w:lang w:val="fr-CA"/>
        </w:rPr>
        <w:t xml:space="preserve">Invite </w:t>
      </w:r>
      <w:r w:rsidRPr="00C95DDA">
        <w:rPr>
          <w:kern w:val="22"/>
          <w:szCs w:val="22"/>
          <w:lang w:val="fr-CA"/>
        </w:rPr>
        <w:t>les Parties et les autres gouvernements à se coordonner au niveau national sur les questions relatives à l’accès et au partage des avantages qui sont abordées dans différentes instances internationales, selon qu'il convient, afin d’appuyer un régime international cohérent sur l’accès et le partage des avantages ;</w:t>
      </w:r>
    </w:p>
    <w:p w14:paraId="77EE3955" w14:textId="77777777" w:rsidR="00C95DDA" w:rsidRPr="00C95DDA" w:rsidRDefault="00C95DDA" w:rsidP="00C95DDA">
      <w:pPr>
        <w:suppressLineNumbers/>
        <w:suppressAutoHyphens/>
        <w:kinsoku w:val="0"/>
        <w:overflowPunct w:val="0"/>
        <w:autoSpaceDE w:val="0"/>
        <w:autoSpaceDN w:val="0"/>
        <w:adjustRightInd w:val="0"/>
        <w:snapToGrid w:val="0"/>
        <w:spacing w:before="120" w:after="120"/>
        <w:ind w:firstLine="720"/>
        <w:rPr>
          <w:bCs/>
          <w:kern w:val="22"/>
          <w:szCs w:val="22"/>
          <w:lang w:val="fr-CA"/>
        </w:rPr>
      </w:pPr>
      <w:r w:rsidRPr="00C95DDA">
        <w:rPr>
          <w:kern w:val="22"/>
          <w:szCs w:val="22"/>
          <w:lang w:val="fr-CA"/>
        </w:rPr>
        <w:t>8.</w:t>
      </w:r>
      <w:r w:rsidRPr="00C95DDA">
        <w:rPr>
          <w:kern w:val="22"/>
          <w:szCs w:val="22"/>
          <w:lang w:val="fr-CA"/>
        </w:rPr>
        <w:tab/>
      </w:r>
      <w:r w:rsidRPr="00C95DDA">
        <w:rPr>
          <w:i/>
          <w:kern w:val="22"/>
          <w:szCs w:val="22"/>
          <w:lang w:val="fr-CA"/>
        </w:rPr>
        <w:t>Invite</w:t>
      </w:r>
      <w:r w:rsidRPr="00C95DDA">
        <w:rPr>
          <w:kern w:val="22"/>
          <w:szCs w:val="22"/>
          <w:lang w:val="fr-CA"/>
        </w:rPr>
        <w:t xml:space="preserve"> les Parties et les autres gouvernements qui sont ou peuvent devenir Parties au Protocole de Nagoya et à un instrument international spécial sur l'accès et le partage des avantages, selon qu'il convient, à prendre des mesures pour appliquer les deux instruments d'une façon complémentaire, notamment avec la participation des peuples autochtones et des communautés locales, le cas échéant, selon leurs situations nationales.</w:t>
      </w:r>
    </w:p>
    <w:p w14:paraId="091A5A7C" w14:textId="77777777" w:rsidR="00C95DDA" w:rsidRPr="00C95DDA" w:rsidRDefault="00C95DDA" w:rsidP="00C95DDA">
      <w:pPr>
        <w:keepNext/>
        <w:suppressLineNumbers/>
        <w:suppressAutoHyphens/>
        <w:kinsoku w:val="0"/>
        <w:overflowPunct w:val="0"/>
        <w:autoSpaceDE w:val="0"/>
        <w:autoSpaceDN w:val="0"/>
        <w:adjustRightInd w:val="0"/>
        <w:snapToGrid w:val="0"/>
        <w:spacing w:before="240" w:after="120"/>
        <w:jc w:val="center"/>
        <w:outlineLvl w:val="2"/>
        <w:rPr>
          <w:i/>
          <w:kern w:val="22"/>
          <w:szCs w:val="22"/>
          <w:lang w:val="fr-CA"/>
        </w:rPr>
      </w:pPr>
      <w:r w:rsidRPr="00C95DDA">
        <w:rPr>
          <w:i/>
          <w:kern w:val="22"/>
          <w:szCs w:val="22"/>
          <w:lang w:val="fr-CA"/>
        </w:rPr>
        <w:t>Annexe</w:t>
      </w:r>
    </w:p>
    <w:p w14:paraId="530DEA0A" w14:textId="77777777" w:rsidR="00C95DDA" w:rsidRPr="00C95DDA" w:rsidRDefault="00C95DDA" w:rsidP="00C95DDA">
      <w:pPr>
        <w:tabs>
          <w:tab w:val="left" w:pos="763"/>
        </w:tabs>
        <w:ind w:right="360"/>
        <w:jc w:val="center"/>
        <w:rPr>
          <w:rFonts w:eastAsia="Calibri"/>
          <w:b/>
          <w:color w:val="000000"/>
          <w:kern w:val="22"/>
          <w:szCs w:val="22"/>
          <w:u w:color="000000"/>
          <w:lang w:val="fr-CA"/>
        </w:rPr>
      </w:pPr>
      <w:r w:rsidRPr="00C95DDA">
        <w:rPr>
          <w:rFonts w:eastAsia="Calibri"/>
          <w:b/>
          <w:color w:val="000000"/>
          <w:kern w:val="22"/>
          <w:szCs w:val="22"/>
          <w:u w:color="000000"/>
          <w:lang w:val="fr-CA"/>
        </w:rPr>
        <w:t>Critères potentiels pour les instruments internationaux spéciaux sur l’accès et le partage des avantages dans le contexte du paragraphe 4 de l’article 4 du Protocole de Nagoya sur l’accès aux ressources génétiques et le partage juste et équitable des avantages découlant de leur utilisation</w:t>
      </w:r>
    </w:p>
    <w:p w14:paraId="57D854CD" w14:textId="77777777" w:rsidR="00C95DDA" w:rsidRPr="00C95DDA" w:rsidRDefault="00C95DDA" w:rsidP="00C95DDA">
      <w:pPr>
        <w:tabs>
          <w:tab w:val="left" w:pos="763"/>
        </w:tabs>
        <w:ind w:right="360"/>
        <w:jc w:val="center"/>
        <w:rPr>
          <w:rFonts w:eastAsia="Calibri"/>
          <w:b/>
          <w:color w:val="000000"/>
          <w:kern w:val="22"/>
          <w:szCs w:val="22"/>
          <w:u w:color="000000"/>
          <w:lang w:val="fr-CA"/>
        </w:rPr>
      </w:pPr>
      <w:r w:rsidRPr="00C95DDA">
        <w:rPr>
          <w:rFonts w:eastAsia="Calibri"/>
          <w:b/>
          <w:color w:val="000000"/>
          <w:kern w:val="22"/>
          <w:szCs w:val="22"/>
          <w:u w:color="000000"/>
          <w:lang w:val="fr-CA"/>
        </w:rPr>
        <w:t xml:space="preserve"> </w:t>
      </w:r>
    </w:p>
    <w:p w14:paraId="5008E39C" w14:textId="1E1868B5" w:rsidR="00C95DDA" w:rsidRPr="0095498B" w:rsidRDefault="00C95DDA" w:rsidP="0095498B">
      <w:pPr>
        <w:pStyle w:val="Notedebasdepage"/>
        <w:ind w:firstLine="0"/>
        <w:rPr>
          <w:sz w:val="22"/>
          <w:szCs w:val="22"/>
          <w:lang w:val="fr-CA"/>
        </w:rPr>
      </w:pPr>
      <w:r w:rsidRPr="00C95DDA">
        <w:rPr>
          <w:bCs/>
          <w:kern w:val="22"/>
          <w:sz w:val="22"/>
          <w:szCs w:val="22"/>
          <w:lang w:val="fr-CA"/>
        </w:rPr>
        <w:t xml:space="preserve">La section suivante est un résumé des </w:t>
      </w:r>
      <w:r w:rsidRPr="00C95DDA">
        <w:rPr>
          <w:rFonts w:eastAsia="Calibri"/>
          <w:color w:val="000000"/>
          <w:kern w:val="22"/>
          <w:sz w:val="22"/>
          <w:szCs w:val="22"/>
          <w:u w:color="000000"/>
          <w:lang w:val="fr-CA"/>
        </w:rPr>
        <w:t>critères potentiels pour les instruments internationaux spéciaux sur l’accès et le partage des avantages dans le contexte du paragraphe 4 de l’article 4 du Protocole de Nagoya sur l’accès aux ressources génétiques et le partage juste et équitable des avantages découlant de leur utilisation, comme indiqué dans l'étude figurant dans le document CBD/</w:t>
      </w:r>
      <w:proofErr w:type="spellStart"/>
      <w:r w:rsidRPr="00C95DDA">
        <w:rPr>
          <w:rFonts w:eastAsia="Calibri"/>
          <w:color w:val="000000"/>
          <w:kern w:val="22"/>
          <w:sz w:val="22"/>
          <w:szCs w:val="22"/>
          <w:u w:color="000000"/>
          <w:lang w:val="fr-CA"/>
        </w:rPr>
        <w:t>SBI</w:t>
      </w:r>
      <w:proofErr w:type="spellEnd"/>
      <w:r w:rsidRPr="00C95DDA">
        <w:rPr>
          <w:rFonts w:eastAsia="Calibri"/>
          <w:color w:val="000000"/>
          <w:kern w:val="22"/>
          <w:sz w:val="22"/>
          <w:szCs w:val="22"/>
          <w:u w:color="000000"/>
          <w:lang w:val="fr-CA"/>
        </w:rPr>
        <w:t>/2/</w:t>
      </w:r>
      <w:proofErr w:type="spellStart"/>
      <w:r w:rsidRPr="00C95DDA">
        <w:rPr>
          <w:rFonts w:eastAsia="Calibri"/>
          <w:color w:val="000000"/>
          <w:kern w:val="22"/>
          <w:sz w:val="22"/>
          <w:szCs w:val="22"/>
          <w:u w:color="000000"/>
          <w:lang w:val="fr-CA"/>
        </w:rPr>
        <w:t>INF</w:t>
      </w:r>
      <w:proofErr w:type="spellEnd"/>
      <w:r w:rsidRPr="00C95DDA">
        <w:rPr>
          <w:rFonts w:eastAsia="Calibri"/>
          <w:color w:val="000000"/>
          <w:kern w:val="22"/>
          <w:sz w:val="22"/>
          <w:szCs w:val="22"/>
          <w:u w:color="000000"/>
          <w:lang w:val="fr-CA"/>
        </w:rPr>
        <w:t>/17.</w:t>
      </w:r>
      <w:r w:rsidRPr="00C95DDA">
        <w:rPr>
          <w:bCs/>
          <w:kern w:val="22"/>
          <w:sz w:val="22"/>
          <w:szCs w:val="22"/>
          <w:lang w:val="fr-CA"/>
        </w:rPr>
        <w:t xml:space="preserve"> Les critères potentiels sont à l'étude et n'ont pas encore été approuvés par les Parties au Protocole.</w:t>
      </w:r>
    </w:p>
    <w:p w14:paraId="0010AAEC" w14:textId="77777777" w:rsidR="00C95DDA" w:rsidRPr="00C95DDA" w:rsidRDefault="00C95DDA" w:rsidP="00C95DDA">
      <w:pPr>
        <w:pStyle w:val="Paragraphedeliste"/>
        <w:suppressLineNumbers/>
        <w:suppressAutoHyphens/>
        <w:kinsoku w:val="0"/>
        <w:overflowPunct w:val="0"/>
        <w:autoSpaceDE w:val="0"/>
        <w:autoSpaceDN w:val="0"/>
        <w:adjustRightInd w:val="0"/>
        <w:snapToGrid w:val="0"/>
        <w:spacing w:before="120" w:after="120"/>
        <w:ind w:left="0"/>
        <w:contextualSpacing w:val="0"/>
        <w:rPr>
          <w:kern w:val="22"/>
          <w:szCs w:val="22"/>
          <w:lang w:val="fr-CA"/>
        </w:rPr>
      </w:pPr>
      <w:r w:rsidRPr="00C95DDA">
        <w:rPr>
          <w:bCs/>
          <w:kern w:val="22"/>
          <w:szCs w:val="22"/>
          <w:lang w:val="fr-CA"/>
        </w:rPr>
        <w:t>1.</w:t>
      </w:r>
      <w:r w:rsidRPr="00C95DDA">
        <w:rPr>
          <w:bCs/>
          <w:kern w:val="22"/>
          <w:szCs w:val="22"/>
          <w:lang w:val="fr-CA"/>
        </w:rPr>
        <w:tab/>
      </w:r>
      <w:r w:rsidRPr="00C95DDA">
        <w:rPr>
          <w:bCs/>
          <w:i/>
          <w:iCs/>
          <w:kern w:val="22"/>
          <w:szCs w:val="22"/>
          <w:lang w:val="fr-CA"/>
        </w:rPr>
        <w:t>Conclu au niveau intergouvernemental</w:t>
      </w:r>
      <w:r w:rsidRPr="00C95DDA">
        <w:rPr>
          <w:kern w:val="22"/>
          <w:szCs w:val="22"/>
          <w:lang w:val="fr-CA"/>
        </w:rPr>
        <w:t xml:space="preserve"> — L’instrument est élaboré et conclu dans le cadre d’un processus intergouvernemental. L’instrument peut être juridiquement contraignant ou non contraignant.</w:t>
      </w:r>
    </w:p>
    <w:p w14:paraId="1A79CBA5" w14:textId="77777777" w:rsidR="00C95DDA" w:rsidRPr="00C95DDA" w:rsidRDefault="00C95DDA" w:rsidP="00C95DDA">
      <w:pPr>
        <w:pStyle w:val="Paragraphedeliste"/>
        <w:suppressLineNumbers/>
        <w:suppressAutoHyphens/>
        <w:kinsoku w:val="0"/>
        <w:overflowPunct w:val="0"/>
        <w:autoSpaceDE w:val="0"/>
        <w:autoSpaceDN w:val="0"/>
        <w:adjustRightInd w:val="0"/>
        <w:snapToGrid w:val="0"/>
        <w:spacing w:before="120" w:after="120"/>
        <w:ind w:left="0"/>
        <w:contextualSpacing w:val="0"/>
        <w:rPr>
          <w:b/>
          <w:kern w:val="22"/>
          <w:szCs w:val="22"/>
          <w:lang w:val="fr-CA"/>
        </w:rPr>
      </w:pPr>
      <w:r w:rsidRPr="00C95DDA">
        <w:rPr>
          <w:bCs/>
          <w:kern w:val="22"/>
          <w:szCs w:val="22"/>
          <w:lang w:val="fr-CA"/>
        </w:rPr>
        <w:t>2.</w:t>
      </w:r>
      <w:r w:rsidRPr="00C95DDA">
        <w:rPr>
          <w:bCs/>
          <w:kern w:val="22"/>
          <w:szCs w:val="22"/>
          <w:lang w:val="fr-CA"/>
        </w:rPr>
        <w:tab/>
      </w:r>
      <w:r w:rsidRPr="00C95DDA">
        <w:rPr>
          <w:bCs/>
          <w:i/>
          <w:iCs/>
          <w:kern w:val="22"/>
          <w:szCs w:val="22"/>
          <w:lang w:val="fr-CA"/>
        </w:rPr>
        <w:t>Spécial</w:t>
      </w:r>
      <w:r w:rsidRPr="00C95DDA">
        <w:rPr>
          <w:kern w:val="22"/>
          <w:szCs w:val="22"/>
          <w:lang w:val="fr-CA"/>
        </w:rPr>
        <w:t xml:space="preserve"> — L’instrument </w:t>
      </w:r>
      <w:r w:rsidRPr="00C95DDA">
        <w:rPr>
          <w:bCs/>
          <w:i/>
          <w:iCs/>
          <w:kern w:val="22"/>
          <w:szCs w:val="22"/>
          <w:lang w:val="fr-CA"/>
        </w:rPr>
        <w:t>:</w:t>
      </w:r>
    </w:p>
    <w:p w14:paraId="4D863D5A" w14:textId="77777777" w:rsidR="00C95DDA" w:rsidRPr="00C95DDA" w:rsidRDefault="00C95DDA" w:rsidP="00C95DDA">
      <w:pPr>
        <w:suppressLineNumbers/>
        <w:suppressAutoHyphens/>
        <w:kinsoku w:val="0"/>
        <w:overflowPunct w:val="0"/>
        <w:autoSpaceDE w:val="0"/>
        <w:autoSpaceDN w:val="0"/>
        <w:adjustRightInd w:val="0"/>
        <w:snapToGrid w:val="0"/>
        <w:spacing w:after="120"/>
        <w:ind w:firstLine="720"/>
        <w:rPr>
          <w:kern w:val="22"/>
          <w:szCs w:val="22"/>
          <w:lang w:val="fr-CA"/>
        </w:rPr>
      </w:pPr>
      <w:r w:rsidRPr="00C95DDA">
        <w:rPr>
          <w:kern w:val="22"/>
          <w:szCs w:val="22"/>
          <w:lang w:val="fr-CA"/>
        </w:rPr>
        <w:t>a)</w:t>
      </w:r>
      <w:r w:rsidRPr="00C95DDA">
        <w:rPr>
          <w:kern w:val="22"/>
          <w:szCs w:val="22"/>
          <w:lang w:val="fr-CA"/>
        </w:rPr>
        <w:tab/>
        <w:t>S’appliquerait à un ensemble spécifique de ressources génétiques et/ou de connaissances traditionnelles associées aux ressources génétiques, qui entrent dans le champ d’application du Protocole de Nagoya ;</w:t>
      </w:r>
    </w:p>
    <w:p w14:paraId="31EC86F9" w14:textId="77777777" w:rsidR="00C95DDA" w:rsidRPr="00C95DDA" w:rsidRDefault="00C95DDA" w:rsidP="00C95DDA">
      <w:pPr>
        <w:suppressLineNumbers/>
        <w:suppressAutoHyphens/>
        <w:kinsoku w:val="0"/>
        <w:overflowPunct w:val="0"/>
        <w:autoSpaceDE w:val="0"/>
        <w:autoSpaceDN w:val="0"/>
        <w:adjustRightInd w:val="0"/>
        <w:snapToGrid w:val="0"/>
        <w:spacing w:after="120"/>
        <w:ind w:firstLine="720"/>
        <w:rPr>
          <w:kern w:val="22"/>
          <w:szCs w:val="22"/>
          <w:lang w:val="fr-CA"/>
        </w:rPr>
      </w:pPr>
      <w:r w:rsidRPr="00C95DDA">
        <w:rPr>
          <w:kern w:val="22"/>
          <w:szCs w:val="22"/>
          <w:lang w:val="fr-CA"/>
        </w:rPr>
        <w:t>b)</w:t>
      </w:r>
      <w:r w:rsidRPr="00C95DDA">
        <w:rPr>
          <w:kern w:val="22"/>
          <w:szCs w:val="22"/>
          <w:lang w:val="fr-CA"/>
        </w:rPr>
        <w:tab/>
        <w:t>S’appliquerait à des utilisations spécifiques de ressources génétiques et/ou de connaissances traditionnelles associées aux ressources génétiques, qui nécessitent une approche différenciée et, par conséquent, spéciale.</w:t>
      </w:r>
    </w:p>
    <w:p w14:paraId="5A02C796" w14:textId="77777777" w:rsidR="00C95DDA" w:rsidRPr="00C95DDA" w:rsidRDefault="00C95DDA" w:rsidP="00C95DDA">
      <w:pPr>
        <w:suppressLineNumbers/>
        <w:suppressAutoHyphens/>
        <w:kinsoku w:val="0"/>
        <w:overflowPunct w:val="0"/>
        <w:autoSpaceDE w:val="0"/>
        <w:autoSpaceDN w:val="0"/>
        <w:adjustRightInd w:val="0"/>
        <w:snapToGrid w:val="0"/>
        <w:spacing w:before="120" w:after="120"/>
        <w:rPr>
          <w:b/>
          <w:kern w:val="22"/>
          <w:szCs w:val="22"/>
          <w:lang w:val="fr-CA"/>
        </w:rPr>
      </w:pPr>
      <w:r w:rsidRPr="00C95DDA">
        <w:rPr>
          <w:bCs/>
          <w:kern w:val="22"/>
          <w:szCs w:val="22"/>
          <w:lang w:val="fr-CA"/>
        </w:rPr>
        <w:t>3.</w:t>
      </w:r>
      <w:r w:rsidRPr="00C95DDA">
        <w:rPr>
          <w:bCs/>
          <w:kern w:val="22"/>
          <w:szCs w:val="22"/>
          <w:lang w:val="fr-CA"/>
        </w:rPr>
        <w:tab/>
      </w:r>
      <w:r w:rsidRPr="00C95DDA">
        <w:rPr>
          <w:bCs/>
          <w:i/>
          <w:iCs/>
          <w:kern w:val="22"/>
          <w:szCs w:val="22"/>
          <w:lang w:val="fr-CA"/>
        </w:rPr>
        <w:t>Renforcement mutuel</w:t>
      </w:r>
      <w:r w:rsidRPr="00C95DDA">
        <w:rPr>
          <w:kern w:val="22"/>
          <w:szCs w:val="22"/>
          <w:lang w:val="fr-CA"/>
        </w:rPr>
        <w:t xml:space="preserve"> — L’instrument est complémentaire et compatible avec les objectifs de la Convention sur la diversité biologique et du Protocole de Nagoya, et ne va pas à l’encontre de ces objectifs, y compris en ce qui concerne les éléments suivants :</w:t>
      </w:r>
    </w:p>
    <w:p w14:paraId="37AFAA1F" w14:textId="77777777" w:rsidR="00C95DDA" w:rsidRPr="00C95DDA" w:rsidRDefault="00C95DDA" w:rsidP="00C95DDA">
      <w:pPr>
        <w:suppressLineNumbers/>
        <w:suppressAutoHyphens/>
        <w:kinsoku w:val="0"/>
        <w:overflowPunct w:val="0"/>
        <w:autoSpaceDE w:val="0"/>
        <w:autoSpaceDN w:val="0"/>
        <w:adjustRightInd w:val="0"/>
        <w:snapToGrid w:val="0"/>
        <w:spacing w:after="120"/>
        <w:ind w:firstLine="720"/>
        <w:rPr>
          <w:kern w:val="22"/>
          <w:szCs w:val="22"/>
          <w:lang w:val="fr-CA"/>
        </w:rPr>
      </w:pPr>
      <w:r w:rsidRPr="00C95DDA">
        <w:rPr>
          <w:kern w:val="22"/>
          <w:szCs w:val="22"/>
          <w:lang w:val="fr-CA"/>
        </w:rPr>
        <w:t>a)</w:t>
      </w:r>
      <w:r w:rsidRPr="00C95DDA">
        <w:rPr>
          <w:kern w:val="22"/>
          <w:szCs w:val="22"/>
          <w:lang w:val="fr-CA"/>
        </w:rPr>
        <w:tab/>
        <w:t>Compatibilité avec les objectifs de conservation et d’utilisation durable de la diversité biologique ;</w:t>
      </w:r>
    </w:p>
    <w:p w14:paraId="691E3EED" w14:textId="77777777" w:rsidR="00C95DDA" w:rsidRPr="00C95DDA" w:rsidRDefault="00C95DDA" w:rsidP="00C95DDA">
      <w:pPr>
        <w:suppressLineNumbers/>
        <w:suppressAutoHyphens/>
        <w:kinsoku w:val="0"/>
        <w:overflowPunct w:val="0"/>
        <w:autoSpaceDE w:val="0"/>
        <w:autoSpaceDN w:val="0"/>
        <w:adjustRightInd w:val="0"/>
        <w:snapToGrid w:val="0"/>
        <w:spacing w:after="120"/>
        <w:ind w:firstLine="720"/>
        <w:rPr>
          <w:kern w:val="22"/>
          <w:szCs w:val="22"/>
          <w:lang w:val="fr-CA"/>
        </w:rPr>
      </w:pPr>
      <w:r w:rsidRPr="00C95DDA">
        <w:rPr>
          <w:kern w:val="22"/>
          <w:szCs w:val="22"/>
          <w:lang w:val="fr-CA"/>
        </w:rPr>
        <w:lastRenderedPageBreak/>
        <w:t>b)</w:t>
      </w:r>
      <w:r w:rsidRPr="00C95DDA">
        <w:rPr>
          <w:kern w:val="22"/>
          <w:szCs w:val="22"/>
          <w:lang w:val="fr-CA"/>
        </w:rPr>
        <w:tab/>
        <w:t>Justice et équité dans le cadre du partage des avantages ;</w:t>
      </w:r>
    </w:p>
    <w:p w14:paraId="4860F7DE" w14:textId="77777777" w:rsidR="00C95DDA" w:rsidRPr="00C95DDA" w:rsidRDefault="00C95DDA" w:rsidP="00C95DDA">
      <w:pPr>
        <w:suppressLineNumbers/>
        <w:suppressAutoHyphens/>
        <w:kinsoku w:val="0"/>
        <w:overflowPunct w:val="0"/>
        <w:autoSpaceDE w:val="0"/>
        <w:autoSpaceDN w:val="0"/>
        <w:adjustRightInd w:val="0"/>
        <w:snapToGrid w:val="0"/>
        <w:spacing w:after="120"/>
        <w:ind w:firstLine="720"/>
        <w:rPr>
          <w:kern w:val="22"/>
          <w:szCs w:val="22"/>
          <w:lang w:val="fr-CA"/>
        </w:rPr>
      </w:pPr>
      <w:r w:rsidRPr="00C95DDA">
        <w:rPr>
          <w:kern w:val="22"/>
          <w:szCs w:val="22"/>
          <w:lang w:val="fr-CA"/>
        </w:rPr>
        <w:t>c)</w:t>
      </w:r>
      <w:r w:rsidRPr="00C95DDA">
        <w:rPr>
          <w:kern w:val="22"/>
          <w:szCs w:val="22"/>
          <w:lang w:val="fr-CA"/>
        </w:rPr>
        <w:tab/>
        <w:t>Sécurité juridique en ce qui concerne l’accès aux ressources génétiques ou aux connaissances traditionnelles associées aux ressources génétiques et au partage des avantages ;</w:t>
      </w:r>
    </w:p>
    <w:p w14:paraId="4B11DD75" w14:textId="77777777" w:rsidR="00C95DDA" w:rsidRPr="00C95DDA" w:rsidRDefault="00C95DDA" w:rsidP="00C95DDA">
      <w:pPr>
        <w:suppressLineNumbers/>
        <w:suppressAutoHyphens/>
        <w:kinsoku w:val="0"/>
        <w:overflowPunct w:val="0"/>
        <w:autoSpaceDE w:val="0"/>
        <w:autoSpaceDN w:val="0"/>
        <w:adjustRightInd w:val="0"/>
        <w:snapToGrid w:val="0"/>
        <w:spacing w:after="120"/>
        <w:ind w:firstLine="720"/>
        <w:rPr>
          <w:kern w:val="22"/>
          <w:szCs w:val="22"/>
          <w:lang w:val="fr-CA"/>
        </w:rPr>
      </w:pPr>
      <w:r w:rsidRPr="00C95DDA">
        <w:rPr>
          <w:kern w:val="22"/>
          <w:szCs w:val="22"/>
          <w:lang w:val="fr-CA"/>
        </w:rPr>
        <w:t>d)</w:t>
      </w:r>
      <w:r w:rsidRPr="00C95DDA">
        <w:rPr>
          <w:kern w:val="22"/>
          <w:szCs w:val="22"/>
          <w:lang w:val="fr-CA"/>
        </w:rPr>
        <w:tab/>
        <w:t>Contribution au développement durable, tel que consacré dans les objectifs convenus au niveau international ;</w:t>
      </w:r>
    </w:p>
    <w:p w14:paraId="2EEF0772" w14:textId="0769BB3B" w:rsidR="0005027F" w:rsidRPr="00C95DDA" w:rsidRDefault="00C95DDA" w:rsidP="00C95DDA">
      <w:pPr>
        <w:suppressLineNumbers/>
        <w:suppressAutoHyphens/>
        <w:kinsoku w:val="0"/>
        <w:overflowPunct w:val="0"/>
        <w:autoSpaceDE w:val="0"/>
        <w:autoSpaceDN w:val="0"/>
        <w:adjustRightInd w:val="0"/>
        <w:snapToGrid w:val="0"/>
        <w:spacing w:after="120"/>
        <w:ind w:firstLine="720"/>
        <w:rPr>
          <w:szCs w:val="22"/>
          <w:lang w:val="fr-CA"/>
        </w:rPr>
      </w:pPr>
      <w:r w:rsidRPr="00C95DDA">
        <w:rPr>
          <w:kern w:val="22"/>
          <w:szCs w:val="22"/>
          <w:lang w:val="fr-CA"/>
        </w:rPr>
        <w:t>e)</w:t>
      </w:r>
      <w:r w:rsidRPr="00C95DDA">
        <w:rPr>
          <w:kern w:val="22"/>
          <w:szCs w:val="22"/>
          <w:lang w:val="fr-CA"/>
        </w:rPr>
        <w:tab/>
        <w:t>D’autres principes généraux du droit international, y compris la bonne foi, l’efficacité et les attentes légitimes</w:t>
      </w:r>
      <w:r w:rsidR="00632A14" w:rsidRPr="00C95DDA">
        <w:rPr>
          <w:kern w:val="22"/>
          <w:szCs w:val="22"/>
          <w:lang w:val="fr-CA"/>
        </w:rPr>
        <w:t>.</w:t>
      </w:r>
    </w:p>
    <w:p w14:paraId="7063E017" w14:textId="12188743" w:rsidR="00FA7CB3" w:rsidRPr="00C95DDA" w:rsidRDefault="00FA7CB3" w:rsidP="007E23CD">
      <w:pPr>
        <w:jc w:val="center"/>
        <w:rPr>
          <w:szCs w:val="22"/>
          <w:lang w:val="fr-CA"/>
        </w:rPr>
      </w:pPr>
      <w:bookmarkStart w:id="1" w:name="_GoBack"/>
      <w:bookmarkEnd w:id="1"/>
      <w:r w:rsidRPr="00C95DDA">
        <w:rPr>
          <w:szCs w:val="22"/>
          <w:lang w:val="fr-CA"/>
        </w:rPr>
        <w:t>__________</w:t>
      </w:r>
    </w:p>
    <w:sectPr w:rsidR="00FA7CB3" w:rsidRPr="00C95DDA"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58E9A" w14:textId="77777777" w:rsidR="001F5380" w:rsidRDefault="001F5380" w:rsidP="00CF1848">
      <w:r>
        <w:separator/>
      </w:r>
    </w:p>
  </w:endnote>
  <w:endnote w:type="continuationSeparator" w:id="0">
    <w:p w14:paraId="0BDE36E2" w14:textId="77777777" w:rsidR="001F5380" w:rsidRDefault="001F538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9DCAB" w14:textId="77777777" w:rsidR="001F5380" w:rsidRDefault="001F5380" w:rsidP="00CF1848">
      <w:r>
        <w:separator/>
      </w:r>
    </w:p>
  </w:footnote>
  <w:footnote w:type="continuationSeparator" w:id="0">
    <w:p w14:paraId="1D49C58C" w14:textId="77777777" w:rsidR="001F5380" w:rsidRDefault="001F5380" w:rsidP="00CF1848">
      <w:r>
        <w:continuationSeparator/>
      </w:r>
    </w:p>
  </w:footnote>
  <w:footnote w:id="1">
    <w:p w14:paraId="7E408538" w14:textId="77777777" w:rsidR="00C95DDA" w:rsidRPr="00541921" w:rsidRDefault="00C95DDA" w:rsidP="00C95DDA">
      <w:pPr>
        <w:pStyle w:val="Notedebasdepage"/>
        <w:kinsoku w:val="0"/>
        <w:overflowPunct w:val="0"/>
        <w:autoSpaceDE w:val="0"/>
        <w:autoSpaceDN w:val="0"/>
        <w:ind w:firstLine="0"/>
        <w:jc w:val="left"/>
        <w:rPr>
          <w:szCs w:val="18"/>
          <w:lang w:val="en-CA"/>
        </w:rPr>
      </w:pPr>
      <w:r>
        <w:rPr>
          <w:rStyle w:val="Appelnotedebasdep"/>
          <w:rFonts w:eastAsiaTheme="majorEastAsia"/>
          <w:sz w:val="18"/>
          <w:szCs w:val="18"/>
        </w:rPr>
        <w:footnoteRef/>
      </w:r>
      <w:r w:rsidRPr="004376D3">
        <w:rPr>
          <w:szCs w:val="18"/>
          <w:lang w:val="en-US"/>
        </w:rPr>
        <w:t xml:space="preserve"> « Study into criteria to identify a specialized international access and benefit-sharing instrument, and a possible process for its recognition » (CBD/</w:t>
      </w:r>
      <w:proofErr w:type="spellStart"/>
      <w:r w:rsidRPr="004376D3">
        <w:rPr>
          <w:szCs w:val="18"/>
          <w:lang w:val="en-US"/>
        </w:rPr>
        <w:t>SBI</w:t>
      </w:r>
      <w:proofErr w:type="spellEnd"/>
      <w:r w:rsidRPr="004376D3">
        <w:rPr>
          <w:szCs w:val="18"/>
          <w:lang w:val="en-US"/>
        </w:rPr>
        <w:t>/2/INF/17).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543E72E6" w:rsidR="00A00BE5" w:rsidRPr="00D8683D" w:rsidRDefault="00D8683D" w:rsidP="00E86291">
        <w:pPr>
          <w:pStyle w:val="En-tte"/>
          <w:tabs>
            <w:tab w:val="clear" w:pos="4320"/>
            <w:tab w:val="clear" w:pos="8640"/>
          </w:tabs>
          <w:jc w:val="left"/>
          <w:rPr>
            <w:noProof/>
            <w:kern w:val="22"/>
            <w:lang w:val="fr-FR"/>
          </w:rPr>
        </w:pPr>
        <w:r>
          <w:rPr>
            <w:noProof/>
            <w:kern w:val="22"/>
            <w:lang w:val="fr-FR"/>
          </w:rPr>
          <w:t>CBD/NP/MOP/DEC/3/14</w:t>
        </w:r>
      </w:p>
    </w:sdtContent>
  </w:sdt>
  <w:p w14:paraId="57597240" w14:textId="2BA661D0" w:rsidR="00A00BE5" w:rsidRPr="00D8683D" w:rsidRDefault="00A00BE5" w:rsidP="00E86291">
    <w:pPr>
      <w:pStyle w:val="En-tte"/>
      <w:tabs>
        <w:tab w:val="clear" w:pos="4320"/>
        <w:tab w:val="clear" w:pos="8640"/>
      </w:tabs>
      <w:jc w:val="left"/>
      <w:rPr>
        <w:noProof/>
        <w:kern w:val="22"/>
        <w:lang w:val="fr-FR"/>
      </w:rPr>
    </w:pPr>
    <w:r w:rsidRPr="00D8683D">
      <w:rPr>
        <w:noProof/>
        <w:kern w:val="22"/>
        <w:lang w:val="fr-FR"/>
      </w:rPr>
      <w:t xml:space="preserve">Page </w:t>
    </w:r>
    <w:r w:rsidRPr="007E23CD">
      <w:rPr>
        <w:noProof/>
        <w:kern w:val="22"/>
      </w:rPr>
      <w:fldChar w:fldCharType="begin"/>
    </w:r>
    <w:r w:rsidRPr="00D8683D">
      <w:rPr>
        <w:noProof/>
        <w:kern w:val="22"/>
        <w:lang w:val="fr-FR"/>
      </w:rPr>
      <w:instrText xml:space="preserve"> PAGE   \* MERGEFORMAT </w:instrText>
    </w:r>
    <w:r w:rsidRPr="007E23CD">
      <w:rPr>
        <w:noProof/>
        <w:kern w:val="22"/>
      </w:rPr>
      <w:fldChar w:fldCharType="separate"/>
    </w:r>
    <w:r w:rsidR="0095498B">
      <w:rPr>
        <w:noProof/>
        <w:kern w:val="22"/>
        <w:lang w:val="fr-FR"/>
      </w:rPr>
      <w:t>2</w:t>
    </w:r>
    <w:r w:rsidRPr="007E23CD">
      <w:rPr>
        <w:noProof/>
        <w:kern w:val="22"/>
      </w:rPr>
      <w:fldChar w:fldCharType="end"/>
    </w:r>
  </w:p>
  <w:p w14:paraId="1D80EB20" w14:textId="77777777" w:rsidR="00A00BE5" w:rsidRPr="00D8683D" w:rsidRDefault="00A00BE5" w:rsidP="00E86291">
    <w:pPr>
      <w:pStyle w:val="En-tte"/>
      <w:tabs>
        <w:tab w:val="clear" w:pos="4320"/>
        <w:tab w:val="clear" w:pos="8640"/>
      </w:tabs>
      <w:jc w:val="left"/>
      <w:rPr>
        <w:noProof/>
        <w:kern w:val="22"/>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4E0E08AA" w:rsidR="00A00BE5" w:rsidRPr="007E23CD" w:rsidRDefault="00D8683D" w:rsidP="009505C9">
        <w:pPr>
          <w:pStyle w:val="En-tte"/>
          <w:jc w:val="right"/>
          <w:rPr>
            <w:lang w:val="fr-FR"/>
          </w:rPr>
        </w:pPr>
        <w:r>
          <w:rPr>
            <w:lang w:val="fr-FR"/>
          </w:rPr>
          <w:t>CBD/NP/MOP/DEC/3/14</w:t>
        </w:r>
      </w:p>
    </w:sdtContent>
  </w:sdt>
  <w:p w14:paraId="7E9B8683" w14:textId="12EB0436" w:rsidR="00A00BE5" w:rsidRPr="00000614" w:rsidRDefault="00A00BE5" w:rsidP="009505C9">
    <w:pPr>
      <w:pStyle w:val="En-tte"/>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5498B">
      <w:rPr>
        <w:noProof/>
        <w:lang w:val="fr-FR"/>
      </w:rPr>
      <w:t>3</w:t>
    </w:r>
    <w:r>
      <w:rPr>
        <w:noProof/>
      </w:rPr>
      <w:fldChar w:fldCharType="end"/>
    </w:r>
  </w:p>
  <w:p w14:paraId="2F845650" w14:textId="77777777" w:rsidR="00A00BE5" w:rsidRPr="00000614" w:rsidRDefault="00A00BE5">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15026"/>
    <w:rsid w:val="0005027F"/>
    <w:rsid w:val="000D43C2"/>
    <w:rsid w:val="000E673A"/>
    <w:rsid w:val="000F2F6A"/>
    <w:rsid w:val="000F74F5"/>
    <w:rsid w:val="00105372"/>
    <w:rsid w:val="00107981"/>
    <w:rsid w:val="00131E7A"/>
    <w:rsid w:val="00142F5D"/>
    <w:rsid w:val="00172AF6"/>
    <w:rsid w:val="00176CEE"/>
    <w:rsid w:val="001F5380"/>
    <w:rsid w:val="002611CB"/>
    <w:rsid w:val="00271476"/>
    <w:rsid w:val="002901C4"/>
    <w:rsid w:val="002D5F92"/>
    <w:rsid w:val="00327B3D"/>
    <w:rsid w:val="00372F74"/>
    <w:rsid w:val="00375F2F"/>
    <w:rsid w:val="003B21BB"/>
    <w:rsid w:val="003D6962"/>
    <w:rsid w:val="003F7224"/>
    <w:rsid w:val="00405146"/>
    <w:rsid w:val="00407C18"/>
    <w:rsid w:val="0042412C"/>
    <w:rsid w:val="00427D21"/>
    <w:rsid w:val="004433C2"/>
    <w:rsid w:val="004644C2"/>
    <w:rsid w:val="00464FF7"/>
    <w:rsid w:val="00467F9C"/>
    <w:rsid w:val="00477BBB"/>
    <w:rsid w:val="00484B6E"/>
    <w:rsid w:val="005201DE"/>
    <w:rsid w:val="00530E2B"/>
    <w:rsid w:val="005345E1"/>
    <w:rsid w:val="00534681"/>
    <w:rsid w:val="00541921"/>
    <w:rsid w:val="00553F58"/>
    <w:rsid w:val="005654DB"/>
    <w:rsid w:val="005B0E23"/>
    <w:rsid w:val="005F5E29"/>
    <w:rsid w:val="006122BA"/>
    <w:rsid w:val="0061445E"/>
    <w:rsid w:val="00632A14"/>
    <w:rsid w:val="006B2290"/>
    <w:rsid w:val="006D4CB3"/>
    <w:rsid w:val="006D52E4"/>
    <w:rsid w:val="006F1189"/>
    <w:rsid w:val="00717D88"/>
    <w:rsid w:val="007648AF"/>
    <w:rsid w:val="007942D3"/>
    <w:rsid w:val="007B6C09"/>
    <w:rsid w:val="007E09DA"/>
    <w:rsid w:val="007E23CD"/>
    <w:rsid w:val="00810015"/>
    <w:rsid w:val="008122BF"/>
    <w:rsid w:val="00813C15"/>
    <w:rsid w:val="008178B6"/>
    <w:rsid w:val="00852713"/>
    <w:rsid w:val="0085653F"/>
    <w:rsid w:val="00856C29"/>
    <w:rsid w:val="00865B74"/>
    <w:rsid w:val="008C6B31"/>
    <w:rsid w:val="0090105E"/>
    <w:rsid w:val="0091043C"/>
    <w:rsid w:val="00930BA1"/>
    <w:rsid w:val="0093169E"/>
    <w:rsid w:val="009505C9"/>
    <w:rsid w:val="0095498B"/>
    <w:rsid w:val="0097115D"/>
    <w:rsid w:val="009C200D"/>
    <w:rsid w:val="00A00BE5"/>
    <w:rsid w:val="00A13576"/>
    <w:rsid w:val="00A3385B"/>
    <w:rsid w:val="00A41B97"/>
    <w:rsid w:val="00B03DE4"/>
    <w:rsid w:val="00B3369F"/>
    <w:rsid w:val="00B43544"/>
    <w:rsid w:val="00BE502E"/>
    <w:rsid w:val="00C33685"/>
    <w:rsid w:val="00C35537"/>
    <w:rsid w:val="00C9161D"/>
    <w:rsid w:val="00C95DDA"/>
    <w:rsid w:val="00CF1848"/>
    <w:rsid w:val="00D12044"/>
    <w:rsid w:val="00D76A18"/>
    <w:rsid w:val="00D8683D"/>
    <w:rsid w:val="00DD118C"/>
    <w:rsid w:val="00DF6D3C"/>
    <w:rsid w:val="00E229A8"/>
    <w:rsid w:val="00E61C41"/>
    <w:rsid w:val="00E66235"/>
    <w:rsid w:val="00E83C24"/>
    <w:rsid w:val="00E86291"/>
    <w:rsid w:val="00E9318D"/>
    <w:rsid w:val="00F27A1E"/>
    <w:rsid w:val="00F34F4F"/>
    <w:rsid w:val="00F94774"/>
    <w:rsid w:val="00FA5276"/>
    <w:rsid w:val="00FA7CB3"/>
    <w:rsid w:val="00FC53DB"/>
    <w:rsid w:val="00FF752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styleId="Sansinterligne">
    <w:name w:val="No Spacing"/>
    <w:link w:val="SansinterligneCar"/>
    <w:uiPriority w:val="1"/>
    <w:qFormat/>
    <w:rsid w:val="0061445E"/>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5654DB"/>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5654DB"/>
    <w:rPr>
      <w:kern w:val="22"/>
      <w:sz w:val="18"/>
      <w:u w:val="none"/>
      <w:vertAlign w:val="superscript"/>
    </w:rPr>
  </w:style>
  <w:style w:type="paragraph" w:customStyle="1" w:styleId="item-compilation">
    <w:name w:val="item-compilation"/>
    <w:basedOn w:val="Normal"/>
    <w:qFormat/>
    <w:rsid w:val="005654DB"/>
    <w:pPr>
      <w:jc w:val="center"/>
    </w:pPr>
    <w:rPr>
      <w:rFonts w:eastAsia="Malgun Gothic"/>
      <w:b/>
      <w:lang w:eastAsia="x-none"/>
    </w:rPr>
  </w:style>
  <w:style w:type="paragraph" w:styleId="Objetducommentaire">
    <w:name w:val="annotation subject"/>
    <w:basedOn w:val="Commentaire"/>
    <w:next w:val="Commentaire"/>
    <w:link w:val="ObjetducommentaireCar"/>
    <w:uiPriority w:val="99"/>
    <w:semiHidden/>
    <w:unhideWhenUsed/>
    <w:rsid w:val="002611CB"/>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611CB"/>
    <w:rPr>
      <w:rFonts w:ascii="Times New Roman" w:eastAsia="Times New Roman" w:hAnsi="Times New Roman" w:cs="Times New Roman"/>
      <w:b/>
      <w:bCs/>
      <w:sz w:val="20"/>
      <w:szCs w:val="20"/>
      <w:lang w:val="en-GB"/>
    </w:rPr>
  </w:style>
  <w:style w:type="table" w:customStyle="1" w:styleId="TableGrid1">
    <w:name w:val="Table Grid1"/>
    <w:basedOn w:val="TableauNormal"/>
    <w:next w:val="Grilledutableau"/>
    <w:uiPriority w:val="59"/>
    <w:rsid w:val="002D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2DC15644B7F98D4C8758E5797E157481"/>
        <w:category>
          <w:name w:val="General"/>
          <w:gallery w:val="placeholder"/>
        </w:category>
        <w:types>
          <w:type w:val="bbPlcHdr"/>
        </w:types>
        <w:behaviors>
          <w:behavior w:val="content"/>
        </w:behaviors>
        <w:guid w:val="{39FF0650-E4A7-204C-982D-3F078967EBA4}"/>
      </w:docPartPr>
      <w:docPartBody>
        <w:p w:rsidR="00A82670" w:rsidRDefault="00B32C92" w:rsidP="00B32C92">
          <w:pPr>
            <w:pStyle w:val="2DC15644B7F98D4C8758E5797E157481"/>
          </w:pPr>
          <w:r w:rsidRPr="007E02EB">
            <w:rPr>
              <w:rStyle w:val="Textedelespacerserv"/>
            </w:rPr>
            <w:t>[Status]</w:t>
          </w:r>
        </w:p>
      </w:docPartBody>
    </w:docPart>
    <w:docPart>
      <w:docPartPr>
        <w:name w:val="63A7474FA73CC342BBD332D23580261D"/>
        <w:category>
          <w:name w:val="General"/>
          <w:gallery w:val="placeholder"/>
        </w:category>
        <w:types>
          <w:type w:val="bbPlcHdr"/>
        </w:types>
        <w:behaviors>
          <w:behavior w:val="content"/>
        </w:behaviors>
        <w:guid w:val="{DE807755-5FD0-F147-BADC-543311CA452D}"/>
      </w:docPartPr>
      <w:docPartBody>
        <w:p w:rsidR="00A82670" w:rsidRDefault="00B32C92" w:rsidP="00B32C92">
          <w:pPr>
            <w:pStyle w:val="63A7474FA73CC342BBD332D23580261D"/>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C131E"/>
    <w:rsid w:val="001D6DAB"/>
    <w:rsid w:val="00261E9A"/>
    <w:rsid w:val="00450D4E"/>
    <w:rsid w:val="00500A2B"/>
    <w:rsid w:val="005461E8"/>
    <w:rsid w:val="0058288D"/>
    <w:rsid w:val="006801B3"/>
    <w:rsid w:val="00720F63"/>
    <w:rsid w:val="007C521A"/>
    <w:rsid w:val="007E0EA4"/>
    <w:rsid w:val="007F1B76"/>
    <w:rsid w:val="00810A55"/>
    <w:rsid w:val="008C6619"/>
    <w:rsid w:val="008D420E"/>
    <w:rsid w:val="0098642F"/>
    <w:rsid w:val="00A82670"/>
    <w:rsid w:val="00B32C92"/>
    <w:rsid w:val="00B92240"/>
    <w:rsid w:val="00CE6602"/>
    <w:rsid w:val="00D21909"/>
    <w:rsid w:val="00F6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2C92"/>
    <w:rPr>
      <w:color w:val="808080"/>
    </w:rPr>
  </w:style>
  <w:style w:type="paragraph" w:customStyle="1" w:styleId="C444DEE40D7C456B82AF1A09CD132ABF">
    <w:name w:val="C444DEE40D7C456B82AF1A09CD132ABF"/>
    <w:rsid w:val="00CE6602"/>
    <w:pPr>
      <w:spacing w:after="160" w:line="259" w:lineRule="auto"/>
    </w:pPr>
  </w:style>
  <w:style w:type="paragraph" w:customStyle="1" w:styleId="CA9595D5FE5E224CAFF20229EE416AB3">
    <w:name w:val="CA9595D5FE5E224CAFF20229EE416AB3"/>
    <w:rsid w:val="00B92240"/>
    <w:pPr>
      <w:spacing w:after="0" w:line="240" w:lineRule="auto"/>
    </w:pPr>
    <w:rPr>
      <w:sz w:val="24"/>
      <w:szCs w:val="24"/>
      <w:lang w:val="en-CA"/>
    </w:rPr>
  </w:style>
  <w:style w:type="paragraph" w:customStyle="1" w:styleId="2E032891AF14B1479165D8F901946528">
    <w:name w:val="2E032891AF14B1479165D8F901946528"/>
    <w:rsid w:val="00B32C92"/>
    <w:pPr>
      <w:spacing w:after="0" w:line="240" w:lineRule="auto"/>
    </w:pPr>
    <w:rPr>
      <w:sz w:val="24"/>
      <w:szCs w:val="24"/>
      <w:lang w:val="en-CA"/>
    </w:rPr>
  </w:style>
  <w:style w:type="paragraph" w:customStyle="1" w:styleId="8A048DDAE2A2844086DFD02517D0057B">
    <w:name w:val="8A048DDAE2A2844086DFD02517D0057B"/>
    <w:rsid w:val="00B32C92"/>
    <w:pPr>
      <w:spacing w:after="0" w:line="240" w:lineRule="auto"/>
    </w:pPr>
    <w:rPr>
      <w:sz w:val="24"/>
      <w:szCs w:val="24"/>
      <w:lang w:val="en-CA"/>
    </w:rPr>
  </w:style>
  <w:style w:type="paragraph" w:customStyle="1" w:styleId="D3A6E767E35F0C41A0E7BE2518F65063">
    <w:name w:val="D3A6E767E35F0C41A0E7BE2518F65063"/>
    <w:rsid w:val="00B32C92"/>
    <w:pPr>
      <w:spacing w:after="0" w:line="240" w:lineRule="auto"/>
    </w:pPr>
    <w:rPr>
      <w:sz w:val="24"/>
      <w:szCs w:val="24"/>
      <w:lang w:val="en-CA"/>
    </w:rPr>
  </w:style>
  <w:style w:type="paragraph" w:customStyle="1" w:styleId="EEA95782999BEF45931B75C1E76394D6">
    <w:name w:val="EEA95782999BEF45931B75C1E76394D6"/>
    <w:rsid w:val="00B32C92"/>
    <w:pPr>
      <w:spacing w:after="0" w:line="240" w:lineRule="auto"/>
    </w:pPr>
    <w:rPr>
      <w:sz w:val="24"/>
      <w:szCs w:val="24"/>
      <w:lang w:val="en-CA"/>
    </w:rPr>
  </w:style>
  <w:style w:type="paragraph" w:customStyle="1" w:styleId="2DC15644B7F98D4C8758E5797E157481">
    <w:name w:val="2DC15644B7F98D4C8758E5797E157481"/>
    <w:rsid w:val="00B32C92"/>
    <w:pPr>
      <w:spacing w:after="0" w:line="240" w:lineRule="auto"/>
    </w:pPr>
    <w:rPr>
      <w:sz w:val="24"/>
      <w:szCs w:val="24"/>
      <w:lang w:val="en-CA"/>
    </w:rPr>
  </w:style>
  <w:style w:type="paragraph" w:customStyle="1" w:styleId="63A7474FA73CC342BBD332D23580261D">
    <w:name w:val="63A7474FA73CC342BBD332D23580261D"/>
    <w:rsid w:val="00B32C92"/>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A9A409-46BB-4F2F-8A54-7C49A61F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979</Words>
  <Characters>5389</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Specialized international access and benefit sharing instruments in the context of Article 4, paragraph 4, of the Nagoya Protocol</vt:lpstr>
      <vt:lpstr>Specialized international access and benefit sharing instruments in the context of Article 4, paragraph 4, of the Nagoya Protocol</vt:lpstr>
    </vt:vector>
  </TitlesOfParts>
  <Company>SCBD</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Instruments internationaux spéciaux sur l'accès et le partage des avantages dans le contexte du paragraphe 4 de l'article 4 du Protocole de Nagoya</dc:title>
  <dc:subject>CBD/NP/MOP/DEC/3/14</dc:subject>
  <dc:creator>COP 14/WG 1</dc:creator>
  <cp:keywords>Specialized international access and benefit sharing instruments in the context of Article 4, paragraph 4, of the Nagoya Protocol, Nagoya Protocol on Access to Genetic Resources and the Fair and Equitable Sharing of Benefits Arising from their Utilization, Convention on Biological Diversity</cp:keywords>
  <cp:lastModifiedBy>Louise</cp:lastModifiedBy>
  <cp:revision>3</cp:revision>
  <cp:lastPrinted>2018-11-20T08:33:00Z</cp:lastPrinted>
  <dcterms:created xsi:type="dcterms:W3CDTF">2019-02-20T18:29:00Z</dcterms:created>
  <dcterms:modified xsi:type="dcterms:W3CDTF">2019-02-20T18:40:00Z</dcterms:modified>
  <cp:contentStatus>GÉNÉRALE</cp:contentStatus>
</cp:coreProperties>
</file>