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0"/>
        <w:gridCol w:w="4090"/>
      </w:tblGrid>
      <w:tr w:rsidR="00A3761B" w:rsidRPr="00A3761B" w:rsidTr="00027102">
        <w:trPr>
          <w:trHeight w:val="709"/>
        </w:trPr>
        <w:tc>
          <w:tcPr>
            <w:tcW w:w="977" w:type="dxa"/>
            <w:tcBorders>
              <w:bottom w:val="single" w:sz="12" w:space="0" w:color="auto"/>
            </w:tcBorders>
          </w:tcPr>
          <w:p w:rsidR="002018CB" w:rsidRPr="00A3761B" w:rsidRDefault="002018CB" w:rsidP="00C30D6C">
            <w:pPr>
              <w:rPr>
                <w:color w:val="000000" w:themeColor="text1"/>
              </w:rPr>
            </w:pPr>
            <w:r w:rsidRPr="00A3761B">
              <w:rPr>
                <w:noProof/>
                <w:color w:val="000000" w:themeColor="text1"/>
                <w:lang w:val="es-ES" w:eastAsia="es-E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0" w:type="dxa"/>
            <w:tcBorders>
              <w:bottom w:val="single" w:sz="12" w:space="0" w:color="auto"/>
            </w:tcBorders>
          </w:tcPr>
          <w:p w:rsidR="002018CB" w:rsidRPr="00A3761B" w:rsidRDefault="002018CB" w:rsidP="00C30D6C">
            <w:pPr>
              <w:rPr>
                <w:color w:val="000000" w:themeColor="text1"/>
              </w:rPr>
            </w:pPr>
            <w:r w:rsidRPr="00A3761B">
              <w:rPr>
                <w:noProof/>
                <w:color w:val="000000" w:themeColor="text1"/>
                <w:lang w:val="es-ES" w:eastAsia="es-ES"/>
              </w:rPr>
              <w:drawing>
                <wp:inline distT="0" distB="0" distL="0" distR="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2018CB" w:rsidRPr="00A3761B" w:rsidRDefault="002018CB" w:rsidP="00C30D6C">
            <w:pPr>
              <w:jc w:val="right"/>
              <w:rPr>
                <w:rFonts w:ascii="Arial" w:hAnsi="Arial" w:cs="Arial"/>
                <w:b/>
                <w:color w:val="000000" w:themeColor="text1"/>
                <w:sz w:val="32"/>
                <w:szCs w:val="32"/>
              </w:rPr>
            </w:pPr>
            <w:r w:rsidRPr="00A3761B">
              <w:rPr>
                <w:rFonts w:ascii="Arial" w:hAnsi="Arial" w:cs="Arial"/>
                <w:b/>
                <w:color w:val="000000" w:themeColor="text1"/>
                <w:sz w:val="32"/>
                <w:szCs w:val="32"/>
              </w:rPr>
              <w:t>CBD</w:t>
            </w:r>
          </w:p>
        </w:tc>
      </w:tr>
      <w:tr w:rsidR="00A3761B" w:rsidRPr="00027102" w:rsidTr="00C30D6C">
        <w:tc>
          <w:tcPr>
            <w:tcW w:w="6117" w:type="dxa"/>
            <w:gridSpan w:val="2"/>
            <w:tcBorders>
              <w:top w:val="single" w:sz="12" w:space="0" w:color="auto"/>
              <w:bottom w:val="single" w:sz="36" w:space="0" w:color="auto"/>
            </w:tcBorders>
            <w:vAlign w:val="center"/>
          </w:tcPr>
          <w:p w:rsidR="002018CB" w:rsidRPr="00A3761B" w:rsidRDefault="00027102" w:rsidP="00C30D6C">
            <w:pPr>
              <w:rPr>
                <w:color w:val="000000" w:themeColor="text1"/>
              </w:rPr>
            </w:pPr>
            <w:r w:rsidRPr="00027102">
              <w:rPr>
                <w:noProof/>
                <w:color w:val="000000" w:themeColor="text1"/>
                <w:lang w:val="es-ES" w:eastAsia="es-ES"/>
              </w:rPr>
              <w:drawing>
                <wp:inline distT="0" distB="0" distL="0" distR="0">
                  <wp:extent cx="2910205" cy="1081405"/>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10205" cy="108140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2018CB" w:rsidRPr="00A3761B" w:rsidRDefault="002018CB" w:rsidP="00C30D6C">
            <w:pPr>
              <w:ind w:left="1108"/>
              <w:rPr>
                <w:color w:val="000000" w:themeColor="text1"/>
                <w:szCs w:val="22"/>
              </w:rPr>
            </w:pPr>
            <w:r w:rsidRPr="00A3761B">
              <w:rPr>
                <w:color w:val="000000" w:themeColor="text1"/>
                <w:szCs w:val="22"/>
              </w:rPr>
              <w:t>Distr.</w:t>
            </w:r>
          </w:p>
          <w:p w:rsidR="002018CB" w:rsidRPr="00A3761B" w:rsidRDefault="00EF11BC" w:rsidP="00C30D6C">
            <w:pPr>
              <w:ind w:left="1108"/>
              <w:rPr>
                <w:color w:val="000000" w:themeColor="text1"/>
                <w:szCs w:val="22"/>
              </w:rPr>
            </w:pPr>
            <w:sdt>
              <w:sdtPr>
                <w:rPr>
                  <w:caps/>
                  <w:color w:val="000000" w:themeColor="text1"/>
                  <w:szCs w:val="22"/>
                </w:rPr>
                <w:alias w:val="Status"/>
                <w:tag w:val=""/>
                <w:id w:val="307985777"/>
                <w:placeholder>
                  <w:docPart w:val="D0AAB56E4D6C4ADE8EAC47103FAA29F4"/>
                </w:placeholder>
                <w:dataBinding w:prefixMappings="xmlns:ns0='http://purl.org/dc/elements/1.1/' xmlns:ns1='http://schemas.openxmlformats.org/package/2006/metadata/core-properties' " w:xpath="/ns1:coreProperties[1]/ns1:contentStatus[1]" w:storeItemID="{6C3C8BC8-F283-45AE-878A-BAB7291924A1}"/>
                <w:text/>
              </w:sdtPr>
              <w:sdtContent>
                <w:r w:rsidR="00A61CBC">
                  <w:rPr>
                    <w:caps/>
                    <w:color w:val="000000" w:themeColor="text1"/>
                    <w:szCs w:val="22"/>
                  </w:rPr>
                  <w:t>GENERAL</w:t>
                </w:r>
              </w:sdtContent>
            </w:sdt>
          </w:p>
          <w:p w:rsidR="002018CB" w:rsidRPr="00A3761B" w:rsidRDefault="002018CB" w:rsidP="00C30D6C">
            <w:pPr>
              <w:ind w:left="1108"/>
              <w:rPr>
                <w:color w:val="000000" w:themeColor="text1"/>
                <w:szCs w:val="22"/>
              </w:rPr>
            </w:pPr>
          </w:p>
          <w:p w:rsidR="002018CB" w:rsidRPr="00A3761B" w:rsidRDefault="00EF11BC" w:rsidP="00C30D6C">
            <w:pPr>
              <w:ind w:left="1108"/>
              <w:rPr>
                <w:color w:val="000000" w:themeColor="text1"/>
                <w:szCs w:val="22"/>
              </w:rPr>
            </w:pPr>
            <w:sdt>
              <w:sdtPr>
                <w:rPr>
                  <w:color w:val="000000" w:themeColor="text1"/>
                  <w:lang w:val="en-US"/>
                </w:rPr>
                <w:alias w:val="Subject"/>
                <w:tag w:val=""/>
                <w:id w:val="2137136483"/>
                <w:placeholder>
                  <w:docPart w:val="BF3C3F00538B446580626CBBAA650050"/>
                </w:placeholder>
                <w:dataBinding w:prefixMappings="xmlns:ns0='http://purl.org/dc/elements/1.1/' xmlns:ns1='http://schemas.openxmlformats.org/package/2006/metadata/core-properties' " w:xpath="/ns1:coreProperties[1]/ns0:subject[1]" w:storeItemID="{6C3C8BC8-F283-45AE-878A-BAB7291924A1}"/>
                <w:text/>
              </w:sdtPr>
              <w:sdtContent>
                <w:r w:rsidR="00A61CBC" w:rsidRPr="00A3761B">
                  <w:rPr>
                    <w:color w:val="000000" w:themeColor="text1"/>
                    <w:lang w:val="en-US"/>
                  </w:rPr>
                  <w:t>CBD/NP/MOP/</w:t>
                </w:r>
                <w:r w:rsidR="00A61CBC">
                  <w:rPr>
                    <w:color w:val="000000" w:themeColor="text1"/>
                    <w:lang w:val="en-US"/>
                  </w:rPr>
                  <w:t>DEC/</w:t>
                </w:r>
                <w:r w:rsidR="00A61CBC" w:rsidRPr="00A3761B">
                  <w:rPr>
                    <w:color w:val="000000" w:themeColor="text1"/>
                    <w:lang w:val="en-US"/>
                  </w:rPr>
                  <w:t>3/</w:t>
                </w:r>
                <w:r w:rsidR="00A61CBC">
                  <w:rPr>
                    <w:color w:val="000000" w:themeColor="text1"/>
                    <w:lang w:val="en-US"/>
                  </w:rPr>
                  <w:t>15</w:t>
                </w:r>
              </w:sdtContent>
            </w:sdt>
          </w:p>
          <w:p w:rsidR="002018CB" w:rsidRPr="00027102" w:rsidRDefault="00A61CBC" w:rsidP="00C30D6C">
            <w:pPr>
              <w:ind w:left="1108"/>
              <w:rPr>
                <w:color w:val="000000" w:themeColor="text1"/>
                <w:szCs w:val="22"/>
                <w:lang w:val="es-ES"/>
              </w:rPr>
            </w:pPr>
            <w:r w:rsidRPr="00027102">
              <w:rPr>
                <w:color w:val="000000" w:themeColor="text1"/>
                <w:szCs w:val="22"/>
                <w:lang w:val="es-ES"/>
              </w:rPr>
              <w:t xml:space="preserve">30 </w:t>
            </w:r>
            <w:r w:rsidR="00027102" w:rsidRPr="00027102">
              <w:rPr>
                <w:color w:val="000000" w:themeColor="text1"/>
                <w:szCs w:val="22"/>
                <w:lang w:val="es-ES"/>
              </w:rPr>
              <w:t>de noviembre de</w:t>
            </w:r>
            <w:r w:rsidR="002018CB" w:rsidRPr="00027102">
              <w:rPr>
                <w:color w:val="000000" w:themeColor="text1"/>
                <w:szCs w:val="22"/>
                <w:lang w:val="es-ES"/>
              </w:rPr>
              <w:t xml:space="preserve"> 2018</w:t>
            </w:r>
          </w:p>
          <w:p w:rsidR="002018CB" w:rsidRPr="00027102" w:rsidRDefault="002018CB" w:rsidP="00C30D6C">
            <w:pPr>
              <w:ind w:left="1108"/>
              <w:rPr>
                <w:color w:val="000000" w:themeColor="text1"/>
                <w:szCs w:val="22"/>
                <w:lang w:val="es-ES"/>
              </w:rPr>
            </w:pPr>
          </w:p>
          <w:p w:rsidR="00027102" w:rsidRPr="00027102" w:rsidRDefault="00027102" w:rsidP="00C30D6C">
            <w:pPr>
              <w:ind w:left="1108"/>
              <w:rPr>
                <w:color w:val="000000" w:themeColor="text1"/>
                <w:szCs w:val="22"/>
                <w:lang w:val="es-ES"/>
              </w:rPr>
            </w:pPr>
            <w:r w:rsidRPr="00027102">
              <w:rPr>
                <w:color w:val="000000" w:themeColor="text1"/>
                <w:szCs w:val="22"/>
                <w:lang w:val="es-ES"/>
              </w:rPr>
              <w:t>ESPAÑOL</w:t>
            </w:r>
          </w:p>
          <w:p w:rsidR="002018CB" w:rsidRPr="00027102" w:rsidRDefault="002018CB" w:rsidP="00C30D6C">
            <w:pPr>
              <w:ind w:left="1108"/>
              <w:rPr>
                <w:color w:val="000000" w:themeColor="text1"/>
                <w:szCs w:val="22"/>
                <w:lang w:val="es-ES"/>
              </w:rPr>
            </w:pPr>
            <w:r w:rsidRPr="00027102">
              <w:rPr>
                <w:color w:val="000000" w:themeColor="text1"/>
                <w:szCs w:val="22"/>
                <w:lang w:val="es-ES"/>
              </w:rPr>
              <w:t xml:space="preserve">ORIGINAL: </w:t>
            </w:r>
            <w:r w:rsidR="00027102" w:rsidRPr="00027102">
              <w:rPr>
                <w:color w:val="000000" w:themeColor="text1"/>
                <w:szCs w:val="22"/>
                <w:lang w:val="es-ES"/>
              </w:rPr>
              <w:t>INGLÉS</w:t>
            </w:r>
          </w:p>
          <w:p w:rsidR="002018CB" w:rsidRPr="00027102" w:rsidRDefault="002018CB" w:rsidP="00C30D6C">
            <w:pPr>
              <w:rPr>
                <w:color w:val="000000" w:themeColor="text1"/>
                <w:lang w:val="es-ES"/>
              </w:rPr>
            </w:pPr>
          </w:p>
        </w:tc>
      </w:tr>
    </w:tbl>
    <w:p w:rsidR="005345E1" w:rsidRPr="00027102" w:rsidRDefault="00027102" w:rsidP="005345E1">
      <w:pPr>
        <w:suppressLineNumbers/>
        <w:tabs>
          <w:tab w:val="left" w:pos="5580"/>
        </w:tabs>
        <w:suppressAutoHyphens/>
        <w:kinsoku w:val="0"/>
        <w:overflowPunct w:val="0"/>
        <w:autoSpaceDE w:val="0"/>
        <w:autoSpaceDN w:val="0"/>
        <w:ind w:left="170" w:right="3938" w:hanging="170"/>
        <w:jc w:val="left"/>
        <w:rPr>
          <w:rFonts w:eastAsia="Batang"/>
          <w:snapToGrid w:val="0"/>
          <w:color w:val="000000" w:themeColor="text1"/>
          <w:kern w:val="22"/>
          <w:lang w:val="es-ES"/>
        </w:rPr>
      </w:pPr>
      <w:r w:rsidRPr="00F70294">
        <w:rPr>
          <w:rFonts w:eastAsia="Batang"/>
          <w:snapToGrid w:val="0"/>
          <w:kern w:val="22"/>
          <w:lang w:val="es-ES"/>
        </w:rPr>
        <w:t>CONFERENCIA DE LAS PARTES EN EL CONVENIO SOBRE LA DIVERSIDAD BIOLÓGICA QUE ACTÚA COMO REUNIÓN DE LAS PARTES EN EL PROTOCOLO DE NAGOYA SOBRE ACCESO A LOS RECURSOS GENÉTICOS Y PARTICIPACIÓN JUSTA Y EQUITATIVA EN LOS BENEFICIOS QUE SE DERIVEN DE SU UTILIZACIÓN</w:t>
      </w:r>
    </w:p>
    <w:p w:rsidR="005345E1" w:rsidRPr="00027102" w:rsidRDefault="005345E1" w:rsidP="005345E1">
      <w:pPr>
        <w:suppressLineNumbers/>
        <w:suppressAutoHyphens/>
        <w:kinsoku w:val="0"/>
        <w:overflowPunct w:val="0"/>
        <w:autoSpaceDE w:val="0"/>
        <w:autoSpaceDN w:val="0"/>
        <w:ind w:left="170" w:right="3119" w:hanging="170"/>
        <w:jc w:val="left"/>
        <w:rPr>
          <w:rFonts w:eastAsia="Batang"/>
          <w:snapToGrid w:val="0"/>
          <w:color w:val="000000" w:themeColor="text1"/>
          <w:kern w:val="22"/>
          <w:lang w:val="es-ES"/>
        </w:rPr>
      </w:pPr>
      <w:r w:rsidRPr="00027102">
        <w:rPr>
          <w:rFonts w:eastAsia="Batang"/>
          <w:snapToGrid w:val="0"/>
          <w:color w:val="000000" w:themeColor="text1"/>
          <w:kern w:val="22"/>
          <w:lang w:val="es-ES"/>
        </w:rPr>
        <w:t>T</w:t>
      </w:r>
      <w:r w:rsidR="00027102" w:rsidRPr="00027102">
        <w:rPr>
          <w:rFonts w:eastAsia="Batang"/>
          <w:snapToGrid w:val="0"/>
          <w:color w:val="000000" w:themeColor="text1"/>
          <w:kern w:val="22"/>
          <w:lang w:val="es-ES"/>
        </w:rPr>
        <w:t>ercera reunión</w:t>
      </w:r>
    </w:p>
    <w:p w:rsidR="006F1189" w:rsidRPr="00027102" w:rsidRDefault="006F1189" w:rsidP="006F1189">
      <w:pPr>
        <w:suppressLineNumbers/>
        <w:suppressAutoHyphens/>
        <w:kinsoku w:val="0"/>
        <w:overflowPunct w:val="0"/>
        <w:autoSpaceDE w:val="0"/>
        <w:autoSpaceDN w:val="0"/>
        <w:rPr>
          <w:snapToGrid w:val="0"/>
          <w:color w:val="000000" w:themeColor="text1"/>
          <w:kern w:val="22"/>
          <w:szCs w:val="22"/>
          <w:lang w:val="es-ES" w:eastAsia="nb-NO"/>
        </w:rPr>
      </w:pPr>
      <w:bookmarkStart w:id="0" w:name="_Hlk505863673"/>
      <w:r w:rsidRPr="00027102">
        <w:rPr>
          <w:snapToGrid w:val="0"/>
          <w:color w:val="000000" w:themeColor="text1"/>
          <w:kern w:val="22"/>
          <w:szCs w:val="22"/>
          <w:lang w:val="es-ES" w:eastAsia="nb-NO"/>
        </w:rPr>
        <w:t>Sharm El-Sheikh, Eg</w:t>
      </w:r>
      <w:r w:rsidR="00027102" w:rsidRPr="00027102">
        <w:rPr>
          <w:snapToGrid w:val="0"/>
          <w:color w:val="000000" w:themeColor="text1"/>
          <w:kern w:val="22"/>
          <w:szCs w:val="22"/>
          <w:lang w:val="es-ES" w:eastAsia="nb-NO"/>
        </w:rPr>
        <w:t>ipto</w:t>
      </w:r>
      <w:bookmarkEnd w:id="0"/>
      <w:r w:rsidRPr="00027102">
        <w:rPr>
          <w:snapToGrid w:val="0"/>
          <w:color w:val="000000" w:themeColor="text1"/>
          <w:kern w:val="22"/>
          <w:szCs w:val="22"/>
          <w:lang w:val="es-ES" w:eastAsia="nb-NO"/>
        </w:rPr>
        <w:t>, 17</w:t>
      </w:r>
      <w:r w:rsidR="00027102" w:rsidRPr="00027102">
        <w:rPr>
          <w:snapToGrid w:val="0"/>
          <w:color w:val="000000" w:themeColor="text1"/>
          <w:kern w:val="22"/>
          <w:szCs w:val="22"/>
          <w:lang w:val="es-ES" w:eastAsia="nb-NO"/>
        </w:rPr>
        <w:t xml:space="preserve"> a </w:t>
      </w:r>
      <w:r w:rsidRPr="00027102">
        <w:rPr>
          <w:snapToGrid w:val="0"/>
          <w:color w:val="000000" w:themeColor="text1"/>
          <w:kern w:val="22"/>
          <w:szCs w:val="22"/>
          <w:lang w:val="es-ES" w:eastAsia="nb-NO"/>
        </w:rPr>
        <w:t xml:space="preserve">29 </w:t>
      </w:r>
      <w:r w:rsidR="00027102" w:rsidRPr="00027102">
        <w:rPr>
          <w:snapToGrid w:val="0"/>
          <w:color w:val="000000" w:themeColor="text1"/>
          <w:kern w:val="22"/>
          <w:szCs w:val="22"/>
          <w:lang w:val="es-ES" w:eastAsia="nb-NO"/>
        </w:rPr>
        <w:t>de noviembre de</w:t>
      </w:r>
      <w:r w:rsidRPr="00027102">
        <w:rPr>
          <w:snapToGrid w:val="0"/>
          <w:color w:val="000000" w:themeColor="text1"/>
          <w:kern w:val="22"/>
          <w:szCs w:val="22"/>
          <w:lang w:val="es-ES" w:eastAsia="nb-NO"/>
        </w:rPr>
        <w:t xml:space="preserve"> 2018</w:t>
      </w:r>
    </w:p>
    <w:p w:rsidR="00C9161D" w:rsidRPr="00C715EA" w:rsidRDefault="00027102" w:rsidP="00C9161D">
      <w:pPr>
        <w:rPr>
          <w:color w:val="000000" w:themeColor="text1"/>
          <w:kern w:val="22"/>
          <w:lang w:val="es-ES"/>
        </w:rPr>
      </w:pPr>
      <w:r>
        <w:rPr>
          <w:color w:val="000000" w:themeColor="text1"/>
          <w:kern w:val="22"/>
          <w:lang w:val="es-ES"/>
        </w:rPr>
        <w:t>Tema 16 del programa</w:t>
      </w:r>
    </w:p>
    <w:p w:rsidR="00A61CBC" w:rsidRPr="00C715EA" w:rsidRDefault="00A61CBC" w:rsidP="00A61CBC">
      <w:pPr>
        <w:pStyle w:val="Ttulo1"/>
        <w:rPr>
          <w:szCs w:val="22"/>
          <w:lang w:val="es-ES"/>
        </w:rPr>
      </w:pPr>
      <w:r w:rsidRPr="00C715EA">
        <w:rPr>
          <w:lang w:val="es-ES"/>
        </w:rPr>
        <w:t>DECISI</w:t>
      </w:r>
      <w:r w:rsidR="00C715EA" w:rsidRPr="00C715EA">
        <w:rPr>
          <w:lang w:val="es-ES"/>
        </w:rPr>
        <w:t>ÓN</w:t>
      </w:r>
      <w:r w:rsidRPr="00C715EA">
        <w:rPr>
          <w:lang w:val="es-ES"/>
        </w:rPr>
        <w:t xml:space="preserve"> ADOPT</w:t>
      </w:r>
      <w:r w:rsidR="00C715EA" w:rsidRPr="00C715EA">
        <w:rPr>
          <w:lang w:val="es-ES"/>
        </w:rPr>
        <w:t>ADA POR LAS PARTES EN EL PROTOCOLO D</w:t>
      </w:r>
      <w:r w:rsidRPr="00C715EA">
        <w:rPr>
          <w:lang w:val="es-ES"/>
        </w:rPr>
        <w:t xml:space="preserve">E NAGOYA </w:t>
      </w:r>
      <w:r w:rsidR="00C715EA">
        <w:rPr>
          <w:lang w:val="es-ES"/>
        </w:rPr>
        <w:t>SOBRE ACCESO Y PARTICIPACIÓN EN LOS BENEFICIOS</w:t>
      </w:r>
    </w:p>
    <w:p w:rsidR="00C9161D" w:rsidRPr="00C715EA" w:rsidRDefault="00A61CBC" w:rsidP="00CE4D1E">
      <w:pPr>
        <w:spacing w:before="240" w:after="120"/>
        <w:jc w:val="center"/>
        <w:rPr>
          <w:b/>
          <w:caps/>
          <w:color w:val="000000" w:themeColor="text1"/>
          <w:kern w:val="22"/>
          <w:lang w:val="es-ES"/>
        </w:rPr>
      </w:pPr>
      <w:r>
        <w:rPr>
          <w:rStyle w:val="Ttulo2Car"/>
          <w:caps/>
          <w:color w:val="000000" w:themeColor="text1"/>
          <w:kern w:val="22"/>
        </w:rPr>
        <w:t>3/15.</w:t>
      </w:r>
      <w:r>
        <w:rPr>
          <w:rStyle w:val="Ttulo2Car"/>
          <w:caps/>
          <w:color w:val="000000" w:themeColor="text1"/>
          <w:kern w:val="22"/>
        </w:rPr>
        <w:tab/>
      </w:r>
      <w:sdt>
        <w:sdtPr>
          <w:rPr>
            <w:rStyle w:val="Ttulo2Car"/>
            <w:caps/>
            <w:color w:val="000000" w:themeColor="text1"/>
            <w:kern w:val="22"/>
            <w:lang w:val="es-E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C715EA">
            <w:rPr>
              <w:rStyle w:val="Ttulo2Car"/>
              <w:caps/>
              <w:color w:val="000000" w:themeColor="text1"/>
              <w:kern w:val="22"/>
              <w:lang w:val="es-ES"/>
            </w:rPr>
            <w:t>P</w:t>
          </w:r>
          <w:r w:rsidRPr="00C715EA">
            <w:rPr>
              <w:rStyle w:val="Ttulo2Car"/>
              <w:color w:val="000000" w:themeColor="text1"/>
              <w:kern w:val="22"/>
              <w:lang w:val="es-ES"/>
            </w:rPr>
            <w:t>repara</w:t>
          </w:r>
          <w:r w:rsidR="00C715EA" w:rsidRPr="00C715EA">
            <w:rPr>
              <w:rStyle w:val="Ttulo2Car"/>
              <w:color w:val="000000" w:themeColor="text1"/>
              <w:kern w:val="22"/>
              <w:lang w:val="es-ES"/>
            </w:rPr>
            <w:t>ción para el seguimiento del Plan Estratégico para la Diversidad Biol</w:t>
          </w:r>
          <w:r w:rsidR="00C715EA">
            <w:rPr>
              <w:rStyle w:val="Ttulo2Car"/>
              <w:color w:val="000000" w:themeColor="text1"/>
              <w:kern w:val="22"/>
              <w:lang w:val="es-ES"/>
            </w:rPr>
            <w:t xml:space="preserve">ógica </w:t>
          </w:r>
          <w:r w:rsidRPr="00C715EA">
            <w:rPr>
              <w:rStyle w:val="Ttulo2Car"/>
              <w:color w:val="000000" w:themeColor="text1"/>
              <w:kern w:val="22"/>
              <w:lang w:val="es-ES"/>
            </w:rPr>
            <w:t>2011-2020</w:t>
          </w:r>
        </w:sdtContent>
      </w:sdt>
    </w:p>
    <w:p w:rsidR="00FF4320" w:rsidRPr="00C715EA" w:rsidRDefault="00C715EA" w:rsidP="00FF4320">
      <w:pPr>
        <w:suppressLineNumbers/>
        <w:suppressAutoHyphens/>
        <w:kinsoku w:val="0"/>
        <w:overflowPunct w:val="0"/>
        <w:autoSpaceDE w:val="0"/>
        <w:autoSpaceDN w:val="0"/>
        <w:adjustRightInd w:val="0"/>
        <w:snapToGrid w:val="0"/>
        <w:spacing w:before="120" w:after="120"/>
        <w:ind w:firstLine="720"/>
        <w:rPr>
          <w:rFonts w:eastAsia="Malgun Gothic"/>
          <w:i/>
          <w:snapToGrid w:val="0"/>
          <w:color w:val="000000" w:themeColor="text1"/>
          <w:kern w:val="22"/>
          <w:szCs w:val="22"/>
          <w:lang w:val="es-ES"/>
        </w:rPr>
      </w:pPr>
      <w:r w:rsidRPr="00F70294">
        <w:rPr>
          <w:i/>
          <w:kern w:val="22"/>
          <w:szCs w:val="22"/>
          <w:lang w:val="es-ES"/>
        </w:rPr>
        <w:t>La Conferencia de las Partes que actúa como reunión de las Partes en el Protocolo de</w:t>
      </w:r>
      <w:r>
        <w:rPr>
          <w:i/>
          <w:kern w:val="22"/>
          <w:szCs w:val="22"/>
          <w:lang w:val="es-ES"/>
        </w:rPr>
        <w:t xml:space="preserve"> </w:t>
      </w:r>
      <w:r w:rsidRPr="00F70294">
        <w:rPr>
          <w:i/>
          <w:kern w:val="22"/>
          <w:szCs w:val="22"/>
          <w:lang w:val="es-ES"/>
        </w:rPr>
        <w:t>Nagoya</w:t>
      </w:r>
      <w:r>
        <w:rPr>
          <w:i/>
          <w:kern w:val="22"/>
          <w:szCs w:val="22"/>
          <w:lang w:val="es-ES"/>
        </w:rPr>
        <w:t xml:space="preserve"> sobre Acceso y Participación en los Beneficios</w:t>
      </w:r>
      <w:bookmarkStart w:id="1" w:name="_GoBack"/>
      <w:bookmarkEnd w:id="1"/>
    </w:p>
    <w:p w:rsidR="0050195B" w:rsidRPr="00C715EA" w:rsidRDefault="0050195B" w:rsidP="00150F31">
      <w:pPr>
        <w:suppressLineNumbers/>
        <w:suppressAutoHyphens/>
        <w:kinsoku w:val="0"/>
        <w:overflowPunct w:val="0"/>
        <w:autoSpaceDE w:val="0"/>
        <w:autoSpaceDN w:val="0"/>
        <w:adjustRightInd w:val="0"/>
        <w:snapToGrid w:val="0"/>
        <w:spacing w:before="120" w:after="120"/>
        <w:ind w:firstLine="720"/>
        <w:rPr>
          <w:rFonts w:eastAsia="Malgun Gothic"/>
          <w:snapToGrid w:val="0"/>
          <w:color w:val="000000" w:themeColor="text1"/>
          <w:kern w:val="22"/>
          <w:szCs w:val="22"/>
          <w:lang w:val="es-ES"/>
        </w:rPr>
      </w:pPr>
      <w:r w:rsidRPr="00C715EA">
        <w:rPr>
          <w:rFonts w:eastAsia="Malgun Gothic"/>
          <w:snapToGrid w:val="0"/>
          <w:color w:val="000000" w:themeColor="text1"/>
          <w:kern w:val="22"/>
          <w:szCs w:val="22"/>
          <w:lang w:val="es-ES"/>
        </w:rPr>
        <w:t>1.</w:t>
      </w:r>
      <w:r w:rsidRPr="00C715EA">
        <w:rPr>
          <w:rFonts w:eastAsia="Malgun Gothic"/>
          <w:snapToGrid w:val="0"/>
          <w:color w:val="000000" w:themeColor="text1"/>
          <w:kern w:val="22"/>
          <w:szCs w:val="22"/>
          <w:lang w:val="es-ES"/>
        </w:rPr>
        <w:tab/>
      </w:r>
      <w:r w:rsidR="00C715EA" w:rsidRPr="00AE4964">
        <w:rPr>
          <w:rFonts w:eastAsia="Malgun Gothic"/>
          <w:i/>
          <w:iCs/>
          <w:snapToGrid w:val="0"/>
          <w:kern w:val="22"/>
          <w:szCs w:val="22"/>
          <w:lang w:val="es-ES"/>
        </w:rPr>
        <w:t>Toma nota</w:t>
      </w:r>
      <w:r w:rsidR="00C715EA" w:rsidRPr="00AE4964">
        <w:rPr>
          <w:rFonts w:eastAsia="Malgun Gothic"/>
          <w:iCs/>
          <w:snapToGrid w:val="0"/>
          <w:kern w:val="22"/>
          <w:szCs w:val="22"/>
          <w:lang w:val="es-ES"/>
        </w:rPr>
        <w:t xml:space="preserve"> del proceso preparatorio propuesto para el marco mundial de la diversidad biológica posterior a 2020 como instrumento que sucederá al Plan Estratégico para la Diversidad Biológica 2011-2020, y </w:t>
      </w:r>
      <w:r w:rsidR="00C715EA" w:rsidRPr="00AE4964">
        <w:rPr>
          <w:rFonts w:eastAsia="Malgun Gothic"/>
          <w:i/>
          <w:iCs/>
          <w:snapToGrid w:val="0"/>
          <w:kern w:val="22"/>
          <w:szCs w:val="22"/>
          <w:lang w:val="es-ES"/>
        </w:rPr>
        <w:t>acoge con satisfacción</w:t>
      </w:r>
      <w:r w:rsidR="00C715EA" w:rsidRPr="00AE4964">
        <w:rPr>
          <w:rFonts w:eastAsia="Malgun Gothic"/>
          <w:iCs/>
          <w:snapToGrid w:val="0"/>
          <w:kern w:val="22"/>
          <w:szCs w:val="22"/>
          <w:lang w:val="es-ES"/>
        </w:rPr>
        <w:t xml:space="preserve"> la decisión</w:t>
      </w:r>
      <w:r w:rsidR="00C715EA">
        <w:rPr>
          <w:rFonts w:eastAsia="Malgun Gothic"/>
          <w:iCs/>
          <w:snapToGrid w:val="0"/>
          <w:kern w:val="22"/>
          <w:szCs w:val="22"/>
          <w:lang w:val="es-ES"/>
        </w:rPr>
        <w:t xml:space="preserve"> </w:t>
      </w:r>
      <w:r w:rsidRPr="00C715EA">
        <w:rPr>
          <w:rFonts w:eastAsia="Malgun Gothic"/>
          <w:snapToGrid w:val="0"/>
          <w:color w:val="000000" w:themeColor="text1"/>
          <w:kern w:val="22"/>
          <w:szCs w:val="22"/>
          <w:lang w:val="es-ES"/>
        </w:rPr>
        <w:t>14/</w:t>
      </w:r>
      <w:r w:rsidR="00A61CBC" w:rsidRPr="00C715EA">
        <w:rPr>
          <w:rFonts w:eastAsia="Malgun Gothic"/>
          <w:snapToGrid w:val="0"/>
          <w:color w:val="000000" w:themeColor="text1"/>
          <w:kern w:val="22"/>
          <w:szCs w:val="22"/>
          <w:lang w:val="es-ES"/>
        </w:rPr>
        <w:t>34</w:t>
      </w:r>
      <w:r w:rsidRPr="00C715EA">
        <w:rPr>
          <w:rFonts w:eastAsia="Malgun Gothic"/>
          <w:snapToGrid w:val="0"/>
          <w:color w:val="000000" w:themeColor="text1"/>
          <w:kern w:val="22"/>
          <w:szCs w:val="22"/>
          <w:lang w:val="es-ES"/>
        </w:rPr>
        <w:t xml:space="preserve"> </w:t>
      </w:r>
      <w:r w:rsidR="00C715EA">
        <w:rPr>
          <w:rFonts w:eastAsia="Malgun Gothic"/>
          <w:snapToGrid w:val="0"/>
          <w:color w:val="000000" w:themeColor="text1"/>
          <w:kern w:val="22"/>
          <w:szCs w:val="22"/>
          <w:lang w:val="es-ES"/>
        </w:rPr>
        <w:t>de la Conferencia de las Partes</w:t>
      </w:r>
      <w:r w:rsidRPr="00C715EA">
        <w:rPr>
          <w:rFonts w:eastAsia="Malgun Gothic"/>
          <w:snapToGrid w:val="0"/>
          <w:color w:val="000000" w:themeColor="text1"/>
          <w:kern w:val="22"/>
          <w:szCs w:val="22"/>
          <w:lang w:val="es-ES"/>
        </w:rPr>
        <w:t>;</w:t>
      </w:r>
    </w:p>
    <w:p w:rsidR="00932927" w:rsidRPr="00C715EA" w:rsidRDefault="0050195B" w:rsidP="000B28C8">
      <w:pPr>
        <w:suppressLineNumbers/>
        <w:suppressAutoHyphens/>
        <w:kinsoku w:val="0"/>
        <w:overflowPunct w:val="0"/>
        <w:autoSpaceDE w:val="0"/>
        <w:autoSpaceDN w:val="0"/>
        <w:adjustRightInd w:val="0"/>
        <w:snapToGrid w:val="0"/>
        <w:spacing w:before="120" w:after="120"/>
        <w:ind w:firstLine="709"/>
        <w:rPr>
          <w:snapToGrid w:val="0"/>
          <w:color w:val="000000" w:themeColor="text1"/>
          <w:kern w:val="22"/>
          <w:sz w:val="24"/>
          <w:lang w:val="es-ES"/>
        </w:rPr>
      </w:pPr>
      <w:r w:rsidRPr="00C715EA">
        <w:rPr>
          <w:snapToGrid w:val="0"/>
          <w:color w:val="000000" w:themeColor="text1"/>
          <w:kern w:val="22"/>
          <w:szCs w:val="22"/>
          <w:lang w:val="es-ES"/>
        </w:rPr>
        <w:t>2.</w:t>
      </w:r>
      <w:r w:rsidRPr="00C715EA">
        <w:rPr>
          <w:snapToGrid w:val="0"/>
          <w:color w:val="000000" w:themeColor="text1"/>
          <w:kern w:val="22"/>
          <w:szCs w:val="22"/>
          <w:lang w:val="es-ES"/>
        </w:rPr>
        <w:tab/>
      </w:r>
      <w:r w:rsidR="00C715EA" w:rsidRPr="00C715EA">
        <w:rPr>
          <w:i/>
          <w:szCs w:val="22"/>
          <w:lang w:val="es-ES"/>
        </w:rPr>
        <w:t>Alienta</w:t>
      </w:r>
      <w:r w:rsidR="004D5394" w:rsidRPr="00C715EA">
        <w:rPr>
          <w:szCs w:val="22"/>
          <w:lang w:val="es-ES"/>
        </w:rPr>
        <w:t xml:space="preserve"> </w:t>
      </w:r>
      <w:r w:rsidR="00C715EA" w:rsidRPr="00C715EA">
        <w:rPr>
          <w:szCs w:val="22"/>
          <w:lang w:val="es-ES"/>
        </w:rPr>
        <w:t xml:space="preserve">a las </w:t>
      </w:r>
      <w:r w:rsidR="004D5394" w:rsidRPr="00C715EA">
        <w:rPr>
          <w:szCs w:val="22"/>
          <w:lang w:val="es-ES"/>
        </w:rPr>
        <w:t xml:space="preserve">Partes </w:t>
      </w:r>
      <w:r w:rsidR="00C715EA" w:rsidRPr="00C715EA">
        <w:rPr>
          <w:szCs w:val="22"/>
          <w:lang w:val="es-ES"/>
        </w:rPr>
        <w:t>a</w:t>
      </w:r>
      <w:r w:rsidR="004D5394" w:rsidRPr="00C715EA">
        <w:rPr>
          <w:szCs w:val="22"/>
          <w:lang w:val="es-ES"/>
        </w:rPr>
        <w:t xml:space="preserve"> </w:t>
      </w:r>
      <w:r w:rsidR="00C715EA" w:rsidRPr="00C715EA">
        <w:rPr>
          <w:szCs w:val="22"/>
          <w:lang w:val="es-ES"/>
        </w:rPr>
        <w:t xml:space="preserve">adoptar medidas para mejorar la aplicación del Protocolo de </w:t>
      </w:r>
      <w:r w:rsidR="004D5394" w:rsidRPr="00C715EA">
        <w:rPr>
          <w:szCs w:val="22"/>
          <w:lang w:val="es-ES"/>
        </w:rPr>
        <w:t>Nagoya</w:t>
      </w:r>
      <w:r w:rsidR="00C715EA" w:rsidRPr="00C715EA">
        <w:rPr>
          <w:szCs w:val="22"/>
          <w:lang w:val="es-ES"/>
        </w:rPr>
        <w:t xml:space="preserve"> sobre Acceso y Participaci</w:t>
      </w:r>
      <w:r w:rsidR="00C715EA">
        <w:rPr>
          <w:szCs w:val="22"/>
          <w:lang w:val="es-ES"/>
        </w:rPr>
        <w:t>ón en los Beneficios</w:t>
      </w:r>
      <w:r w:rsidR="004D5394" w:rsidRPr="00C715EA">
        <w:rPr>
          <w:szCs w:val="22"/>
          <w:lang w:val="es-ES"/>
        </w:rPr>
        <w:t xml:space="preserve">, </w:t>
      </w:r>
      <w:r w:rsidR="00C715EA">
        <w:rPr>
          <w:szCs w:val="22"/>
          <w:lang w:val="es-ES"/>
        </w:rPr>
        <w:t xml:space="preserve">en el contexto del marco mundial de la diversidad biológica posterior a </w:t>
      </w:r>
      <w:r w:rsidR="004D5394" w:rsidRPr="00C715EA">
        <w:rPr>
          <w:szCs w:val="22"/>
          <w:lang w:val="es-ES"/>
        </w:rPr>
        <w:t>2020</w:t>
      </w:r>
      <w:r w:rsidR="00C715EA">
        <w:rPr>
          <w:szCs w:val="22"/>
          <w:lang w:val="es-ES"/>
        </w:rPr>
        <w:t>;</w:t>
      </w:r>
    </w:p>
    <w:p w:rsidR="0050195B" w:rsidRPr="00C715EA" w:rsidRDefault="0050195B" w:rsidP="00150F31">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lang w:val="es-ES"/>
        </w:rPr>
      </w:pPr>
      <w:r w:rsidRPr="00C715EA">
        <w:rPr>
          <w:snapToGrid w:val="0"/>
          <w:color w:val="000000" w:themeColor="text1"/>
          <w:kern w:val="22"/>
          <w:szCs w:val="22"/>
          <w:lang w:val="es-ES"/>
        </w:rPr>
        <w:t>3.</w:t>
      </w:r>
      <w:r w:rsidRPr="00C715EA">
        <w:rPr>
          <w:snapToGrid w:val="0"/>
          <w:color w:val="000000" w:themeColor="text1"/>
          <w:kern w:val="22"/>
          <w:szCs w:val="22"/>
          <w:lang w:val="es-ES"/>
        </w:rPr>
        <w:tab/>
      </w:r>
      <w:r w:rsidR="00C715EA">
        <w:rPr>
          <w:i/>
          <w:iCs/>
          <w:snapToGrid w:val="0"/>
          <w:kern w:val="22"/>
          <w:szCs w:val="22"/>
          <w:lang w:val="es-ES"/>
        </w:rPr>
        <w:t>Invita</w:t>
      </w:r>
      <w:r w:rsidR="00C715EA" w:rsidRPr="00DC4B04">
        <w:rPr>
          <w:snapToGrid w:val="0"/>
          <w:kern w:val="22"/>
          <w:szCs w:val="22"/>
          <w:lang w:val="es-ES"/>
        </w:rPr>
        <w:t xml:space="preserve"> </w:t>
      </w:r>
      <w:r w:rsidR="00C715EA" w:rsidRPr="00AE4964">
        <w:rPr>
          <w:snapToGrid w:val="0"/>
          <w:kern w:val="22"/>
          <w:szCs w:val="22"/>
          <w:lang w:val="es-ES"/>
        </w:rPr>
        <w:t>a las Partes a participar en el proceso de elaboración del marco mundial de la diversidad biológica posterior a 2020</w:t>
      </w:r>
      <w:r w:rsidR="002950B2" w:rsidRPr="00C715EA">
        <w:rPr>
          <w:snapToGrid w:val="0"/>
          <w:color w:val="000000" w:themeColor="text1"/>
          <w:kern w:val="22"/>
          <w:szCs w:val="22"/>
          <w:lang w:val="es-ES"/>
        </w:rPr>
        <w:t>;</w:t>
      </w:r>
    </w:p>
    <w:p w:rsidR="0050195B" w:rsidRPr="00C715EA" w:rsidRDefault="0050195B" w:rsidP="00CE4D1E">
      <w:pPr>
        <w:suppressLineNumbers/>
        <w:shd w:val="clear" w:color="auto" w:fill="FFFFFF" w:themeFill="background1"/>
        <w:suppressAutoHyphens/>
        <w:kinsoku w:val="0"/>
        <w:overflowPunct w:val="0"/>
        <w:autoSpaceDE w:val="0"/>
        <w:autoSpaceDN w:val="0"/>
        <w:adjustRightInd w:val="0"/>
        <w:snapToGrid w:val="0"/>
        <w:spacing w:before="120" w:after="120"/>
        <w:ind w:firstLine="720"/>
        <w:rPr>
          <w:i/>
          <w:snapToGrid w:val="0"/>
          <w:color w:val="000000" w:themeColor="text1"/>
          <w:kern w:val="22"/>
          <w:szCs w:val="22"/>
          <w:lang w:val="es-ES"/>
        </w:rPr>
      </w:pPr>
      <w:r w:rsidRPr="00C715EA">
        <w:rPr>
          <w:snapToGrid w:val="0"/>
          <w:color w:val="000000" w:themeColor="text1"/>
          <w:kern w:val="22"/>
          <w:szCs w:val="22"/>
          <w:lang w:val="es-ES"/>
        </w:rPr>
        <w:t>4.</w:t>
      </w:r>
      <w:r w:rsidRPr="00C715EA">
        <w:rPr>
          <w:i/>
          <w:snapToGrid w:val="0"/>
          <w:color w:val="000000" w:themeColor="text1"/>
          <w:kern w:val="22"/>
          <w:szCs w:val="22"/>
          <w:lang w:val="es-ES"/>
        </w:rPr>
        <w:tab/>
        <w:t>Reco</w:t>
      </w:r>
      <w:r w:rsidR="00C715EA" w:rsidRPr="00C715EA">
        <w:rPr>
          <w:i/>
          <w:snapToGrid w:val="0"/>
          <w:color w:val="000000" w:themeColor="text1"/>
          <w:kern w:val="22"/>
          <w:szCs w:val="22"/>
          <w:lang w:val="es-ES"/>
        </w:rPr>
        <w:t>mienda</w:t>
      </w:r>
      <w:r w:rsidRPr="00C715EA">
        <w:rPr>
          <w:i/>
          <w:snapToGrid w:val="0"/>
          <w:color w:val="000000" w:themeColor="text1"/>
          <w:kern w:val="22"/>
          <w:szCs w:val="22"/>
          <w:lang w:val="es-ES"/>
        </w:rPr>
        <w:t xml:space="preserve"> </w:t>
      </w:r>
      <w:r w:rsidR="00C715EA" w:rsidRPr="00C715EA">
        <w:rPr>
          <w:kern w:val="22"/>
          <w:lang w:val="es-ES"/>
        </w:rPr>
        <w:t>que las conclusiones sobre cuestiones generales relativas al cumplimiento</w:t>
      </w:r>
      <w:r w:rsidRPr="00A3761B">
        <w:rPr>
          <w:rStyle w:val="Refdenotaalpie"/>
          <w:rFonts w:eastAsiaTheme="majorEastAsia"/>
          <w:snapToGrid w:val="0"/>
          <w:color w:val="000000" w:themeColor="text1"/>
          <w:kern w:val="22"/>
          <w:szCs w:val="22"/>
        </w:rPr>
        <w:footnoteReference w:id="1"/>
      </w:r>
      <w:r w:rsidRPr="00C715EA">
        <w:rPr>
          <w:snapToGrid w:val="0"/>
          <w:color w:val="000000" w:themeColor="text1"/>
          <w:kern w:val="22"/>
          <w:szCs w:val="22"/>
          <w:lang w:val="es-ES"/>
        </w:rPr>
        <w:t xml:space="preserve"> </w:t>
      </w:r>
      <w:r w:rsidR="00C715EA" w:rsidRPr="00C715EA">
        <w:rPr>
          <w:snapToGrid w:val="0"/>
          <w:color w:val="000000" w:themeColor="text1"/>
          <w:kern w:val="22"/>
          <w:szCs w:val="22"/>
          <w:lang w:val="es-ES"/>
        </w:rPr>
        <w:t>y</w:t>
      </w:r>
      <w:r w:rsidR="001067D6" w:rsidRPr="00C715EA">
        <w:rPr>
          <w:color w:val="000000" w:themeColor="text1"/>
          <w:kern w:val="22"/>
          <w:szCs w:val="22"/>
          <w:lang w:val="es-ES" w:eastAsia="es-MX"/>
        </w:rPr>
        <w:t xml:space="preserve"> </w:t>
      </w:r>
      <w:r w:rsidR="00C715EA">
        <w:rPr>
          <w:snapToGrid w:val="0"/>
          <w:kern w:val="22"/>
          <w:lang w:val="es-ES"/>
        </w:rPr>
        <w:t xml:space="preserve">los resultados de la primera evaluación y examen de la eficacia del Protocolo, tal como figura en la decisión </w:t>
      </w:r>
      <w:r w:rsidR="001067D6" w:rsidRPr="00C715EA">
        <w:rPr>
          <w:color w:val="000000" w:themeColor="text1"/>
          <w:kern w:val="22"/>
          <w:szCs w:val="22"/>
          <w:lang w:val="es-ES" w:eastAsia="es-MX"/>
        </w:rPr>
        <w:t>NP-3</w:t>
      </w:r>
      <w:r w:rsidR="00A61CBC" w:rsidRPr="00C715EA">
        <w:rPr>
          <w:color w:val="000000" w:themeColor="text1"/>
          <w:kern w:val="22"/>
          <w:szCs w:val="22"/>
          <w:lang w:val="es-ES" w:eastAsia="es-MX"/>
        </w:rPr>
        <w:t xml:space="preserve">/1, </w:t>
      </w:r>
      <w:r w:rsidR="00C715EA" w:rsidRPr="002B7EA9">
        <w:rPr>
          <w:kern w:val="22"/>
          <w:lang w:val="es-ES"/>
        </w:rPr>
        <w:t xml:space="preserve">se consideren en la elaboración del </w:t>
      </w:r>
      <w:r w:rsidR="00C715EA" w:rsidRPr="002B7EA9">
        <w:rPr>
          <w:lang w:val="es-ES"/>
        </w:rPr>
        <w:t xml:space="preserve">marco mundial </w:t>
      </w:r>
      <w:r w:rsidR="00C715EA">
        <w:rPr>
          <w:lang w:val="es-ES"/>
        </w:rPr>
        <w:t>de</w:t>
      </w:r>
      <w:r w:rsidR="00C715EA" w:rsidRPr="002B7EA9">
        <w:rPr>
          <w:lang w:val="es-ES"/>
        </w:rPr>
        <w:t xml:space="preserve"> la diversidad biológica posterior a 2020</w:t>
      </w:r>
      <w:r w:rsidRPr="00C715EA">
        <w:rPr>
          <w:snapToGrid w:val="0"/>
          <w:color w:val="000000" w:themeColor="text1"/>
          <w:kern w:val="22"/>
          <w:szCs w:val="22"/>
          <w:lang w:val="es-ES"/>
        </w:rPr>
        <w:t>;</w:t>
      </w:r>
    </w:p>
    <w:p w:rsidR="0050195B" w:rsidRPr="00C715EA" w:rsidRDefault="0050195B" w:rsidP="00150F31">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lang w:val="es-ES"/>
        </w:rPr>
      </w:pPr>
      <w:r w:rsidRPr="00C715EA">
        <w:rPr>
          <w:snapToGrid w:val="0"/>
          <w:color w:val="000000" w:themeColor="text1"/>
          <w:kern w:val="22"/>
          <w:szCs w:val="22"/>
          <w:lang w:val="es-ES"/>
        </w:rPr>
        <w:t>5.</w:t>
      </w:r>
      <w:r w:rsidRPr="00C715EA">
        <w:rPr>
          <w:i/>
          <w:snapToGrid w:val="0"/>
          <w:color w:val="000000" w:themeColor="text1"/>
          <w:kern w:val="22"/>
          <w:szCs w:val="22"/>
          <w:lang w:val="es-ES"/>
        </w:rPr>
        <w:tab/>
      </w:r>
      <w:r w:rsidR="00C715EA">
        <w:rPr>
          <w:rFonts w:eastAsia="Malgun Gothic"/>
          <w:i/>
          <w:snapToGrid w:val="0"/>
          <w:kern w:val="22"/>
          <w:szCs w:val="22"/>
          <w:lang w:val="es-ES"/>
        </w:rPr>
        <w:t>Pide</w:t>
      </w:r>
      <w:r w:rsidR="00C715EA" w:rsidRPr="00DC4B04">
        <w:rPr>
          <w:snapToGrid w:val="0"/>
          <w:kern w:val="22"/>
          <w:szCs w:val="22"/>
          <w:lang w:val="es-ES"/>
        </w:rPr>
        <w:t xml:space="preserve"> </w:t>
      </w:r>
      <w:r w:rsidR="00C715EA" w:rsidRPr="00AE4964">
        <w:rPr>
          <w:snapToGrid w:val="0"/>
          <w:kern w:val="22"/>
          <w:szCs w:val="22"/>
          <w:lang w:val="es-ES"/>
        </w:rPr>
        <w:t xml:space="preserve">que el Comité de Cumplimiento considere en su próxima reunión la forma de apoyar y promover el cumplimiento del Protocolo de Nagoya dentro del marco mundial </w:t>
      </w:r>
      <w:r w:rsidR="00C715EA">
        <w:rPr>
          <w:snapToGrid w:val="0"/>
          <w:kern w:val="22"/>
          <w:szCs w:val="22"/>
          <w:lang w:val="es-ES"/>
        </w:rPr>
        <w:t>de</w:t>
      </w:r>
      <w:r w:rsidR="00C715EA" w:rsidRPr="00AE4964">
        <w:rPr>
          <w:snapToGrid w:val="0"/>
          <w:kern w:val="22"/>
          <w:szCs w:val="22"/>
          <w:lang w:val="es-ES"/>
        </w:rPr>
        <w:t xml:space="preserve"> la diversidad biológica posterior a 2020</w:t>
      </w:r>
      <w:r w:rsidRPr="00C715EA">
        <w:rPr>
          <w:snapToGrid w:val="0"/>
          <w:color w:val="000000" w:themeColor="text1"/>
          <w:kern w:val="22"/>
          <w:szCs w:val="22"/>
          <w:lang w:val="es-ES"/>
        </w:rPr>
        <w:t>.</w:t>
      </w:r>
    </w:p>
    <w:p w:rsidR="00C9161D" w:rsidRPr="00A3761B" w:rsidRDefault="00C9161D" w:rsidP="00CE4D1E">
      <w:pPr>
        <w:spacing w:before="120" w:after="120"/>
        <w:jc w:val="center"/>
        <w:rPr>
          <w:color w:val="000000" w:themeColor="text1"/>
          <w:kern w:val="22"/>
        </w:rPr>
      </w:pPr>
      <w:r w:rsidRPr="00A3761B">
        <w:rPr>
          <w:color w:val="000000" w:themeColor="text1"/>
          <w:kern w:val="22"/>
        </w:rPr>
        <w:t>______</w:t>
      </w:r>
      <w:r w:rsidR="00E0325D" w:rsidRPr="00A3761B">
        <w:rPr>
          <w:color w:val="000000" w:themeColor="text1"/>
          <w:kern w:val="22"/>
        </w:rPr>
        <w:t>____</w:t>
      </w:r>
    </w:p>
    <w:p w:rsidR="00B3369F" w:rsidRPr="00A3761B" w:rsidRDefault="00B3369F" w:rsidP="00CE4D1E">
      <w:pPr>
        <w:spacing w:before="120" w:after="120"/>
        <w:rPr>
          <w:color w:val="000000" w:themeColor="text1"/>
          <w:kern w:val="22"/>
        </w:rPr>
      </w:pPr>
    </w:p>
    <w:sectPr w:rsidR="00B3369F" w:rsidRPr="00A3761B"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379" w:rsidRDefault="00C85379" w:rsidP="00CF1848">
      <w:r>
        <w:separator/>
      </w:r>
    </w:p>
  </w:endnote>
  <w:endnote w:type="continuationSeparator" w:id="0">
    <w:p w:rsidR="00C85379" w:rsidRDefault="00C85379"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379" w:rsidRDefault="00C85379" w:rsidP="00CF1848">
      <w:r>
        <w:separator/>
      </w:r>
    </w:p>
  </w:footnote>
  <w:footnote w:type="continuationSeparator" w:id="0">
    <w:p w:rsidR="00C85379" w:rsidRDefault="00C85379" w:rsidP="00CF1848">
      <w:r>
        <w:continuationSeparator/>
      </w:r>
    </w:p>
  </w:footnote>
  <w:footnote w:id="1">
    <w:p w:rsidR="0050195B" w:rsidRPr="00C715EA" w:rsidRDefault="0050195B" w:rsidP="00CE4D1E">
      <w:pPr>
        <w:pStyle w:val="Textonotapie"/>
        <w:ind w:firstLine="0"/>
        <w:jc w:val="left"/>
        <w:rPr>
          <w:kern w:val="18"/>
          <w:szCs w:val="18"/>
          <w:lang w:val="es-ES"/>
        </w:rPr>
      </w:pPr>
      <w:r w:rsidRPr="00CE4D1E">
        <w:rPr>
          <w:rStyle w:val="Refdenotaalpie"/>
          <w:rFonts w:eastAsiaTheme="majorEastAsia"/>
          <w:kern w:val="18"/>
          <w:sz w:val="18"/>
          <w:szCs w:val="18"/>
        </w:rPr>
        <w:footnoteRef/>
      </w:r>
      <w:r w:rsidRPr="00C715EA">
        <w:rPr>
          <w:kern w:val="18"/>
          <w:szCs w:val="18"/>
          <w:lang w:val="es-ES"/>
        </w:rPr>
        <w:t xml:space="preserve"> </w:t>
      </w:r>
      <w:r w:rsidR="00C715EA" w:rsidRPr="009C72BA">
        <w:rPr>
          <w:rFonts w:eastAsia="MS Mincho"/>
          <w:szCs w:val="18"/>
          <w:lang w:val="es-ES"/>
        </w:rPr>
        <w:t xml:space="preserve">Las conclusiones y recomendaciones del Comité de Cumplimiento sobre cuestiones generales de cumplimiento como contribución a la evaluación y revisión del Protocolo de Nagoya figuran en el anexo I del informe del Comité de Cumplimiento en el marco del Protocolo de Nagoya sobre la labor de su segunda reunión </w:t>
      </w:r>
      <w:r w:rsidR="00C715EA">
        <w:rPr>
          <w:rFonts w:eastAsia="MS Mincho"/>
          <w:szCs w:val="18"/>
          <w:lang w:val="es-ES"/>
        </w:rPr>
        <w:t>(</w:t>
      </w:r>
      <w:r w:rsidR="00C715EA" w:rsidRPr="009C72BA">
        <w:rPr>
          <w:rFonts w:eastAsia="MS Mincho"/>
          <w:szCs w:val="18"/>
          <w:lang w:val="es-ES"/>
        </w:rPr>
        <w:t>CBD/NP/MOP/3/2</w:t>
      </w:r>
      <w:r w:rsidR="00C715EA">
        <w:rPr>
          <w:rFonts w:eastAsia="MS Mincho"/>
          <w:szCs w:val="18"/>
          <w:lang w:val="es-ES"/>
        </w:rPr>
        <w:t>)</w:t>
      </w:r>
      <w:r w:rsidRPr="00C715EA">
        <w:rPr>
          <w:kern w:val="18"/>
          <w:szCs w:val="18"/>
          <w:lang w:val="es-E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4A7BE1" w:rsidRPr="000B28C8" w:rsidRDefault="00A61CBC" w:rsidP="00534681">
        <w:pPr>
          <w:pStyle w:val="Encabezado"/>
          <w:rPr>
            <w:lang w:val="fr-FR"/>
          </w:rPr>
        </w:pPr>
        <w:r w:rsidRPr="000B28C8">
          <w:rPr>
            <w:lang w:val="fr-FR"/>
          </w:rPr>
          <w:t>CBD/NP/MOP/DEC/3/15</w:t>
        </w:r>
      </w:p>
    </w:sdtContent>
  </w:sdt>
  <w:p w:rsidR="004A7BE1" w:rsidRPr="00000614" w:rsidRDefault="004A7BE1" w:rsidP="00534681">
    <w:pPr>
      <w:pStyle w:val="Encabezado"/>
      <w:rPr>
        <w:lang w:val="fr-FR"/>
      </w:rPr>
    </w:pPr>
    <w:r w:rsidRPr="00000614">
      <w:rPr>
        <w:lang w:val="fr-FR"/>
      </w:rPr>
      <w:t xml:space="preserve">Page </w:t>
    </w:r>
    <w:r w:rsidR="00EF11BC">
      <w:fldChar w:fldCharType="begin"/>
    </w:r>
    <w:r w:rsidRPr="00000614">
      <w:rPr>
        <w:lang w:val="fr-FR"/>
      </w:rPr>
      <w:instrText xml:space="preserve"> PAGE   \* MERGEFORMAT </w:instrText>
    </w:r>
    <w:r w:rsidR="00EF11BC">
      <w:fldChar w:fldCharType="separate"/>
    </w:r>
    <w:r>
      <w:rPr>
        <w:noProof/>
        <w:lang w:val="fr-FR"/>
      </w:rPr>
      <w:t>2</w:t>
    </w:r>
    <w:r w:rsidR="00EF11BC">
      <w:rPr>
        <w:noProof/>
      </w:rPr>
      <w:fldChar w:fldCharType="end"/>
    </w:r>
  </w:p>
  <w:p w:rsidR="004A7BE1" w:rsidRPr="00000614" w:rsidRDefault="004A7BE1">
    <w:pPr>
      <w:pStyle w:val="Encabezado"/>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rsidR="004A7BE1" w:rsidRPr="000B28C8" w:rsidRDefault="00A61CBC" w:rsidP="009505C9">
        <w:pPr>
          <w:pStyle w:val="Encabezado"/>
          <w:jc w:val="right"/>
          <w:rPr>
            <w:lang w:val="fr-FR"/>
          </w:rPr>
        </w:pPr>
        <w:r w:rsidRPr="000B28C8">
          <w:rPr>
            <w:lang w:val="fr-FR"/>
          </w:rPr>
          <w:t>CBD/NP/MOP/DEC/3/15</w:t>
        </w:r>
      </w:p>
    </w:sdtContent>
  </w:sdt>
  <w:p w:rsidR="004A7BE1" w:rsidRPr="00000614" w:rsidRDefault="004A7BE1" w:rsidP="009505C9">
    <w:pPr>
      <w:pStyle w:val="Encabezado"/>
      <w:jc w:val="right"/>
      <w:rPr>
        <w:lang w:val="fr-FR"/>
      </w:rPr>
    </w:pPr>
    <w:r w:rsidRPr="00000614">
      <w:rPr>
        <w:lang w:val="fr-FR"/>
      </w:rPr>
      <w:t xml:space="preserve">Page </w:t>
    </w:r>
    <w:r w:rsidR="00EF11BC">
      <w:fldChar w:fldCharType="begin"/>
    </w:r>
    <w:r w:rsidRPr="00000614">
      <w:rPr>
        <w:lang w:val="fr-FR"/>
      </w:rPr>
      <w:instrText xml:space="preserve"> PAGE   \* MERGEFORMAT </w:instrText>
    </w:r>
    <w:r w:rsidR="00EF11BC">
      <w:fldChar w:fldCharType="separate"/>
    </w:r>
    <w:r w:rsidRPr="00000614">
      <w:rPr>
        <w:noProof/>
        <w:lang w:val="fr-FR"/>
      </w:rPr>
      <w:t>1</w:t>
    </w:r>
    <w:r w:rsidR="00EF11BC">
      <w:rPr>
        <w:noProof/>
      </w:rPr>
      <w:fldChar w:fldCharType="end"/>
    </w:r>
  </w:p>
  <w:p w:rsidR="004A7BE1" w:rsidRPr="00000614" w:rsidRDefault="004A7BE1">
    <w:pPr>
      <w:pStyle w:val="Encabezado"/>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1080"/>
        </w:tabs>
        <w:ind w:left="72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 w:numId="19">
    <w:abstractNumId w:val="6"/>
  </w:num>
  <w:num w:numId="20">
    <w:abstractNumId w:val="6"/>
  </w:num>
  <w:num w:numId="21">
    <w:abstractNumId w:val="6"/>
  </w:num>
  <w:num w:numId="22">
    <w:abstractNumId w:val="6"/>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useFELayout/>
  </w:compat>
  <w:rsids>
    <w:rsidRoot w:val="00C9161D"/>
    <w:rsid w:val="00000614"/>
    <w:rsid w:val="00001F27"/>
    <w:rsid w:val="000101A5"/>
    <w:rsid w:val="00027102"/>
    <w:rsid w:val="000B28C8"/>
    <w:rsid w:val="000D7918"/>
    <w:rsid w:val="000E673A"/>
    <w:rsid w:val="000F74F5"/>
    <w:rsid w:val="00105372"/>
    <w:rsid w:val="001067D6"/>
    <w:rsid w:val="00131E7A"/>
    <w:rsid w:val="00142D01"/>
    <w:rsid w:val="00150F31"/>
    <w:rsid w:val="0015273A"/>
    <w:rsid w:val="00172AF6"/>
    <w:rsid w:val="00176CEE"/>
    <w:rsid w:val="001F130A"/>
    <w:rsid w:val="002018CB"/>
    <w:rsid w:val="00214AEC"/>
    <w:rsid w:val="002224D6"/>
    <w:rsid w:val="00232D80"/>
    <w:rsid w:val="00265C4C"/>
    <w:rsid w:val="002950B2"/>
    <w:rsid w:val="002A2B90"/>
    <w:rsid w:val="002B6E2F"/>
    <w:rsid w:val="002E4F77"/>
    <w:rsid w:val="002E75E3"/>
    <w:rsid w:val="002F5B9D"/>
    <w:rsid w:val="00355E0F"/>
    <w:rsid w:val="00372F74"/>
    <w:rsid w:val="003F7224"/>
    <w:rsid w:val="00405146"/>
    <w:rsid w:val="00413179"/>
    <w:rsid w:val="00416B99"/>
    <w:rsid w:val="0042412C"/>
    <w:rsid w:val="00427D21"/>
    <w:rsid w:val="004432B7"/>
    <w:rsid w:val="004644C2"/>
    <w:rsid w:val="00467F9C"/>
    <w:rsid w:val="004854BA"/>
    <w:rsid w:val="004A7BE1"/>
    <w:rsid w:val="004D5394"/>
    <w:rsid w:val="0050195B"/>
    <w:rsid w:val="005345E1"/>
    <w:rsid w:val="00534681"/>
    <w:rsid w:val="00582AB9"/>
    <w:rsid w:val="005A6701"/>
    <w:rsid w:val="005B46E1"/>
    <w:rsid w:val="005D2BEC"/>
    <w:rsid w:val="005D3F42"/>
    <w:rsid w:val="005D7E5B"/>
    <w:rsid w:val="006122BA"/>
    <w:rsid w:val="0061445E"/>
    <w:rsid w:val="006B2290"/>
    <w:rsid w:val="006F1189"/>
    <w:rsid w:val="00705265"/>
    <w:rsid w:val="00717D88"/>
    <w:rsid w:val="007942D3"/>
    <w:rsid w:val="007B48CE"/>
    <w:rsid w:val="007B6C09"/>
    <w:rsid w:val="007D7862"/>
    <w:rsid w:val="007E09DA"/>
    <w:rsid w:val="00807536"/>
    <w:rsid w:val="00814487"/>
    <w:rsid w:val="008178B6"/>
    <w:rsid w:val="00830BF9"/>
    <w:rsid w:val="00840DC8"/>
    <w:rsid w:val="00865B74"/>
    <w:rsid w:val="00885D4B"/>
    <w:rsid w:val="008B2A20"/>
    <w:rsid w:val="0092753B"/>
    <w:rsid w:val="00930BA1"/>
    <w:rsid w:val="0093169E"/>
    <w:rsid w:val="00932927"/>
    <w:rsid w:val="009415FC"/>
    <w:rsid w:val="009457A0"/>
    <w:rsid w:val="009505C9"/>
    <w:rsid w:val="0095192C"/>
    <w:rsid w:val="00957C09"/>
    <w:rsid w:val="009C200D"/>
    <w:rsid w:val="009C59DB"/>
    <w:rsid w:val="009D4143"/>
    <w:rsid w:val="009F1708"/>
    <w:rsid w:val="00A3761B"/>
    <w:rsid w:val="00A473DD"/>
    <w:rsid w:val="00A61CBC"/>
    <w:rsid w:val="00B3369F"/>
    <w:rsid w:val="00BA1B14"/>
    <w:rsid w:val="00BC08D7"/>
    <w:rsid w:val="00BD0F9D"/>
    <w:rsid w:val="00BF5165"/>
    <w:rsid w:val="00C35537"/>
    <w:rsid w:val="00C47253"/>
    <w:rsid w:val="00C53690"/>
    <w:rsid w:val="00C715EA"/>
    <w:rsid w:val="00C85379"/>
    <w:rsid w:val="00C9161D"/>
    <w:rsid w:val="00CE4D1E"/>
    <w:rsid w:val="00CE5E87"/>
    <w:rsid w:val="00CF1848"/>
    <w:rsid w:val="00D12044"/>
    <w:rsid w:val="00D22830"/>
    <w:rsid w:val="00D2594F"/>
    <w:rsid w:val="00D40578"/>
    <w:rsid w:val="00D76A18"/>
    <w:rsid w:val="00DA3650"/>
    <w:rsid w:val="00DA36F7"/>
    <w:rsid w:val="00DD118C"/>
    <w:rsid w:val="00E0325D"/>
    <w:rsid w:val="00E03408"/>
    <w:rsid w:val="00E66235"/>
    <w:rsid w:val="00E750DE"/>
    <w:rsid w:val="00E83C24"/>
    <w:rsid w:val="00E9318D"/>
    <w:rsid w:val="00EB49B2"/>
    <w:rsid w:val="00EE201E"/>
    <w:rsid w:val="00EF11BC"/>
    <w:rsid w:val="00F63FE3"/>
    <w:rsid w:val="00F94774"/>
    <w:rsid w:val="00FA04C3"/>
    <w:rsid w:val="00FA4620"/>
    <w:rsid w:val="00FB79B9"/>
    <w:rsid w:val="00FC53DB"/>
    <w:rsid w:val="00FD20DF"/>
    <w:rsid w:val="00FF4320"/>
  </w:rsids>
  <m:mathPr>
    <m:mathFont m:val="Cambria Math"/>
    <m:brkBin m:val="before"/>
    <m:brkBinSub m:val="--"/>
    <m:smallFrac m:val="off"/>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lang w:val="en-CA"/>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n-U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n-GB"/>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n-U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n-GB"/>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n-GB"/>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n-GB"/>
    </w:rPr>
  </w:style>
  <w:style w:type="character" w:styleId="Refdecomentario">
    <w:name w:val="annotation reference"/>
    <w:semiHidden/>
    <w:rsid w:val="007E09DA"/>
    <w:rPr>
      <w:sz w:val="16"/>
    </w:rPr>
  </w:style>
  <w:style w:type="paragraph" w:styleId="Textocomentario">
    <w:name w:val="annotation text"/>
    <w:basedOn w:val="Normal"/>
    <w:link w:val="TextocomentarioCar"/>
    <w:uiPriority w:val="99"/>
    <w:semiHidden/>
    <w:rsid w:val="007E09DA"/>
    <w:pPr>
      <w:spacing w:after="120" w:line="240" w:lineRule="exact"/>
    </w:pPr>
  </w:style>
  <w:style w:type="character" w:customStyle="1" w:styleId="TextocomentarioCar">
    <w:name w:val="Texto comentario Car"/>
    <w:basedOn w:val="Fuentedeprrafopredeter"/>
    <w:link w:val="Textocomentario"/>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n-GB"/>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n-GB"/>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n-GB"/>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n-GB"/>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n-CA"/>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n-GB"/>
    </w:rPr>
  </w:style>
  <w:style w:type="character" w:customStyle="1" w:styleId="Ttulo7Car">
    <w:name w:val="Título 7 Car"/>
    <w:basedOn w:val="Fuentedeprrafopredeter"/>
    <w:link w:val="Ttulo7"/>
    <w:rsid w:val="007E09DA"/>
    <w:rPr>
      <w:rFonts w:ascii="Univers" w:eastAsia="Times New Roman" w:hAnsi="Univers" w:cs="Times New Roman"/>
      <w:b/>
      <w:sz w:val="28"/>
      <w:lang w:val="en-GB"/>
    </w:rPr>
  </w:style>
  <w:style w:type="character" w:customStyle="1" w:styleId="Ttulo8Car">
    <w:name w:val="Título 8 Car"/>
    <w:basedOn w:val="Fuentedeprrafopredeter"/>
    <w:link w:val="Ttulo8"/>
    <w:rsid w:val="007E09DA"/>
    <w:rPr>
      <w:rFonts w:ascii="Univers" w:eastAsia="Times New Roman" w:hAnsi="Univers" w:cs="Times New Roman"/>
      <w:b/>
      <w:sz w:val="32"/>
      <w:lang w:val="en-GB"/>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n-GB"/>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Epgrafe">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lang w:val="en-US"/>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n-US"/>
    </w:rPr>
  </w:style>
  <w:style w:type="paragraph" w:styleId="Asuntodelcomentario">
    <w:name w:val="annotation subject"/>
    <w:basedOn w:val="Textocomentario"/>
    <w:next w:val="Textocomentario"/>
    <w:link w:val="AsuntodelcomentarioCar"/>
    <w:uiPriority w:val="99"/>
    <w:semiHidden/>
    <w:unhideWhenUsed/>
    <w:rsid w:val="009457A0"/>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9457A0"/>
    <w:rPr>
      <w:rFonts w:ascii="Times New Roman" w:eastAsia="Times New Roman" w:hAnsi="Times New Roman" w:cs="Times New Roman"/>
      <w:b/>
      <w:bCs/>
      <w:sz w:val="20"/>
      <w:szCs w:val="20"/>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rsid w:val="0050195B"/>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r="http://schemas.openxmlformats.org/officeDocument/2006/relationships" xmlns:w="http://schemas.openxmlformats.org/wordprocessingml/2006/main">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D0AAB56E4D6C4ADE8EAC47103FAA29F4"/>
        <w:category>
          <w:name w:val="General"/>
          <w:gallery w:val="placeholder"/>
        </w:category>
        <w:types>
          <w:type w:val="bbPlcHdr"/>
        </w:types>
        <w:behaviors>
          <w:behavior w:val="content"/>
        </w:behaviors>
        <w:guid w:val="{310A3593-5C6D-4F15-BA4D-99D4285D8AB9}"/>
      </w:docPartPr>
      <w:docPartBody>
        <w:p w:rsidR="00010FC6" w:rsidRDefault="00747B6F" w:rsidP="00747B6F">
          <w:pPr>
            <w:pStyle w:val="D0AAB56E4D6C4ADE8EAC47103FAA29F4"/>
          </w:pPr>
          <w:r w:rsidRPr="007E02EB">
            <w:rPr>
              <w:rStyle w:val="Textodelmarcadordeposicin"/>
            </w:rPr>
            <w:t>[Status]</w:t>
          </w:r>
        </w:p>
      </w:docPartBody>
    </w:docPart>
    <w:docPart>
      <w:docPartPr>
        <w:name w:val="BF3C3F00538B446580626CBBAA650050"/>
        <w:category>
          <w:name w:val="General"/>
          <w:gallery w:val="placeholder"/>
        </w:category>
        <w:types>
          <w:type w:val="bbPlcHdr"/>
        </w:types>
        <w:behaviors>
          <w:behavior w:val="content"/>
        </w:behaviors>
        <w:guid w:val="{432FC1AE-B4D5-4236-BF9F-80EC0E531D70}"/>
      </w:docPartPr>
      <w:docPartBody>
        <w:p w:rsidR="00010FC6" w:rsidRDefault="00747B6F" w:rsidP="00747B6F">
          <w:pPr>
            <w:pStyle w:val="BF3C3F00538B446580626CBBAA650050"/>
          </w:pPr>
          <w:r w:rsidRPr="007E02EB">
            <w:rPr>
              <w:rStyle w:val="Textodelmarcadordeposicin"/>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2AF" w:usb1="09D77CFB" w:usb2="00000012" w:usb3="00000000" w:csb0="0008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010FC6"/>
    <w:rsid w:val="001A52AB"/>
    <w:rsid w:val="001A6589"/>
    <w:rsid w:val="001B6E74"/>
    <w:rsid w:val="0025212C"/>
    <w:rsid w:val="00261E9A"/>
    <w:rsid w:val="003941E1"/>
    <w:rsid w:val="00500A2B"/>
    <w:rsid w:val="005308E7"/>
    <w:rsid w:val="0058288D"/>
    <w:rsid w:val="006801B3"/>
    <w:rsid w:val="00685CC0"/>
    <w:rsid w:val="00720F63"/>
    <w:rsid w:val="00747B6F"/>
    <w:rsid w:val="007F1B76"/>
    <w:rsid w:val="00810A55"/>
    <w:rsid w:val="008C6619"/>
    <w:rsid w:val="008D420E"/>
    <w:rsid w:val="00904A6D"/>
    <w:rsid w:val="0098642F"/>
    <w:rsid w:val="00CE6602"/>
    <w:rsid w:val="00DD35B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2A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47B6F"/>
    <w:rPr>
      <w:color w:val="808080"/>
    </w:rPr>
  </w:style>
  <w:style w:type="paragraph" w:customStyle="1" w:styleId="C444DEE40D7C456B82AF1A09CD132ABF">
    <w:name w:val="C444DEE40D7C456B82AF1A09CD132ABF"/>
    <w:rsid w:val="00CE6602"/>
    <w:pPr>
      <w:spacing w:after="160" w:line="259" w:lineRule="auto"/>
    </w:pPr>
  </w:style>
  <w:style w:type="paragraph" w:customStyle="1" w:styleId="D0AAB56E4D6C4ADE8EAC47103FAA29F4">
    <w:name w:val="D0AAB56E4D6C4ADE8EAC47103FAA29F4"/>
    <w:rsid w:val="00747B6F"/>
    <w:pPr>
      <w:spacing w:after="160" w:line="259" w:lineRule="auto"/>
    </w:pPr>
    <w:rPr>
      <w:lang w:val="en-CA" w:eastAsia="en-CA"/>
    </w:rPr>
  </w:style>
  <w:style w:type="paragraph" w:customStyle="1" w:styleId="BF3C3F00538B446580626CBBAA650050">
    <w:name w:val="BF3C3F00538B446580626CBBAA650050"/>
    <w:rsid w:val="00747B6F"/>
    <w:pPr>
      <w:spacing w:after="160" w:line="259" w:lineRule="auto"/>
    </w:pPr>
    <w:rPr>
      <w:lang w:val="en-CA" w:eastAsia="en-C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97CDFF-3DCB-4926-B7AB-9B1CB070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1650</Characters>
  <Application>Microsoft Office Word</Application>
  <DocSecurity>0</DocSecurity>
  <Lines>13</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Preparation for the follow-up to the Strategic Plan for Biodiversity 2011-2020</vt:lpstr>
      <vt:lpstr>Preparation for the follow-up to the Strategic Plan for Biodiversity 2011-2020</vt:lpstr>
    </vt:vector>
  </TitlesOfParts>
  <Company>SCBD</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Preparación para el seguimiento del Plan Estratégico para la Diversidad Biológica 2011-2020</dc:title>
  <dc:subject>CBD/NP/MOP/DEC/3/15</dc:subject>
  <dc:creator>NP-MOP 3</dc:creator>
  <cp:keywords>Preparation for the follow-up to the Strategic Plan for Biodiversity 2011-2020, Nagoya Protocol on Access and Benefit-sharing, Convention on Biological Diversity</cp:keywords>
  <cp:lastModifiedBy>HP</cp:lastModifiedBy>
  <cp:revision>4</cp:revision>
  <cp:lastPrinted>2018-12-13T17:53:00Z</cp:lastPrinted>
  <dcterms:created xsi:type="dcterms:W3CDTF">2019-02-19T18:14:00Z</dcterms:created>
  <dcterms:modified xsi:type="dcterms:W3CDTF">2019-02-20T10:14:00Z</dcterms:modified>
  <cp:contentStatus>GENERAL</cp:contentStatus>
</cp:coreProperties>
</file>