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58624B" w:rsidRPr="007D2FC4" w:rsidTr="00136A43">
        <w:trPr>
          <w:trHeight w:val="709"/>
        </w:trPr>
        <w:tc>
          <w:tcPr>
            <w:tcW w:w="976" w:type="dxa"/>
            <w:tcBorders>
              <w:bottom w:val="single" w:sz="12" w:space="0" w:color="auto"/>
            </w:tcBorders>
          </w:tcPr>
          <w:p w:rsidR="0058624B" w:rsidRPr="0069295C" w:rsidRDefault="0058624B" w:rsidP="00136A43">
            <w:pPr>
              <w:rPr>
                <w:kern w:val="22"/>
              </w:rPr>
            </w:pPr>
            <w:r w:rsidRPr="0069295C">
              <w:rPr>
                <w:noProof/>
                <w:kern w:val="22"/>
                <w:lang w:val="fr-CA" w:eastAsia="fr-CA"/>
              </w:rPr>
              <w:drawing>
                <wp:inline distT="0" distB="0" distL="0" distR="0" wp14:anchorId="05A55A8A" wp14:editId="338F00BA">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rsidR="0058624B" w:rsidRPr="0069295C" w:rsidRDefault="0058624B" w:rsidP="00136A43">
            <w:pPr>
              <w:rPr>
                <w:kern w:val="22"/>
              </w:rPr>
            </w:pPr>
            <w:r w:rsidRPr="0069295C">
              <w:rPr>
                <w:noProof/>
                <w:kern w:val="22"/>
                <w:lang w:val="fr-CA" w:eastAsia="fr-CA"/>
              </w:rPr>
              <w:drawing>
                <wp:inline distT="0" distB="0" distL="0" distR="0" wp14:anchorId="101BB9F0" wp14:editId="12B8E1EA">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rsidR="0058624B" w:rsidRPr="0069295C" w:rsidRDefault="0058624B" w:rsidP="00136A43">
            <w:pPr>
              <w:jc w:val="right"/>
              <w:rPr>
                <w:rFonts w:ascii="Arial" w:hAnsi="Arial" w:cs="Arial"/>
                <w:b/>
                <w:kern w:val="22"/>
                <w:sz w:val="32"/>
                <w:szCs w:val="32"/>
              </w:rPr>
            </w:pPr>
            <w:r w:rsidRPr="0069295C">
              <w:rPr>
                <w:rFonts w:ascii="Arial" w:hAnsi="Arial" w:cs="Arial"/>
                <w:b/>
                <w:kern w:val="22"/>
                <w:sz w:val="32"/>
                <w:szCs w:val="32"/>
              </w:rPr>
              <w:t>CBD</w:t>
            </w:r>
          </w:p>
        </w:tc>
      </w:tr>
      <w:tr w:rsidR="0058624B" w:rsidRPr="00D32EC0" w:rsidTr="00136A43">
        <w:tc>
          <w:tcPr>
            <w:tcW w:w="6117" w:type="dxa"/>
            <w:gridSpan w:val="2"/>
            <w:tcBorders>
              <w:top w:val="single" w:sz="12" w:space="0" w:color="auto"/>
              <w:bottom w:val="single" w:sz="36" w:space="0" w:color="auto"/>
            </w:tcBorders>
            <w:vAlign w:val="center"/>
          </w:tcPr>
          <w:p w:rsidR="0058624B" w:rsidRPr="00D32EC0" w:rsidRDefault="000F696E" w:rsidP="00136A43">
            <w:pPr>
              <w:rPr>
                <w:kern w:val="22"/>
                <w:lang w:val="fr-CA"/>
              </w:rPr>
            </w:pPr>
            <w:r w:rsidRPr="00D32EC0">
              <w:rPr>
                <w:noProof/>
                <w:szCs w:val="22"/>
                <w:lang w:val="fr-CA" w:eastAsia="fr-CA"/>
              </w:rPr>
              <w:drawing>
                <wp:inline distT="0" distB="0" distL="0" distR="0" wp14:anchorId="433845BD" wp14:editId="60D82D2A">
                  <wp:extent cx="2860675" cy="1068705"/>
                  <wp:effectExtent l="0" t="0" r="0" b="0"/>
                  <wp:docPr id="7" name="Image 2" descr="CBD_logo_fr-CMYK-black [Conver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CBD_logo_fr-CMYK-black [Converted]"/>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60675" cy="106870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58624B" w:rsidRPr="00D32EC0" w:rsidRDefault="0058624B" w:rsidP="0069295C">
            <w:pPr>
              <w:ind w:left="1215"/>
              <w:jc w:val="left"/>
              <w:rPr>
                <w:kern w:val="22"/>
                <w:szCs w:val="22"/>
                <w:lang w:val="fr-CA"/>
              </w:rPr>
            </w:pPr>
            <w:proofErr w:type="spellStart"/>
            <w:r w:rsidRPr="00D32EC0">
              <w:rPr>
                <w:kern w:val="22"/>
                <w:szCs w:val="22"/>
                <w:lang w:val="fr-CA"/>
              </w:rPr>
              <w:t>Distr</w:t>
            </w:r>
            <w:proofErr w:type="spellEnd"/>
            <w:r w:rsidRPr="00D32EC0">
              <w:rPr>
                <w:kern w:val="22"/>
                <w:szCs w:val="22"/>
                <w:lang w:val="fr-CA"/>
              </w:rPr>
              <w:t>.</w:t>
            </w:r>
          </w:p>
          <w:p w:rsidR="0058624B" w:rsidRPr="00D32EC0" w:rsidRDefault="000F696E" w:rsidP="0069295C">
            <w:pPr>
              <w:ind w:left="1215"/>
              <w:jc w:val="left"/>
              <w:rPr>
                <w:kern w:val="22"/>
                <w:szCs w:val="22"/>
                <w:lang w:val="fr-CA"/>
              </w:rPr>
            </w:pPr>
            <w:sdt>
              <w:sdtPr>
                <w:rPr>
                  <w:kern w:val="22"/>
                  <w:szCs w:val="22"/>
                  <w:lang w:val="fr-CA"/>
                </w:rPr>
                <w:alias w:val="Status"/>
                <w:tag w:val=""/>
                <w:id w:val="307985777"/>
                <w:placeholder>
                  <w:docPart w:val="5BB8442C66EE4A859785D3E570EAAABC"/>
                </w:placeholder>
                <w:dataBinding w:prefixMappings="xmlns:ns0='http://purl.org/dc/elements/1.1/' xmlns:ns1='http://schemas.openxmlformats.org/package/2006/metadata/core-properties' " w:xpath="/ns1:coreProperties[1]/ns1:contentStatus[1]" w:storeItemID="{6C3C8BC8-F283-45AE-878A-BAB7291924A1}"/>
                <w:text/>
              </w:sdtPr>
              <w:sdtContent>
                <w:r w:rsidRPr="00D32EC0">
                  <w:rPr>
                    <w:kern w:val="22"/>
                    <w:szCs w:val="22"/>
                    <w:lang w:val="fr-CA"/>
                  </w:rPr>
                  <w:t>GÉNÉRALE</w:t>
                </w:r>
              </w:sdtContent>
            </w:sdt>
          </w:p>
          <w:p w:rsidR="0058624B" w:rsidRPr="00D32EC0" w:rsidRDefault="0058624B" w:rsidP="0069295C">
            <w:pPr>
              <w:ind w:left="1215"/>
              <w:jc w:val="left"/>
              <w:rPr>
                <w:kern w:val="22"/>
                <w:szCs w:val="22"/>
                <w:lang w:val="fr-CA"/>
              </w:rPr>
            </w:pPr>
          </w:p>
          <w:p w:rsidR="0058624B" w:rsidRPr="00D32EC0" w:rsidRDefault="000F696E" w:rsidP="0069295C">
            <w:pPr>
              <w:ind w:left="1215"/>
              <w:jc w:val="left"/>
              <w:rPr>
                <w:kern w:val="22"/>
                <w:szCs w:val="22"/>
                <w:lang w:val="fr-CA"/>
              </w:rPr>
            </w:pPr>
            <w:sdt>
              <w:sdtPr>
                <w:rPr>
                  <w:kern w:val="22"/>
                  <w:lang w:val="fr-CA"/>
                </w:rPr>
                <w:alias w:val="Subject"/>
                <w:tag w:val=""/>
                <w:id w:val="2137136483"/>
                <w:placeholder>
                  <w:docPart w:val="B45668D1C73D4A8FABAC6CC738E9B16B"/>
                </w:placeholder>
                <w:dataBinding w:prefixMappings="xmlns:ns0='http://purl.org/dc/elements/1.1/' xmlns:ns1='http://schemas.openxmlformats.org/package/2006/metadata/core-properties' " w:xpath="/ns1:coreProperties[1]/ns0:subject[1]" w:storeItemID="{6C3C8BC8-F283-45AE-878A-BAB7291924A1}"/>
                <w:text/>
              </w:sdtPr>
              <w:sdtContent>
                <w:r w:rsidR="00136A43" w:rsidRPr="00D32EC0">
                  <w:rPr>
                    <w:kern w:val="22"/>
                    <w:lang w:val="fr-CA"/>
                  </w:rPr>
                  <w:t>CBD/</w:t>
                </w:r>
                <w:proofErr w:type="spellStart"/>
                <w:r w:rsidR="00136A43" w:rsidRPr="00D32EC0">
                  <w:rPr>
                    <w:kern w:val="22"/>
                    <w:lang w:val="fr-CA"/>
                  </w:rPr>
                  <w:t>NP</w:t>
                </w:r>
                <w:proofErr w:type="spellEnd"/>
                <w:r w:rsidR="00136A43" w:rsidRPr="00D32EC0">
                  <w:rPr>
                    <w:kern w:val="22"/>
                    <w:lang w:val="fr-CA"/>
                  </w:rPr>
                  <w:t>/</w:t>
                </w:r>
                <w:proofErr w:type="spellStart"/>
                <w:r w:rsidR="00136A43" w:rsidRPr="00D32EC0">
                  <w:rPr>
                    <w:kern w:val="22"/>
                    <w:lang w:val="fr-CA"/>
                  </w:rPr>
                  <w:t>MOP</w:t>
                </w:r>
                <w:proofErr w:type="spellEnd"/>
                <w:r w:rsidR="00136A43" w:rsidRPr="00D32EC0">
                  <w:rPr>
                    <w:kern w:val="22"/>
                    <w:lang w:val="fr-CA"/>
                  </w:rPr>
                  <w:t>/DEC/3/16</w:t>
                </w:r>
              </w:sdtContent>
            </w:sdt>
          </w:p>
          <w:p w:rsidR="0058624B" w:rsidRPr="00D32EC0" w:rsidRDefault="00BE582B" w:rsidP="0069295C">
            <w:pPr>
              <w:ind w:left="1215"/>
              <w:jc w:val="left"/>
              <w:rPr>
                <w:kern w:val="22"/>
                <w:szCs w:val="22"/>
                <w:lang w:val="fr-CA"/>
              </w:rPr>
            </w:pPr>
            <w:r w:rsidRPr="00D32EC0">
              <w:rPr>
                <w:kern w:val="22"/>
                <w:szCs w:val="22"/>
                <w:lang w:val="fr-CA"/>
              </w:rPr>
              <w:t>5</w:t>
            </w:r>
            <w:r w:rsidR="00136A43" w:rsidRPr="00D32EC0">
              <w:rPr>
                <w:kern w:val="22"/>
                <w:szCs w:val="22"/>
                <w:lang w:val="fr-CA"/>
              </w:rPr>
              <w:t xml:space="preserve"> </w:t>
            </w:r>
            <w:r w:rsidR="000F696E" w:rsidRPr="00D32EC0">
              <w:rPr>
                <w:kern w:val="22"/>
                <w:szCs w:val="22"/>
                <w:lang w:val="fr-CA"/>
              </w:rPr>
              <w:t>décembre</w:t>
            </w:r>
            <w:r w:rsidR="0058624B" w:rsidRPr="00D32EC0">
              <w:rPr>
                <w:kern w:val="22"/>
                <w:szCs w:val="22"/>
                <w:lang w:val="fr-CA"/>
              </w:rPr>
              <w:t xml:space="preserve"> 2018</w:t>
            </w:r>
          </w:p>
          <w:p w:rsidR="0058624B" w:rsidRPr="00D32EC0" w:rsidRDefault="0058624B" w:rsidP="0069295C">
            <w:pPr>
              <w:ind w:left="1215"/>
              <w:jc w:val="left"/>
              <w:rPr>
                <w:kern w:val="22"/>
                <w:szCs w:val="22"/>
                <w:lang w:val="fr-CA"/>
              </w:rPr>
            </w:pPr>
          </w:p>
          <w:p w:rsidR="000F696E" w:rsidRPr="00D32EC0" w:rsidRDefault="000F696E" w:rsidP="0069295C">
            <w:pPr>
              <w:ind w:left="1215"/>
              <w:jc w:val="left"/>
              <w:rPr>
                <w:kern w:val="22"/>
                <w:szCs w:val="22"/>
                <w:lang w:val="fr-CA"/>
              </w:rPr>
            </w:pPr>
            <w:r w:rsidRPr="00D32EC0">
              <w:rPr>
                <w:kern w:val="22"/>
                <w:szCs w:val="22"/>
                <w:lang w:val="fr-CA"/>
              </w:rPr>
              <w:t>FRANÇAIS</w:t>
            </w:r>
          </w:p>
          <w:p w:rsidR="0058624B" w:rsidRPr="00D32EC0" w:rsidRDefault="0058624B" w:rsidP="0069295C">
            <w:pPr>
              <w:ind w:left="1215"/>
              <w:jc w:val="left"/>
              <w:rPr>
                <w:kern w:val="22"/>
                <w:szCs w:val="22"/>
                <w:lang w:val="fr-CA"/>
              </w:rPr>
            </w:pPr>
            <w:r w:rsidRPr="00D32EC0">
              <w:rPr>
                <w:kern w:val="22"/>
                <w:szCs w:val="22"/>
                <w:lang w:val="fr-CA"/>
              </w:rPr>
              <w:t>ORIGINAL</w:t>
            </w:r>
            <w:r w:rsidR="000F696E" w:rsidRPr="00D32EC0">
              <w:rPr>
                <w:kern w:val="22"/>
                <w:szCs w:val="22"/>
                <w:lang w:val="fr-CA"/>
              </w:rPr>
              <w:t xml:space="preserve"> </w:t>
            </w:r>
            <w:r w:rsidRPr="00D32EC0">
              <w:rPr>
                <w:kern w:val="22"/>
                <w:szCs w:val="22"/>
                <w:lang w:val="fr-CA"/>
              </w:rPr>
              <w:t xml:space="preserve">: </w:t>
            </w:r>
            <w:r w:rsidR="000F696E" w:rsidRPr="00D32EC0">
              <w:rPr>
                <w:kern w:val="22"/>
                <w:szCs w:val="22"/>
                <w:lang w:val="fr-CA"/>
              </w:rPr>
              <w:t>ANGLAIS</w:t>
            </w:r>
          </w:p>
          <w:p w:rsidR="0058624B" w:rsidRPr="00D32EC0" w:rsidRDefault="0058624B" w:rsidP="0069295C">
            <w:pPr>
              <w:jc w:val="left"/>
              <w:rPr>
                <w:kern w:val="22"/>
                <w:lang w:val="fr-CA"/>
              </w:rPr>
            </w:pPr>
          </w:p>
        </w:tc>
      </w:tr>
    </w:tbl>
    <w:p w:rsidR="000F696E" w:rsidRPr="00D32EC0" w:rsidRDefault="000F696E" w:rsidP="000F696E">
      <w:pPr>
        <w:suppressLineNumbers/>
        <w:tabs>
          <w:tab w:val="left" w:pos="5580"/>
        </w:tabs>
        <w:suppressAutoHyphens/>
        <w:kinsoku w:val="0"/>
        <w:overflowPunct w:val="0"/>
        <w:autoSpaceDE w:val="0"/>
        <w:autoSpaceDN w:val="0"/>
        <w:ind w:left="170" w:right="3938" w:hanging="170"/>
        <w:jc w:val="left"/>
        <w:rPr>
          <w:rFonts w:eastAsia="Batang"/>
          <w:snapToGrid w:val="0"/>
          <w:kern w:val="22"/>
          <w:szCs w:val="22"/>
          <w:lang w:val="fr-CA"/>
        </w:rPr>
      </w:pPr>
      <w:r w:rsidRPr="00D32EC0">
        <w:rPr>
          <w:snapToGrid w:val="0"/>
          <w:kern w:val="22"/>
          <w:lang w:val="fr-CA"/>
        </w:rPr>
        <w:t>CONFÉRENCE DES PARTIES À LA CONVENTION SUR LA DIVERSITÉ BIOLOGIQUE SIÉGEANT EN TANT QUE RÉUNION DES PARTIES AU PROTOCOLE DE NAGOYA SUR L’ACCÈS AUX RESSOURCES GÉNÉTIQUES ET LE PARTAGE JUSTE ET ÉQUITABLE DES AVANTAGES DÉCOULANT DE LEUR UTILISATION</w:t>
      </w:r>
    </w:p>
    <w:p w:rsidR="000F696E" w:rsidRPr="00D32EC0" w:rsidRDefault="000F696E" w:rsidP="000F696E">
      <w:pPr>
        <w:suppressLineNumbers/>
        <w:suppressAutoHyphens/>
        <w:kinsoku w:val="0"/>
        <w:overflowPunct w:val="0"/>
        <w:autoSpaceDE w:val="0"/>
        <w:autoSpaceDN w:val="0"/>
        <w:ind w:left="170" w:right="3119" w:hanging="170"/>
        <w:jc w:val="left"/>
        <w:rPr>
          <w:rFonts w:eastAsia="Batang"/>
          <w:snapToGrid w:val="0"/>
          <w:kern w:val="22"/>
          <w:szCs w:val="22"/>
          <w:lang w:val="fr-CA"/>
        </w:rPr>
      </w:pPr>
      <w:r w:rsidRPr="00D32EC0">
        <w:rPr>
          <w:snapToGrid w:val="0"/>
          <w:color w:val="000000"/>
          <w:kern w:val="22"/>
          <w:lang w:val="fr-CA"/>
        </w:rPr>
        <w:t>Troisième réunion</w:t>
      </w:r>
    </w:p>
    <w:p w:rsidR="000F696E" w:rsidRPr="00D32EC0" w:rsidRDefault="000F696E" w:rsidP="000F696E">
      <w:pPr>
        <w:suppressLineNumbers/>
        <w:suppressAutoHyphens/>
        <w:kinsoku w:val="0"/>
        <w:overflowPunct w:val="0"/>
        <w:autoSpaceDE w:val="0"/>
        <w:autoSpaceDN w:val="0"/>
        <w:rPr>
          <w:snapToGrid w:val="0"/>
          <w:kern w:val="22"/>
          <w:szCs w:val="22"/>
          <w:lang w:val="fr-CA" w:eastAsia="nb-NO"/>
        </w:rPr>
      </w:pPr>
      <w:bookmarkStart w:id="0" w:name="_Hlk505863673"/>
      <w:r w:rsidRPr="00D32EC0">
        <w:rPr>
          <w:noProof/>
          <w:snapToGrid w:val="0"/>
          <w:kern w:val="22"/>
          <w:szCs w:val="22"/>
          <w:lang w:val="fr-CA" w:eastAsia="nb-NO"/>
        </w:rPr>
        <w:t>Charm el</w:t>
      </w:r>
      <w:r w:rsidRPr="00D32EC0">
        <w:rPr>
          <w:noProof/>
          <w:snapToGrid w:val="0"/>
          <w:kern w:val="22"/>
          <w:szCs w:val="22"/>
          <w:lang w:val="fr-CA" w:eastAsia="nb-NO"/>
        </w:rPr>
        <w:noBreakHyphen/>
        <w:t>Cheikh (Égypt</w:t>
      </w:r>
      <w:bookmarkEnd w:id="0"/>
      <w:r w:rsidRPr="00D32EC0">
        <w:rPr>
          <w:noProof/>
          <w:snapToGrid w:val="0"/>
          <w:kern w:val="22"/>
          <w:szCs w:val="22"/>
          <w:lang w:val="fr-CA" w:eastAsia="nb-NO"/>
        </w:rPr>
        <w:t>e</w:t>
      </w:r>
      <w:r w:rsidRPr="00D32EC0">
        <w:rPr>
          <w:snapToGrid w:val="0"/>
          <w:kern w:val="22"/>
          <w:szCs w:val="22"/>
          <w:lang w:val="fr-CA" w:eastAsia="nb-NO"/>
        </w:rPr>
        <w:t>), 17</w:t>
      </w:r>
      <w:r w:rsidRPr="00D32EC0">
        <w:rPr>
          <w:snapToGrid w:val="0"/>
          <w:kern w:val="22"/>
          <w:szCs w:val="22"/>
          <w:lang w:val="fr-CA" w:eastAsia="nb-NO"/>
        </w:rPr>
        <w:noBreakHyphen/>
        <w:t>29 novembre 2018</w:t>
      </w:r>
    </w:p>
    <w:p w:rsidR="00C9161D" w:rsidRPr="00D32EC0" w:rsidRDefault="000F696E" w:rsidP="000F696E">
      <w:pPr>
        <w:rPr>
          <w:kern w:val="22"/>
          <w:lang w:val="fr-CA"/>
        </w:rPr>
      </w:pPr>
      <w:r w:rsidRPr="00D32EC0">
        <w:rPr>
          <w:snapToGrid w:val="0"/>
          <w:kern w:val="22"/>
          <w:szCs w:val="22"/>
          <w:lang w:val="fr-CA"/>
        </w:rPr>
        <w:t>Point 6 de l’ordre du jour</w:t>
      </w:r>
    </w:p>
    <w:p w:rsidR="00136A43" w:rsidRPr="00D32EC0" w:rsidRDefault="000F696E" w:rsidP="007D2FC4">
      <w:pPr>
        <w:pStyle w:val="Titre1"/>
        <w:tabs>
          <w:tab w:val="clear" w:pos="720"/>
        </w:tabs>
        <w:rPr>
          <w:rFonts w:ascii="Times New Roman Bold" w:hAnsi="Times New Roman Bold"/>
          <w:kern w:val="22"/>
          <w:szCs w:val="22"/>
          <w:lang w:val="fr-CA"/>
        </w:rPr>
      </w:pPr>
      <w:bookmarkStart w:id="1" w:name="_Hlk532291362"/>
      <w:r w:rsidRPr="00D32EC0">
        <w:rPr>
          <w:rFonts w:ascii="Times New Roman Bold" w:hAnsi="Times New Roman Bold"/>
          <w:kern w:val="22"/>
          <w:lang w:val="fr-CA"/>
        </w:rPr>
        <w:t>DÉCISION ADOPTÉE PAR LES PARTIES AU PROTOCOLE DE NAGOYA SUR L’ACCÈS ET LE PARTAGE DES AVANTAGE</w:t>
      </w:r>
      <w:r w:rsidR="003B22EF">
        <w:rPr>
          <w:rFonts w:ascii="Times New Roman Bold" w:hAnsi="Times New Roman Bold"/>
          <w:kern w:val="22"/>
          <w:lang w:val="fr-CA"/>
        </w:rPr>
        <w:t>S</w:t>
      </w:r>
    </w:p>
    <w:bookmarkEnd w:id="1"/>
    <w:p w:rsidR="00C9161D" w:rsidRPr="00D32EC0" w:rsidRDefault="000F696E" w:rsidP="0069295C">
      <w:pPr>
        <w:pStyle w:val="Titre1"/>
        <w:tabs>
          <w:tab w:val="clear" w:pos="720"/>
        </w:tabs>
        <w:rPr>
          <w:kern w:val="22"/>
          <w:lang w:val="fr-CA"/>
        </w:rPr>
      </w:pPr>
      <w:sdt>
        <w:sdtPr>
          <w:rPr>
            <w:rFonts w:eastAsia="Malgun Gothic"/>
            <w:snapToGrid w:val="0"/>
            <w:kern w:val="22"/>
            <w:lang w:val="fr-CA"/>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Content>
          <w:r w:rsidR="00136A43" w:rsidRPr="00D32EC0">
            <w:rPr>
              <w:rFonts w:eastAsia="Malgun Gothic"/>
              <w:snapToGrid w:val="0"/>
              <w:kern w:val="22"/>
              <w:lang w:val="fr-CA"/>
            </w:rPr>
            <w:t>3/16.</w:t>
          </w:r>
          <w:r w:rsidR="00136A43" w:rsidRPr="00D32EC0">
            <w:rPr>
              <w:rFonts w:eastAsia="Malgun Gothic"/>
              <w:snapToGrid w:val="0"/>
              <w:kern w:val="22"/>
              <w:lang w:val="fr-CA"/>
            </w:rPr>
            <w:tab/>
          </w:r>
          <w:r w:rsidRPr="00D32EC0">
            <w:rPr>
              <w:rFonts w:eastAsia="Malgun Gothic"/>
              <w:caps w:val="0"/>
              <w:snapToGrid w:val="0"/>
              <w:kern w:val="22"/>
              <w:lang w:val="fr-CA"/>
            </w:rPr>
            <w:t>Programme de travail et budget</w:t>
          </w:r>
          <w:r w:rsidR="00136A43" w:rsidRPr="00D32EC0">
            <w:rPr>
              <w:rFonts w:eastAsia="Malgun Gothic"/>
              <w:caps w:val="0"/>
              <w:snapToGrid w:val="0"/>
              <w:kern w:val="22"/>
              <w:lang w:val="fr-CA"/>
            </w:rPr>
            <w:t xml:space="preserve"> </w:t>
          </w:r>
          <w:r w:rsidR="00DC69C5" w:rsidRPr="00D32EC0">
            <w:rPr>
              <w:rFonts w:eastAsia="Malgun Gothic"/>
              <w:caps w:val="0"/>
              <w:snapToGrid w:val="0"/>
              <w:kern w:val="22"/>
              <w:lang w:val="fr-CA"/>
            </w:rPr>
            <w:t>(</w:t>
          </w:r>
          <w:r w:rsidRPr="00D32EC0">
            <w:rPr>
              <w:rFonts w:eastAsia="Malgun Gothic"/>
              <w:caps w:val="0"/>
              <w:snapToGrid w:val="0"/>
              <w:kern w:val="22"/>
              <w:lang w:val="fr-CA"/>
            </w:rPr>
            <w:t>Protocole de Nagoya</w:t>
          </w:r>
          <w:r w:rsidR="00DC69C5" w:rsidRPr="00D32EC0">
            <w:rPr>
              <w:rFonts w:eastAsia="Malgun Gothic"/>
              <w:caps w:val="0"/>
              <w:snapToGrid w:val="0"/>
              <w:kern w:val="22"/>
              <w:lang w:val="fr-CA"/>
            </w:rPr>
            <w:t>)</w:t>
          </w:r>
        </w:sdtContent>
      </w:sdt>
    </w:p>
    <w:p w:rsidR="00D578AC" w:rsidRPr="00D32EC0" w:rsidRDefault="000F696E" w:rsidP="002A0F90">
      <w:pPr>
        <w:shd w:val="clear" w:color="auto" w:fill="FFFFFF" w:themeFill="background1"/>
        <w:spacing w:before="120" w:after="120"/>
        <w:ind w:firstLine="720"/>
        <w:rPr>
          <w:iCs/>
          <w:kern w:val="22"/>
          <w:lang w:val="fr-CA"/>
        </w:rPr>
      </w:pPr>
      <w:r w:rsidRPr="00D32EC0">
        <w:rPr>
          <w:i/>
          <w:kern w:val="22"/>
          <w:szCs w:val="22"/>
          <w:lang w:val="fr-CA"/>
        </w:rPr>
        <w:t>La Conférence des Parties siégeant en tant que réunion des Parties au Protocole de Nagoya sur l'accès et le partage des avantages</w:t>
      </w:r>
      <w:r w:rsidR="00D578AC" w:rsidRPr="00D32EC0">
        <w:rPr>
          <w:i/>
          <w:kern w:val="22"/>
          <w:lang w:val="fr-CA"/>
        </w:rPr>
        <w:t>,</w:t>
      </w:r>
    </w:p>
    <w:p w:rsidR="00D04A50" w:rsidRPr="00AF3EBF" w:rsidRDefault="00D32EC0" w:rsidP="002A0F90">
      <w:pPr>
        <w:shd w:val="clear" w:color="auto" w:fill="FFFFFF" w:themeFill="background1"/>
        <w:spacing w:before="120" w:after="120"/>
        <w:ind w:firstLine="720"/>
        <w:rPr>
          <w:kern w:val="22"/>
          <w:lang w:val="fr-CA" w:eastAsia="x-none"/>
        </w:rPr>
      </w:pPr>
      <w:r w:rsidRPr="00AF3EBF">
        <w:rPr>
          <w:i/>
          <w:kern w:val="22"/>
          <w:lang w:val="fr-CA" w:eastAsia="x-none"/>
        </w:rPr>
        <w:t xml:space="preserve">Rappelant </w:t>
      </w:r>
      <w:r w:rsidRPr="00AF3EBF">
        <w:rPr>
          <w:kern w:val="22"/>
          <w:lang w:val="fr-CA" w:eastAsia="x-none"/>
        </w:rPr>
        <w:t>sa décision</w:t>
      </w:r>
      <w:r w:rsidR="00D578AC" w:rsidRPr="00AF3EBF">
        <w:rPr>
          <w:kern w:val="22"/>
          <w:lang w:val="fr-CA" w:eastAsia="x-none"/>
        </w:rPr>
        <w:t xml:space="preserve"> </w:t>
      </w:r>
      <w:hyperlink r:id="rId12" w:history="1">
        <w:r w:rsidR="0019053E" w:rsidRPr="00AF3EBF">
          <w:rPr>
            <w:rStyle w:val="Lienhypertexte"/>
            <w:kern w:val="22"/>
            <w:sz w:val="22"/>
            <w:lang w:val="fr-CA" w:eastAsia="x-none"/>
          </w:rPr>
          <w:t>2</w:t>
        </w:r>
        <w:r w:rsidR="00D578AC" w:rsidRPr="00AF3EBF">
          <w:rPr>
            <w:rStyle w:val="Lienhypertexte"/>
            <w:kern w:val="22"/>
            <w:sz w:val="22"/>
            <w:lang w:val="fr-CA" w:eastAsia="x-none"/>
          </w:rPr>
          <w:t>/13</w:t>
        </w:r>
      </w:hyperlink>
      <w:r w:rsidR="00D578AC" w:rsidRPr="00AF3EBF">
        <w:rPr>
          <w:kern w:val="22"/>
          <w:lang w:val="fr-CA" w:eastAsia="x-none"/>
        </w:rPr>
        <w:t xml:space="preserve">, </w:t>
      </w:r>
      <w:r w:rsidRPr="00AF3EBF">
        <w:rPr>
          <w:kern w:val="22"/>
          <w:lang w:val="fr-CA" w:eastAsia="x-none"/>
        </w:rPr>
        <w:t>et la décision</w:t>
      </w:r>
      <w:r w:rsidR="00D578AC" w:rsidRPr="00AF3EBF">
        <w:rPr>
          <w:kern w:val="22"/>
          <w:lang w:val="fr-CA" w:eastAsia="x-none"/>
        </w:rPr>
        <w:t xml:space="preserve"> </w:t>
      </w:r>
      <w:hyperlink r:id="rId13" w:history="1">
        <w:r w:rsidR="00D578AC" w:rsidRPr="00AF3EBF">
          <w:rPr>
            <w:rStyle w:val="Lienhypertexte"/>
            <w:kern w:val="22"/>
            <w:sz w:val="22"/>
            <w:lang w:val="fr-CA" w:eastAsia="x-none"/>
          </w:rPr>
          <w:t>XIII/32</w:t>
        </w:r>
      </w:hyperlink>
      <w:r w:rsidR="00D578AC" w:rsidRPr="00AF3EBF">
        <w:rPr>
          <w:kern w:val="22"/>
          <w:lang w:val="fr-CA" w:eastAsia="x-none"/>
        </w:rPr>
        <w:t xml:space="preserve"> </w:t>
      </w:r>
      <w:r w:rsidR="00AF3EBF">
        <w:rPr>
          <w:kern w:val="22"/>
          <w:lang w:val="fr-CA" w:eastAsia="x-none"/>
        </w:rPr>
        <w:t>de la Conférence des Parties à la Convention sur la diversité biologique</w:t>
      </w:r>
      <w:r w:rsidR="004436FA">
        <w:rPr>
          <w:kern w:val="22"/>
          <w:lang w:val="fr-CA" w:eastAsia="x-none"/>
        </w:rPr>
        <w:t>, ainsi que la décision VIII/7 de la Conférence des Parties siégeant en tant que réunion des Parties à la Convention de Cartagena sur la prévention des risques biotechnologiques</w:t>
      </w:r>
      <w:r w:rsidR="00D578AC" w:rsidRPr="00AF3EBF">
        <w:rPr>
          <w:kern w:val="22"/>
          <w:lang w:val="fr-CA" w:eastAsia="x-none"/>
        </w:rPr>
        <w:t>,</w:t>
      </w:r>
    </w:p>
    <w:p w:rsidR="002E56C5" w:rsidRPr="00D32EC0" w:rsidRDefault="002E56C5" w:rsidP="002E56C5">
      <w:pPr>
        <w:suppressLineNumbers/>
        <w:suppressAutoHyphens/>
        <w:spacing w:before="120" w:after="120"/>
        <w:ind w:firstLine="720"/>
        <w:rPr>
          <w:rFonts w:eastAsia="Malgun Gothic"/>
          <w:color w:val="000000"/>
          <w:kern w:val="18"/>
          <w:szCs w:val="22"/>
          <w:lang w:val="fr-CA" w:eastAsia="x-none"/>
        </w:rPr>
      </w:pPr>
      <w:r w:rsidRPr="00D32EC0">
        <w:rPr>
          <w:i/>
          <w:color w:val="000000"/>
          <w:szCs w:val="22"/>
          <w:lang w:val="fr-CA" w:eastAsia="fr-FR"/>
        </w:rPr>
        <w:t>Rappelant également</w:t>
      </w:r>
      <w:r w:rsidRPr="00D32EC0">
        <w:rPr>
          <w:color w:val="000000"/>
          <w:szCs w:val="22"/>
          <w:lang w:val="fr-CA" w:eastAsia="fr-FR"/>
        </w:rPr>
        <w:t xml:space="preserve"> la décision </w:t>
      </w:r>
      <w:hyperlink r:id="rId14" w:history="1">
        <w:r w:rsidRPr="00AF3EBF">
          <w:rPr>
            <w:rStyle w:val="Lienhypertexte"/>
            <w:sz w:val="22"/>
            <w:szCs w:val="22"/>
            <w:lang w:val="fr-CA" w:eastAsia="fr-FR"/>
          </w:rPr>
          <w:t>II</w:t>
        </w:r>
        <w:r w:rsidRPr="00AF3EBF">
          <w:rPr>
            <w:rStyle w:val="Lienhypertexte"/>
            <w:sz w:val="22"/>
            <w:szCs w:val="22"/>
            <w:lang w:val="fr-CA" w:eastAsia="fr-FR"/>
          </w:rPr>
          <w:t>I</w:t>
        </w:r>
        <w:r w:rsidRPr="00AF3EBF">
          <w:rPr>
            <w:rStyle w:val="Lienhypertexte"/>
            <w:sz w:val="22"/>
            <w:szCs w:val="22"/>
            <w:lang w:val="fr-CA" w:eastAsia="fr-FR"/>
          </w:rPr>
          <w:t>/1</w:t>
        </w:r>
      </w:hyperlink>
      <w:r w:rsidRPr="00D32EC0">
        <w:rPr>
          <w:color w:val="000000"/>
          <w:szCs w:val="22"/>
          <w:lang w:val="fr-CA" w:eastAsia="fr-FR"/>
        </w:rPr>
        <w:t>, qui précise que la proposition de budget devrait être distribuée 90 jours avant les réunions de la Conférence des Parties,</w:t>
      </w:r>
    </w:p>
    <w:p w:rsidR="00D04A50" w:rsidRPr="00D32EC0" w:rsidRDefault="002E56C5" w:rsidP="002E56C5">
      <w:pPr>
        <w:spacing w:before="120" w:after="120"/>
        <w:ind w:firstLine="720"/>
        <w:rPr>
          <w:rFonts w:eastAsia="Malgun Gothic"/>
          <w:color w:val="000000"/>
          <w:kern w:val="22"/>
          <w:lang w:val="fr-CA" w:eastAsia="x-none"/>
        </w:rPr>
      </w:pPr>
      <w:r w:rsidRPr="00D32EC0">
        <w:rPr>
          <w:rFonts w:eastAsia="Malgun Gothic"/>
          <w:i/>
          <w:color w:val="000000"/>
          <w:kern w:val="18"/>
          <w:szCs w:val="22"/>
          <w:lang w:val="fr-CA" w:eastAsia="x-none"/>
        </w:rPr>
        <w:t xml:space="preserve">Rappelant en outre </w:t>
      </w:r>
      <w:r w:rsidRPr="00D32EC0">
        <w:rPr>
          <w:rFonts w:eastAsia="Malgun Gothic"/>
          <w:color w:val="000000"/>
          <w:kern w:val="18"/>
          <w:szCs w:val="22"/>
          <w:lang w:val="fr-CA" w:eastAsia="x-none"/>
        </w:rPr>
        <w:t>la résolution 2/18 de l’Assemblée des Nations Unies pour l’environnement sur le rapport entre le Programme des Nations Unies pour l’environnement et les accords multilatéraux sur l’environnement pour lesquels il assure le secrétariat</w:t>
      </w:r>
      <w:r w:rsidR="00D04A50" w:rsidRPr="00D32EC0">
        <w:rPr>
          <w:rFonts w:eastAsia="Malgun Gothic"/>
          <w:color w:val="000000"/>
          <w:kern w:val="22"/>
          <w:lang w:val="fr-CA" w:eastAsia="x-none"/>
        </w:rPr>
        <w:t>,</w:t>
      </w:r>
    </w:p>
    <w:p w:rsidR="00D578AC" w:rsidRPr="00D32EC0" w:rsidRDefault="00D578AC" w:rsidP="00BE67B1">
      <w:pPr>
        <w:shd w:val="clear" w:color="auto" w:fill="FFFFFF" w:themeFill="background1"/>
        <w:spacing w:before="120" w:after="120"/>
        <w:ind w:firstLine="720"/>
        <w:rPr>
          <w:iCs/>
          <w:kern w:val="22"/>
          <w:lang w:val="fr-CA" w:eastAsia="ko-KR"/>
        </w:rPr>
      </w:pPr>
      <w:r w:rsidRPr="00D32EC0">
        <w:rPr>
          <w:iCs/>
          <w:kern w:val="22"/>
          <w:lang w:val="fr-CA"/>
        </w:rPr>
        <w:t>1.</w:t>
      </w:r>
      <w:r w:rsidRPr="00D32EC0">
        <w:rPr>
          <w:iCs/>
          <w:kern w:val="22"/>
          <w:lang w:val="fr-CA" w:eastAsia="ko-KR"/>
        </w:rPr>
        <w:tab/>
      </w:r>
      <w:r w:rsidR="002E56C5" w:rsidRPr="00D32EC0">
        <w:rPr>
          <w:rFonts w:eastAsia="Malgun Gothic"/>
          <w:i/>
          <w:iCs/>
          <w:color w:val="000000"/>
          <w:kern w:val="18"/>
          <w:szCs w:val="22"/>
          <w:lang w:val="fr-CA" w:eastAsia="ko-KR"/>
        </w:rPr>
        <w:t>Décide</w:t>
      </w:r>
      <w:r w:rsidR="002E56C5" w:rsidRPr="00D32EC0">
        <w:rPr>
          <w:rFonts w:eastAsia="Malgun Gothic"/>
          <w:iCs/>
          <w:color w:val="000000"/>
          <w:kern w:val="18"/>
          <w:szCs w:val="22"/>
          <w:lang w:val="fr-CA" w:eastAsia="ko-KR"/>
        </w:rPr>
        <w:t xml:space="preserve"> d’adopter un programme de travail et un budget intégrés pour la Convention sur la diversité biologique, le Protocole de Cartagena sur la prévention des risques biotechnologiques et le Protocole de Nagoya sur l’accès et le partage des avantages </w:t>
      </w:r>
      <w:r w:rsidRPr="00D32EC0">
        <w:rPr>
          <w:iCs/>
          <w:kern w:val="22"/>
          <w:lang w:val="fr-CA" w:eastAsia="ko-KR"/>
        </w:rPr>
        <w:t>;</w:t>
      </w:r>
    </w:p>
    <w:p w:rsidR="00D578AC" w:rsidRPr="00D32EC0" w:rsidRDefault="00D578AC" w:rsidP="008C6750">
      <w:pPr>
        <w:shd w:val="clear" w:color="auto" w:fill="FFFFFF" w:themeFill="background1"/>
        <w:spacing w:before="120" w:after="120"/>
        <w:ind w:firstLine="720"/>
        <w:rPr>
          <w:kern w:val="22"/>
          <w:lang w:val="fr-CA" w:eastAsia="x-none"/>
        </w:rPr>
      </w:pPr>
      <w:r w:rsidRPr="00D32EC0">
        <w:rPr>
          <w:iCs/>
          <w:kern w:val="22"/>
          <w:lang w:val="fr-CA"/>
        </w:rPr>
        <w:t>2.</w:t>
      </w:r>
      <w:r w:rsidRPr="00D32EC0">
        <w:rPr>
          <w:b/>
          <w:bCs/>
          <w:i/>
          <w:iCs/>
          <w:kern w:val="22"/>
          <w:lang w:val="fr-CA" w:eastAsia="ko-KR"/>
        </w:rPr>
        <w:tab/>
      </w:r>
      <w:r w:rsidR="002E56C5" w:rsidRPr="00D32EC0">
        <w:rPr>
          <w:rFonts w:eastAsia="Malgun Gothic"/>
          <w:i/>
          <w:iCs/>
          <w:color w:val="000000"/>
          <w:kern w:val="18"/>
          <w:szCs w:val="22"/>
          <w:lang w:val="fr-CA" w:eastAsia="x-none"/>
        </w:rPr>
        <w:t>Décide également</w:t>
      </w:r>
      <w:r w:rsidR="002E56C5" w:rsidRPr="00D32EC0">
        <w:rPr>
          <w:rFonts w:eastAsia="Malgun Gothic"/>
          <w:iCs/>
          <w:color w:val="000000"/>
          <w:kern w:val="18"/>
          <w:szCs w:val="22"/>
          <w:lang w:val="fr-CA" w:eastAsia="x-none"/>
        </w:rPr>
        <w:t xml:space="preserve"> de répartir l’ensemble des coûts des services de secrétariat entre la Convention, le Protocole de Cartagena et le Protocole de Nagoya selon un ratio de 74:15:11 pour l’exercice biennal 2019-2020 </w:t>
      </w:r>
      <w:r w:rsidRPr="00D32EC0">
        <w:rPr>
          <w:iCs/>
          <w:kern w:val="22"/>
          <w:lang w:val="fr-CA" w:eastAsia="x-none"/>
        </w:rPr>
        <w:t>;</w:t>
      </w:r>
    </w:p>
    <w:p w:rsidR="00D578AC" w:rsidRPr="00D32EC0" w:rsidRDefault="00D578AC" w:rsidP="009539BB">
      <w:pPr>
        <w:shd w:val="clear" w:color="auto" w:fill="FFFFFF" w:themeFill="background1"/>
        <w:spacing w:before="120" w:after="120"/>
        <w:ind w:firstLine="720"/>
        <w:rPr>
          <w:iCs/>
          <w:kern w:val="22"/>
          <w:lang w:val="fr-CA" w:eastAsia="x-none"/>
        </w:rPr>
      </w:pPr>
      <w:r w:rsidRPr="00D32EC0">
        <w:rPr>
          <w:iCs/>
          <w:kern w:val="22"/>
          <w:lang w:val="fr-CA" w:eastAsia="x-none"/>
        </w:rPr>
        <w:t>3.</w:t>
      </w:r>
      <w:r w:rsidRPr="00D32EC0">
        <w:rPr>
          <w:iCs/>
          <w:kern w:val="22"/>
          <w:lang w:val="fr-CA" w:eastAsia="x-none"/>
        </w:rPr>
        <w:tab/>
      </w:r>
      <w:r w:rsidR="004F008C" w:rsidRPr="00D32EC0">
        <w:rPr>
          <w:i/>
          <w:color w:val="0D0D0D"/>
          <w:lang w:val="fr-CA"/>
        </w:rPr>
        <w:t>Approuve</w:t>
      </w:r>
      <w:r w:rsidR="004F008C" w:rsidRPr="00D32EC0">
        <w:rPr>
          <w:color w:val="0D0D0D"/>
          <w:lang w:val="fr-CA"/>
        </w:rPr>
        <w:t xml:space="preserve"> un budget-programme de base (</w:t>
      </w:r>
      <w:proofErr w:type="spellStart"/>
      <w:r w:rsidR="004F008C" w:rsidRPr="00D32EC0">
        <w:rPr>
          <w:color w:val="0D0D0D"/>
          <w:lang w:val="fr-CA"/>
        </w:rPr>
        <w:t>BB</w:t>
      </w:r>
      <w:proofErr w:type="spellEnd"/>
      <w:r w:rsidR="004F008C" w:rsidRPr="00D32EC0">
        <w:rPr>
          <w:color w:val="0D0D0D"/>
          <w:lang w:val="fr-CA"/>
        </w:rPr>
        <w:t>) pour le Protocole de Nagoya sur l’accès et le partage des avantages d’un montant de</w:t>
      </w:r>
      <w:r w:rsidR="004F008C" w:rsidRPr="00D32EC0">
        <w:rPr>
          <w:rFonts w:eastAsia="Malgun Gothic"/>
          <w:iCs/>
          <w:color w:val="000000"/>
          <w:kern w:val="18"/>
          <w:szCs w:val="22"/>
          <w:lang w:val="fr-CA" w:eastAsia="x-none"/>
        </w:rPr>
        <w:t xml:space="preserve"> 2 084 400 dollars </w:t>
      </w:r>
      <w:r w:rsidR="004F008C" w:rsidRPr="00D32EC0">
        <w:rPr>
          <w:color w:val="0D0D0D"/>
          <w:lang w:val="fr-CA"/>
        </w:rPr>
        <w:t xml:space="preserve">É.-U. pour l’année </w:t>
      </w:r>
      <w:r w:rsidR="004F008C" w:rsidRPr="00D32EC0">
        <w:rPr>
          <w:rFonts w:eastAsia="Malgun Gothic"/>
          <w:iCs/>
          <w:color w:val="000000"/>
          <w:kern w:val="18"/>
          <w:szCs w:val="22"/>
          <w:lang w:val="fr-CA" w:eastAsia="x-none"/>
        </w:rPr>
        <w:t xml:space="preserve">2019 et de 2 188 500 dollars </w:t>
      </w:r>
      <w:r w:rsidR="004F008C" w:rsidRPr="00D32EC0">
        <w:rPr>
          <w:color w:val="0D0D0D"/>
          <w:lang w:val="fr-CA"/>
        </w:rPr>
        <w:t>É.-U. pour l’année</w:t>
      </w:r>
      <w:r w:rsidR="004F008C" w:rsidRPr="00D32EC0">
        <w:rPr>
          <w:rFonts w:eastAsia="Malgun Gothic"/>
          <w:iCs/>
          <w:color w:val="000000"/>
          <w:kern w:val="18"/>
          <w:szCs w:val="22"/>
          <w:lang w:val="fr-CA" w:eastAsia="x-none"/>
        </w:rPr>
        <w:t xml:space="preserve"> 2020, ce qui représente 11 pour cent du budget intégré qui s’élève à 18 948 900 dollars </w:t>
      </w:r>
      <w:r w:rsidR="004F008C" w:rsidRPr="00D32EC0">
        <w:rPr>
          <w:color w:val="0D0D0D"/>
          <w:lang w:val="fr-CA"/>
        </w:rPr>
        <w:t>É.-U. pour l’année</w:t>
      </w:r>
      <w:r w:rsidR="004F008C" w:rsidRPr="00D32EC0">
        <w:rPr>
          <w:rFonts w:eastAsia="Malgun Gothic"/>
          <w:iCs/>
          <w:color w:val="000000"/>
          <w:kern w:val="18"/>
          <w:szCs w:val="22"/>
          <w:lang w:val="fr-CA" w:eastAsia="x-none"/>
        </w:rPr>
        <w:t xml:space="preserve"> 2019 et à 19 895 200 dollars </w:t>
      </w:r>
      <w:r w:rsidR="004F008C" w:rsidRPr="00D32EC0">
        <w:rPr>
          <w:color w:val="0D0D0D"/>
          <w:lang w:val="fr-CA"/>
        </w:rPr>
        <w:t>É.-U. pour l’année</w:t>
      </w:r>
      <w:r w:rsidR="004F008C" w:rsidRPr="00D32EC0">
        <w:rPr>
          <w:rFonts w:eastAsia="Malgun Gothic"/>
          <w:iCs/>
          <w:color w:val="000000"/>
          <w:kern w:val="18"/>
          <w:szCs w:val="22"/>
          <w:lang w:val="fr-CA" w:eastAsia="x-none"/>
        </w:rPr>
        <w:t xml:space="preserve"> 2020 pour la Convention et ses Protocoles, afin de répondre aux besoins recensés dans les tableaux 1a et 1b ci-dessous </w:t>
      </w:r>
      <w:r w:rsidRPr="00D32EC0">
        <w:rPr>
          <w:iCs/>
          <w:kern w:val="22"/>
          <w:lang w:val="fr-CA" w:eastAsia="x-none"/>
        </w:rPr>
        <w:t>;</w:t>
      </w:r>
    </w:p>
    <w:p w:rsidR="00D578AC" w:rsidRPr="00D32EC0" w:rsidRDefault="00D578AC" w:rsidP="009539BB">
      <w:pPr>
        <w:shd w:val="clear" w:color="auto" w:fill="FFFFFF" w:themeFill="background1"/>
        <w:spacing w:before="120" w:after="120"/>
        <w:ind w:firstLine="720"/>
        <w:rPr>
          <w:iCs/>
          <w:kern w:val="22"/>
          <w:lang w:val="fr-CA" w:eastAsia="x-none"/>
        </w:rPr>
      </w:pPr>
      <w:r w:rsidRPr="00D32EC0">
        <w:rPr>
          <w:iCs/>
          <w:kern w:val="22"/>
          <w:lang w:val="fr-CA" w:eastAsia="x-none"/>
        </w:rPr>
        <w:lastRenderedPageBreak/>
        <w:t>4.</w:t>
      </w:r>
      <w:r w:rsidRPr="00D32EC0">
        <w:rPr>
          <w:iCs/>
          <w:kern w:val="22"/>
          <w:lang w:val="fr-CA" w:eastAsia="x-none"/>
        </w:rPr>
        <w:tab/>
      </w:r>
      <w:r w:rsidR="004F008C" w:rsidRPr="00D32EC0">
        <w:rPr>
          <w:i/>
          <w:color w:val="0D0D0D"/>
          <w:kern w:val="22"/>
          <w:lang w:val="fr-CA"/>
        </w:rPr>
        <w:t xml:space="preserve">Adopte </w:t>
      </w:r>
      <w:r w:rsidR="004F008C" w:rsidRPr="00D32EC0">
        <w:rPr>
          <w:color w:val="0D0D0D"/>
          <w:kern w:val="22"/>
          <w:lang w:val="fr-CA"/>
        </w:rPr>
        <w:t>le barème des quotes-parts pour la répartitio</w:t>
      </w:r>
      <w:r w:rsidR="003B22EF">
        <w:rPr>
          <w:color w:val="0D0D0D"/>
          <w:kern w:val="22"/>
          <w:lang w:val="fr-CA"/>
        </w:rPr>
        <w:t>n des dépenses en 2019 et 2020 qu</w:t>
      </w:r>
      <w:r w:rsidR="004F008C" w:rsidRPr="00D32EC0">
        <w:rPr>
          <w:color w:val="0D0D0D"/>
          <w:kern w:val="22"/>
          <w:lang w:val="fr-CA"/>
        </w:rPr>
        <w:t>i figure dans le tableau 2 ci-dessous</w:t>
      </w:r>
      <w:r w:rsidRPr="00D32EC0">
        <w:rPr>
          <w:iCs/>
          <w:kern w:val="22"/>
          <w:lang w:val="fr-CA" w:eastAsia="x-none"/>
        </w:rPr>
        <w:t>;</w:t>
      </w:r>
      <w:r w:rsidR="00AD38FA" w:rsidRPr="00D32EC0">
        <w:rPr>
          <w:rStyle w:val="Appelnotedebasdep"/>
          <w:iCs/>
          <w:kern w:val="22"/>
          <w:lang w:val="fr-CA" w:eastAsia="x-none"/>
        </w:rPr>
        <w:footnoteReference w:id="1"/>
      </w:r>
    </w:p>
    <w:p w:rsidR="00D578AC" w:rsidRPr="00D32EC0" w:rsidRDefault="00D578AC" w:rsidP="009539BB">
      <w:pPr>
        <w:shd w:val="clear" w:color="auto" w:fill="FFFFFF" w:themeFill="background1"/>
        <w:spacing w:before="120" w:after="120"/>
        <w:ind w:firstLine="720"/>
        <w:rPr>
          <w:iCs/>
          <w:kern w:val="22"/>
          <w:lang w:val="fr-CA" w:eastAsia="x-none"/>
        </w:rPr>
      </w:pPr>
      <w:r w:rsidRPr="00D32EC0">
        <w:rPr>
          <w:iCs/>
          <w:kern w:val="22"/>
          <w:lang w:val="fr-CA" w:eastAsia="x-none"/>
        </w:rPr>
        <w:t>5.</w:t>
      </w:r>
      <w:r w:rsidRPr="00D32EC0">
        <w:rPr>
          <w:iCs/>
          <w:kern w:val="22"/>
          <w:lang w:val="fr-CA" w:eastAsia="x-none"/>
        </w:rPr>
        <w:tab/>
      </w:r>
      <w:r w:rsidR="00331234">
        <w:rPr>
          <w:i/>
          <w:iCs/>
          <w:kern w:val="22"/>
          <w:lang w:val="fr-CA" w:eastAsia="x-none"/>
        </w:rPr>
        <w:t xml:space="preserve">Autorise </w:t>
      </w:r>
      <w:r w:rsidR="000262D8">
        <w:rPr>
          <w:iCs/>
          <w:kern w:val="22"/>
          <w:lang w:val="fr-CA" w:eastAsia="x-none"/>
        </w:rPr>
        <w:t xml:space="preserve">la Secrétaire exécutive à </w:t>
      </w:r>
      <w:r w:rsidR="00331234">
        <w:rPr>
          <w:iCs/>
          <w:kern w:val="22"/>
          <w:lang w:val="fr-CA" w:eastAsia="x-none"/>
        </w:rPr>
        <w:t>amender, à titre exceptionnel, le barème des quotes-parts afin d’y inclure les Parties pour lesquelles le Protocole de Nagoya entre en vigueur le 31 décembre 2018 ou avant</w:t>
      </w:r>
      <w:r w:rsidRPr="00D32EC0">
        <w:rPr>
          <w:iCs/>
          <w:kern w:val="22"/>
          <w:lang w:val="fr-CA" w:eastAsia="x-none"/>
        </w:rPr>
        <w:t>;</w:t>
      </w:r>
    </w:p>
    <w:p w:rsidR="00D578AC" w:rsidRPr="00D32EC0" w:rsidRDefault="00D578AC">
      <w:pPr>
        <w:shd w:val="clear" w:color="auto" w:fill="FFFFFF" w:themeFill="background1"/>
        <w:spacing w:before="120" w:after="120"/>
        <w:ind w:firstLine="720"/>
        <w:rPr>
          <w:iCs/>
          <w:snapToGrid w:val="0"/>
          <w:kern w:val="22"/>
          <w:lang w:val="fr-CA" w:eastAsia="x-none"/>
        </w:rPr>
      </w:pPr>
      <w:r w:rsidRPr="00D32EC0">
        <w:rPr>
          <w:iCs/>
          <w:snapToGrid w:val="0"/>
          <w:kern w:val="22"/>
          <w:lang w:val="fr-CA" w:eastAsia="x-none"/>
        </w:rPr>
        <w:t>6.</w:t>
      </w:r>
      <w:r w:rsidRPr="00D32EC0">
        <w:rPr>
          <w:iCs/>
          <w:snapToGrid w:val="0"/>
          <w:kern w:val="22"/>
          <w:lang w:val="fr-CA" w:eastAsia="x-none"/>
        </w:rPr>
        <w:tab/>
      </w:r>
      <w:r w:rsidR="00331234">
        <w:rPr>
          <w:i/>
          <w:iCs/>
          <w:kern w:val="22"/>
          <w:lang w:val="fr-CA" w:eastAsia="x-none"/>
        </w:rPr>
        <w:t xml:space="preserve">Accueille </w:t>
      </w:r>
      <w:r w:rsidR="00331234">
        <w:rPr>
          <w:iCs/>
          <w:kern w:val="22"/>
          <w:lang w:val="fr-CA" w:eastAsia="x-none"/>
        </w:rPr>
        <w:t>les estimations de financement des contributions supplémentaires volontaires en appui aux activités approuvées du Protocole de Nagoya sur l’accès et le partage des avantages pour la période 2019-2020 qui figure au tableau 3 de la décision 14/37 de la Conférence des Parties</w:t>
      </w:r>
      <w:r w:rsidRPr="00D32EC0">
        <w:rPr>
          <w:iCs/>
          <w:kern w:val="22"/>
          <w:lang w:val="fr-CA" w:eastAsia="x-none"/>
        </w:rPr>
        <w:t>;</w:t>
      </w:r>
    </w:p>
    <w:p w:rsidR="00D578AC" w:rsidRPr="00D32EC0" w:rsidRDefault="00631138">
      <w:pPr>
        <w:shd w:val="clear" w:color="auto" w:fill="FFFFFF" w:themeFill="background1"/>
        <w:spacing w:before="120" w:after="120"/>
        <w:ind w:firstLine="720"/>
        <w:rPr>
          <w:iCs/>
          <w:kern w:val="22"/>
          <w:lang w:val="fr-CA" w:eastAsia="x-none"/>
        </w:rPr>
      </w:pPr>
      <w:r w:rsidRPr="00D32EC0">
        <w:rPr>
          <w:iCs/>
          <w:kern w:val="22"/>
          <w:lang w:val="fr-CA" w:eastAsia="x-none"/>
        </w:rPr>
        <w:t>7</w:t>
      </w:r>
      <w:r w:rsidR="00D578AC" w:rsidRPr="00D32EC0">
        <w:rPr>
          <w:iCs/>
          <w:kern w:val="22"/>
          <w:lang w:val="fr-CA" w:eastAsia="x-none"/>
        </w:rPr>
        <w:t>.</w:t>
      </w:r>
      <w:r w:rsidR="00D578AC" w:rsidRPr="00D32EC0">
        <w:rPr>
          <w:iCs/>
          <w:kern w:val="22"/>
          <w:lang w:val="fr-CA" w:eastAsia="x-none"/>
        </w:rPr>
        <w:tab/>
      </w:r>
      <w:r w:rsidR="00331234">
        <w:rPr>
          <w:i/>
          <w:iCs/>
          <w:kern w:val="22"/>
          <w:lang w:val="fr-CA" w:eastAsia="x-none"/>
        </w:rPr>
        <w:t xml:space="preserve">Décide </w:t>
      </w:r>
      <w:r w:rsidR="00331234">
        <w:rPr>
          <w:iCs/>
          <w:kern w:val="22"/>
          <w:lang w:val="fr-CA" w:eastAsia="x-none"/>
        </w:rPr>
        <w:t>d’appliquer</w:t>
      </w:r>
      <w:r w:rsidR="00B2094F">
        <w:rPr>
          <w:iCs/>
          <w:kern w:val="22"/>
          <w:lang w:val="fr-CA" w:eastAsia="x-none"/>
        </w:rPr>
        <w:t>,</w:t>
      </w:r>
      <w:r w:rsidR="00331234">
        <w:rPr>
          <w:iCs/>
          <w:kern w:val="22"/>
          <w:lang w:val="fr-CA" w:eastAsia="x-none"/>
        </w:rPr>
        <w:t xml:space="preserve"> </w:t>
      </w:r>
      <w:r w:rsidR="00E211C3">
        <w:rPr>
          <w:iCs/>
          <w:kern w:val="22"/>
          <w:lang w:val="fr-CA" w:eastAsia="x-none"/>
        </w:rPr>
        <w:t>avec les adaptations nécessaires</w:t>
      </w:r>
      <w:r w:rsidR="00B2094F">
        <w:rPr>
          <w:iCs/>
          <w:kern w:val="22"/>
          <w:lang w:val="fr-CA" w:eastAsia="x-none"/>
        </w:rPr>
        <w:t>,</w:t>
      </w:r>
      <w:bookmarkStart w:id="2" w:name="_GoBack"/>
      <w:bookmarkEnd w:id="2"/>
      <w:r w:rsidR="00E211C3">
        <w:rPr>
          <w:iCs/>
          <w:kern w:val="22"/>
          <w:lang w:val="fr-CA" w:eastAsia="x-none"/>
        </w:rPr>
        <w:t xml:space="preserve"> les paragraphes 3 à 5 et 7 à 50 de la décision 14/37 de la Conférence des Parties</w:t>
      </w:r>
      <w:r w:rsidR="00D578AC" w:rsidRPr="00D32EC0">
        <w:rPr>
          <w:iCs/>
          <w:snapToGrid w:val="0"/>
          <w:kern w:val="22"/>
          <w:lang w:val="fr-CA" w:eastAsia="x-none"/>
        </w:rPr>
        <w:t>.</w:t>
      </w:r>
    </w:p>
    <w:p w:rsidR="00C9161D" w:rsidRPr="00D32EC0" w:rsidRDefault="00C9161D" w:rsidP="0069295C">
      <w:pPr>
        <w:shd w:val="clear" w:color="auto" w:fill="FFFFFF" w:themeFill="background1"/>
        <w:spacing w:before="120" w:after="120"/>
        <w:ind w:firstLine="720"/>
        <w:rPr>
          <w:kern w:val="22"/>
          <w:lang w:val="fr-CA"/>
        </w:rPr>
      </w:pPr>
    </w:p>
    <w:p w:rsidR="00A11FB8" w:rsidRPr="00D32EC0" w:rsidRDefault="00A11FB8">
      <w:pPr>
        <w:jc w:val="left"/>
        <w:rPr>
          <w:kern w:val="22"/>
          <w:lang w:val="fr-CA"/>
        </w:rPr>
      </w:pPr>
      <w:r w:rsidRPr="00D32EC0">
        <w:rPr>
          <w:kern w:val="22"/>
          <w:lang w:val="fr-CA"/>
        </w:rPr>
        <w:br w:type="page"/>
      </w:r>
    </w:p>
    <w:p w:rsidR="003F3847" w:rsidRPr="00E211C3" w:rsidRDefault="00E211C3" w:rsidP="000262D8">
      <w:pPr>
        <w:ind w:left="1170" w:hanging="1170"/>
        <w:jc w:val="left"/>
        <w:rPr>
          <w:b/>
          <w:bCs/>
          <w:szCs w:val="22"/>
          <w:lang w:val="fr-FR"/>
        </w:rPr>
      </w:pPr>
      <w:r w:rsidRPr="00E211C3">
        <w:rPr>
          <w:b/>
          <w:bCs/>
          <w:szCs w:val="22"/>
          <w:lang w:val="fr-FR"/>
        </w:rPr>
        <w:lastRenderedPageBreak/>
        <w:t>Tableau 1a.</w:t>
      </w:r>
      <w:r w:rsidR="000262D8">
        <w:rPr>
          <w:b/>
          <w:bCs/>
          <w:szCs w:val="22"/>
          <w:lang w:val="fr-FR"/>
        </w:rPr>
        <w:tab/>
      </w:r>
      <w:r w:rsidRPr="00E211C3">
        <w:rPr>
          <w:b/>
          <w:bCs/>
          <w:szCs w:val="22"/>
          <w:lang w:val="fr-FR"/>
        </w:rPr>
        <w:t>Budget intégré des fonds d’affectation spéciale de la Convention sur la diversité biologique et de ses protocoles pour l’exercice biennal 2019-2020</w:t>
      </w:r>
    </w:p>
    <w:p w:rsidR="00E211C3" w:rsidRPr="00E211C3" w:rsidRDefault="00E211C3">
      <w:pPr>
        <w:jc w:val="left"/>
        <w:rPr>
          <w:kern w:val="22"/>
          <w:lang w:val="fr-CA"/>
        </w:rPr>
      </w:pPr>
    </w:p>
    <w:tbl>
      <w:tblPr>
        <w:tblW w:w="9120" w:type="dxa"/>
        <w:tblInd w:w="93" w:type="dxa"/>
        <w:tblLook w:val="04A0" w:firstRow="1" w:lastRow="0" w:firstColumn="1" w:lastColumn="0" w:noHBand="0" w:noVBand="1"/>
      </w:tblPr>
      <w:tblGrid>
        <w:gridCol w:w="4520"/>
        <w:gridCol w:w="1360"/>
        <w:gridCol w:w="1600"/>
        <w:gridCol w:w="1640"/>
      </w:tblGrid>
      <w:tr w:rsidR="00465B94" w:rsidRPr="00465B94" w:rsidTr="003F3847">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465B94" w:rsidRPr="00465B94" w:rsidRDefault="00465B94" w:rsidP="00465B94">
            <w:pPr>
              <w:jc w:val="left"/>
              <w:rPr>
                <w:i/>
                <w:iCs/>
                <w:color w:val="000000"/>
                <w:kern w:val="22"/>
                <w:sz w:val="15"/>
                <w:szCs w:val="15"/>
                <w:lang w:val="fr-CA" w:eastAsia="en-CA"/>
              </w:rPr>
            </w:pPr>
          </w:p>
        </w:tc>
        <w:tc>
          <w:tcPr>
            <w:tcW w:w="1360" w:type="dxa"/>
            <w:vMerge w:val="restart"/>
            <w:tcBorders>
              <w:top w:val="single" w:sz="8" w:space="0" w:color="auto"/>
              <w:left w:val="nil"/>
              <w:bottom w:val="single" w:sz="12" w:space="0" w:color="000000"/>
              <w:right w:val="nil"/>
            </w:tcBorders>
            <w:shd w:val="clear" w:color="auto" w:fill="auto"/>
            <w:vAlign w:val="center"/>
            <w:hideMark/>
          </w:tcPr>
          <w:p w:rsidR="00465B94" w:rsidRPr="00465B94" w:rsidRDefault="00465B94" w:rsidP="00465B94">
            <w:pPr>
              <w:jc w:val="center"/>
              <w:rPr>
                <w:i/>
                <w:iCs/>
                <w:color w:val="000000"/>
                <w:sz w:val="15"/>
                <w:szCs w:val="15"/>
                <w:lang w:val="fr-CA"/>
              </w:rPr>
            </w:pPr>
            <w:r w:rsidRPr="00465B94">
              <w:rPr>
                <w:i/>
                <w:iCs/>
                <w:color w:val="000000"/>
                <w:sz w:val="15"/>
                <w:szCs w:val="15"/>
                <w:lang w:val="fr-CA"/>
              </w:rPr>
              <w:t>2019                            (milliers de dollars É.-U.)</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465B94" w:rsidRPr="00465B94" w:rsidRDefault="00465B94" w:rsidP="00465B94">
            <w:pPr>
              <w:jc w:val="center"/>
              <w:rPr>
                <w:i/>
                <w:iCs/>
                <w:color w:val="000000"/>
                <w:sz w:val="15"/>
                <w:szCs w:val="15"/>
                <w:lang w:val="fr-CA"/>
              </w:rPr>
            </w:pPr>
            <w:r w:rsidRPr="00465B94">
              <w:rPr>
                <w:i/>
                <w:iCs/>
                <w:color w:val="000000"/>
                <w:sz w:val="15"/>
                <w:szCs w:val="15"/>
                <w:lang w:val="fr-CA"/>
              </w:rPr>
              <w:t xml:space="preserve">2020                          (milliers de </w:t>
            </w:r>
          </w:p>
          <w:p w:rsidR="00465B94" w:rsidRPr="00465B94" w:rsidRDefault="00465B94" w:rsidP="00465B94">
            <w:pPr>
              <w:jc w:val="center"/>
              <w:rPr>
                <w:i/>
                <w:iCs/>
                <w:color w:val="000000"/>
                <w:sz w:val="15"/>
                <w:szCs w:val="15"/>
                <w:lang w:val="fr-CA"/>
              </w:rPr>
            </w:pPr>
            <w:r w:rsidRPr="00465B94">
              <w:rPr>
                <w:i/>
                <w:iCs/>
                <w:color w:val="000000"/>
                <w:sz w:val="15"/>
                <w:szCs w:val="15"/>
                <w:lang w:val="fr-CA"/>
              </w:rPr>
              <w:t>dollars É.-U.)</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465B94" w:rsidRPr="00465B94" w:rsidRDefault="00465B94" w:rsidP="00465B94">
            <w:pPr>
              <w:jc w:val="center"/>
              <w:rPr>
                <w:i/>
                <w:iCs/>
                <w:color w:val="000000"/>
                <w:sz w:val="15"/>
                <w:szCs w:val="15"/>
                <w:lang w:val="fr-CA"/>
              </w:rPr>
            </w:pPr>
            <w:r w:rsidRPr="00465B94">
              <w:rPr>
                <w:i/>
                <w:iCs/>
                <w:color w:val="000000"/>
                <w:sz w:val="15"/>
                <w:szCs w:val="15"/>
                <w:lang w:val="fr-CA"/>
              </w:rPr>
              <w:t xml:space="preserve">Total                            (milliers de </w:t>
            </w:r>
          </w:p>
          <w:p w:rsidR="00465B94" w:rsidRPr="00465B94" w:rsidRDefault="00465B94" w:rsidP="00465B94">
            <w:pPr>
              <w:jc w:val="center"/>
              <w:rPr>
                <w:i/>
                <w:iCs/>
                <w:color w:val="000000"/>
                <w:sz w:val="15"/>
                <w:szCs w:val="15"/>
                <w:lang w:val="fr-CA"/>
              </w:rPr>
            </w:pPr>
            <w:r w:rsidRPr="00465B94">
              <w:rPr>
                <w:i/>
                <w:iCs/>
                <w:color w:val="000000"/>
                <w:sz w:val="15"/>
                <w:szCs w:val="15"/>
                <w:lang w:val="fr-CA"/>
              </w:rPr>
              <w:t>dollars É.-U.)</w:t>
            </w:r>
          </w:p>
        </w:tc>
      </w:tr>
      <w:tr w:rsidR="003F3847" w:rsidRPr="00465B94" w:rsidTr="003F3847">
        <w:trPr>
          <w:trHeight w:val="288"/>
        </w:trPr>
        <w:tc>
          <w:tcPr>
            <w:tcW w:w="452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36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0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4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r>
      <w:tr w:rsidR="003F3847" w:rsidRPr="00465B94" w:rsidTr="003F3847">
        <w:trPr>
          <w:trHeight w:val="300"/>
        </w:trPr>
        <w:tc>
          <w:tcPr>
            <w:tcW w:w="452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36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0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4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r>
      <w:tr w:rsidR="003F3847" w:rsidRPr="00465B94" w:rsidTr="003F3847">
        <w:trPr>
          <w:trHeight w:val="300"/>
        </w:trPr>
        <w:tc>
          <w:tcPr>
            <w:tcW w:w="4520" w:type="dxa"/>
            <w:tcBorders>
              <w:top w:val="nil"/>
              <w:left w:val="nil"/>
              <w:bottom w:val="nil"/>
              <w:right w:val="nil"/>
            </w:tcBorders>
            <w:shd w:val="clear" w:color="auto" w:fill="auto"/>
            <w:vAlign w:val="center"/>
            <w:hideMark/>
          </w:tcPr>
          <w:p w:rsidR="003F3847" w:rsidRPr="00465B94" w:rsidRDefault="003F3847" w:rsidP="003F3847">
            <w:pPr>
              <w:jc w:val="left"/>
              <w:rPr>
                <w:color w:val="000000"/>
                <w:kern w:val="22"/>
                <w:sz w:val="17"/>
                <w:szCs w:val="17"/>
                <w:lang w:val="fr-CA" w:eastAsia="en-CA"/>
              </w:rPr>
            </w:pPr>
          </w:p>
        </w:tc>
        <w:tc>
          <w:tcPr>
            <w:tcW w:w="1360" w:type="dxa"/>
            <w:tcBorders>
              <w:top w:val="nil"/>
              <w:left w:val="nil"/>
              <w:bottom w:val="nil"/>
              <w:right w:val="nil"/>
            </w:tcBorders>
            <w:shd w:val="clear" w:color="auto" w:fill="auto"/>
            <w:vAlign w:val="center"/>
            <w:hideMark/>
          </w:tcPr>
          <w:p w:rsidR="003F3847" w:rsidRPr="00465B94" w:rsidRDefault="003F3847" w:rsidP="003F3847">
            <w:pPr>
              <w:jc w:val="left"/>
              <w:rPr>
                <w:color w:val="000000"/>
                <w:kern w:val="22"/>
                <w:sz w:val="17"/>
                <w:szCs w:val="17"/>
                <w:lang w:val="fr-CA" w:eastAsia="en-CA"/>
              </w:rPr>
            </w:pPr>
          </w:p>
        </w:tc>
        <w:tc>
          <w:tcPr>
            <w:tcW w:w="1600" w:type="dxa"/>
            <w:tcBorders>
              <w:top w:val="nil"/>
              <w:left w:val="nil"/>
              <w:bottom w:val="nil"/>
              <w:right w:val="nil"/>
            </w:tcBorders>
            <w:shd w:val="clear" w:color="auto" w:fill="auto"/>
            <w:vAlign w:val="center"/>
            <w:hideMark/>
          </w:tcPr>
          <w:p w:rsidR="003F3847" w:rsidRPr="00465B94" w:rsidRDefault="003F3847" w:rsidP="003F3847">
            <w:pPr>
              <w:jc w:val="right"/>
              <w:rPr>
                <w:color w:val="000000"/>
                <w:kern w:val="22"/>
                <w:sz w:val="17"/>
                <w:szCs w:val="17"/>
                <w:lang w:val="fr-CA" w:eastAsia="en-CA"/>
              </w:rPr>
            </w:pPr>
          </w:p>
        </w:tc>
        <w:tc>
          <w:tcPr>
            <w:tcW w:w="1640" w:type="dxa"/>
            <w:tcBorders>
              <w:top w:val="nil"/>
              <w:left w:val="nil"/>
              <w:bottom w:val="nil"/>
              <w:right w:val="nil"/>
            </w:tcBorders>
            <w:shd w:val="clear" w:color="auto" w:fill="auto"/>
            <w:vAlign w:val="center"/>
            <w:hideMark/>
          </w:tcPr>
          <w:p w:rsidR="003F3847" w:rsidRPr="00465B94" w:rsidRDefault="003F3847" w:rsidP="003F3847">
            <w:pPr>
              <w:jc w:val="right"/>
              <w:rPr>
                <w:color w:val="000000"/>
                <w:kern w:val="22"/>
                <w:sz w:val="17"/>
                <w:szCs w:val="17"/>
                <w:lang w:val="fr-CA" w:eastAsia="en-CA"/>
              </w:rPr>
            </w:pP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8D585E">
            <w:pPr>
              <w:jc w:val="left"/>
              <w:rPr>
                <w:color w:val="000000"/>
                <w:kern w:val="22"/>
                <w:sz w:val="17"/>
                <w:szCs w:val="17"/>
                <w:lang w:val="fr-CA" w:eastAsia="en-CA"/>
              </w:rPr>
            </w:pPr>
            <w:r w:rsidRPr="00465B94">
              <w:rPr>
                <w:color w:val="000000"/>
                <w:kern w:val="22"/>
                <w:sz w:val="17"/>
                <w:szCs w:val="17"/>
                <w:lang w:val="fr-CA" w:eastAsia="en-CA"/>
              </w:rPr>
              <w:t xml:space="preserve">A. </w:t>
            </w:r>
            <w:r w:rsidR="00465B94" w:rsidRPr="00465B94">
              <w:rPr>
                <w:color w:val="000000"/>
                <w:kern w:val="22"/>
                <w:sz w:val="17"/>
                <w:szCs w:val="17"/>
                <w:lang w:val="fr-CA" w:eastAsia="en-CA"/>
              </w:rPr>
              <w:t xml:space="preserve">Organes </w:t>
            </w:r>
            <w:r w:rsidR="008D585E">
              <w:rPr>
                <w:color w:val="000000"/>
                <w:kern w:val="22"/>
                <w:sz w:val="17"/>
                <w:szCs w:val="17"/>
                <w:lang w:val="fr-CA" w:eastAsia="en-CA"/>
              </w:rPr>
              <w:t>directeurs</w:t>
            </w:r>
            <w:r w:rsidR="00465B94" w:rsidRPr="00465B94">
              <w:rPr>
                <w:color w:val="000000"/>
                <w:kern w:val="22"/>
                <w:sz w:val="17"/>
                <w:szCs w:val="17"/>
                <w:lang w:val="fr-CA" w:eastAsia="en-CA"/>
              </w:rPr>
              <w:t xml:space="preserve"> et subsidiaires</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w:t>
            </w:r>
            <w:r w:rsidR="000E3CE6" w:rsidRPr="00465B94">
              <w:rPr>
                <w:color w:val="000000"/>
                <w:kern w:val="22"/>
                <w:sz w:val="17"/>
                <w:szCs w:val="17"/>
                <w:lang w:val="fr-CA" w:eastAsia="en-CA"/>
              </w:rPr>
              <w:t xml:space="preserve"> </w:t>
            </w:r>
            <w:r w:rsidRPr="00465B94">
              <w:rPr>
                <w:color w:val="000000"/>
                <w:kern w:val="22"/>
                <w:sz w:val="17"/>
                <w:szCs w:val="17"/>
                <w:lang w:val="fr-CA" w:eastAsia="en-CA"/>
              </w:rPr>
              <w:t>889</w:t>
            </w:r>
            <w:r w:rsidR="00566464">
              <w:rPr>
                <w:color w:val="000000"/>
                <w:kern w:val="22"/>
                <w:sz w:val="17"/>
                <w:szCs w:val="17"/>
                <w:lang w:val="fr-CA" w:eastAsia="en-CA"/>
              </w:rPr>
              <w:t>,</w:t>
            </w:r>
            <w:r w:rsidRPr="00465B94">
              <w:rPr>
                <w:color w:val="000000"/>
                <w:kern w:val="22"/>
                <w:sz w:val="17"/>
                <w:szCs w:val="17"/>
                <w:lang w:val="fr-CA" w:eastAsia="en-CA"/>
              </w:rPr>
              <w:t>0</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484</w:t>
            </w:r>
            <w:r w:rsidR="00566464">
              <w:rPr>
                <w:color w:val="000000"/>
                <w:kern w:val="22"/>
                <w:sz w:val="17"/>
                <w:szCs w:val="17"/>
                <w:lang w:val="fr-CA" w:eastAsia="en-CA"/>
              </w:rPr>
              <w:t>,</w:t>
            </w:r>
            <w:r w:rsidRPr="00465B94">
              <w:rPr>
                <w:color w:val="000000"/>
                <w:kern w:val="22"/>
                <w:sz w:val="17"/>
                <w:szCs w:val="17"/>
                <w:lang w:val="fr-CA" w:eastAsia="en-CA"/>
              </w:rPr>
              <w:t>0</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4</w:t>
            </w:r>
            <w:r w:rsidR="000E3CE6" w:rsidRPr="00465B94">
              <w:rPr>
                <w:color w:val="000000"/>
                <w:kern w:val="22"/>
                <w:sz w:val="17"/>
                <w:szCs w:val="17"/>
                <w:lang w:val="fr-CA" w:eastAsia="en-CA"/>
              </w:rPr>
              <w:t xml:space="preserve"> </w:t>
            </w:r>
            <w:r w:rsidRPr="00465B94">
              <w:rPr>
                <w:color w:val="000000"/>
                <w:kern w:val="22"/>
                <w:sz w:val="17"/>
                <w:szCs w:val="17"/>
                <w:lang w:val="fr-CA" w:eastAsia="en-CA"/>
              </w:rPr>
              <w:t>373</w:t>
            </w:r>
            <w:r w:rsidR="00566464">
              <w:rPr>
                <w:color w:val="000000"/>
                <w:kern w:val="22"/>
                <w:sz w:val="17"/>
                <w:szCs w:val="17"/>
                <w:lang w:val="fr-CA" w:eastAsia="en-CA"/>
              </w:rPr>
              <w:t>,</w:t>
            </w:r>
            <w:r w:rsidRPr="00465B94">
              <w:rPr>
                <w:color w:val="000000"/>
                <w:kern w:val="22"/>
                <w:sz w:val="17"/>
                <w:szCs w:val="17"/>
                <w:lang w:val="fr-CA" w:eastAsia="en-CA"/>
              </w:rPr>
              <w:t>0</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465B94">
            <w:pPr>
              <w:jc w:val="left"/>
              <w:rPr>
                <w:color w:val="000000"/>
                <w:kern w:val="22"/>
                <w:sz w:val="17"/>
                <w:szCs w:val="17"/>
                <w:lang w:val="fr-CA" w:eastAsia="en-CA"/>
              </w:rPr>
            </w:pPr>
            <w:r w:rsidRPr="00465B94">
              <w:rPr>
                <w:color w:val="000000"/>
                <w:kern w:val="22"/>
                <w:sz w:val="17"/>
                <w:szCs w:val="17"/>
                <w:lang w:val="fr-CA" w:eastAsia="en-CA"/>
              </w:rPr>
              <w:t xml:space="preserve">B. </w:t>
            </w:r>
            <w:r w:rsidR="00465B94">
              <w:rPr>
                <w:color w:val="000000"/>
                <w:kern w:val="22"/>
                <w:sz w:val="17"/>
                <w:szCs w:val="17"/>
                <w:lang w:val="fr-CA" w:eastAsia="en-CA"/>
              </w:rPr>
              <w:t>Direction exécutive et administration</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634</w:t>
            </w:r>
            <w:r w:rsidR="00566464">
              <w:rPr>
                <w:color w:val="000000"/>
                <w:kern w:val="22"/>
                <w:sz w:val="17"/>
                <w:szCs w:val="17"/>
                <w:lang w:val="fr-CA" w:eastAsia="en-CA"/>
              </w:rPr>
              <w:t>,</w:t>
            </w:r>
            <w:r w:rsidRPr="00465B94">
              <w:rPr>
                <w:color w:val="000000"/>
                <w:kern w:val="22"/>
                <w:sz w:val="17"/>
                <w:szCs w:val="17"/>
                <w:lang w:val="fr-CA" w:eastAsia="en-CA"/>
              </w:rPr>
              <w:t>5</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669</w:t>
            </w:r>
            <w:r w:rsidR="00566464">
              <w:rPr>
                <w:color w:val="000000"/>
                <w:kern w:val="22"/>
                <w:sz w:val="17"/>
                <w:szCs w:val="17"/>
                <w:lang w:val="fr-CA" w:eastAsia="en-CA"/>
              </w:rPr>
              <w:t>,</w:t>
            </w:r>
            <w:r w:rsidRPr="00465B94">
              <w:rPr>
                <w:color w:val="000000"/>
                <w:kern w:val="22"/>
                <w:sz w:val="17"/>
                <w:szCs w:val="17"/>
                <w:lang w:val="fr-CA" w:eastAsia="en-CA"/>
              </w:rPr>
              <w:t>8</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5</w:t>
            </w:r>
            <w:r w:rsidR="000E3CE6" w:rsidRPr="00465B94">
              <w:rPr>
                <w:color w:val="000000"/>
                <w:kern w:val="22"/>
                <w:sz w:val="17"/>
                <w:szCs w:val="17"/>
                <w:lang w:val="fr-CA" w:eastAsia="en-CA"/>
              </w:rPr>
              <w:t xml:space="preserve"> </w:t>
            </w:r>
            <w:r w:rsidRPr="00465B94">
              <w:rPr>
                <w:color w:val="000000"/>
                <w:kern w:val="22"/>
                <w:sz w:val="17"/>
                <w:szCs w:val="17"/>
                <w:lang w:val="fr-CA" w:eastAsia="en-CA"/>
              </w:rPr>
              <w:t>304</w:t>
            </w:r>
            <w:r w:rsidR="00566464">
              <w:rPr>
                <w:color w:val="000000"/>
                <w:kern w:val="22"/>
                <w:sz w:val="17"/>
                <w:szCs w:val="17"/>
                <w:lang w:val="fr-CA" w:eastAsia="en-CA"/>
              </w:rPr>
              <w:t>,</w:t>
            </w:r>
            <w:r w:rsidRPr="00465B94">
              <w:rPr>
                <w:color w:val="000000"/>
                <w:kern w:val="22"/>
                <w:sz w:val="17"/>
                <w:szCs w:val="17"/>
                <w:lang w:val="fr-CA" w:eastAsia="en-CA"/>
              </w:rPr>
              <w:t>3</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465B94">
            <w:pPr>
              <w:jc w:val="left"/>
              <w:rPr>
                <w:color w:val="000000"/>
                <w:kern w:val="22"/>
                <w:sz w:val="17"/>
                <w:szCs w:val="17"/>
                <w:lang w:val="fr-CA" w:eastAsia="en-CA"/>
              </w:rPr>
            </w:pPr>
            <w:r w:rsidRPr="00465B94">
              <w:rPr>
                <w:color w:val="000000"/>
                <w:kern w:val="22"/>
                <w:sz w:val="17"/>
                <w:szCs w:val="17"/>
                <w:lang w:val="fr-CA" w:eastAsia="en-CA"/>
              </w:rPr>
              <w:t xml:space="preserve">C. </w:t>
            </w:r>
            <w:r w:rsidR="00465B94">
              <w:rPr>
                <w:color w:val="000000"/>
                <w:kern w:val="22"/>
                <w:sz w:val="17"/>
                <w:szCs w:val="17"/>
                <w:lang w:val="fr-CA" w:eastAsia="en-CA"/>
              </w:rPr>
              <w:t>Programme de travail</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9</w:t>
            </w:r>
            <w:r w:rsidR="000E3CE6" w:rsidRPr="00465B94">
              <w:rPr>
                <w:color w:val="000000"/>
                <w:kern w:val="22"/>
                <w:sz w:val="17"/>
                <w:szCs w:val="17"/>
                <w:lang w:val="fr-CA" w:eastAsia="en-CA"/>
              </w:rPr>
              <w:t xml:space="preserve"> </w:t>
            </w:r>
            <w:r w:rsidRPr="00465B94">
              <w:rPr>
                <w:color w:val="000000"/>
                <w:kern w:val="22"/>
                <w:sz w:val="17"/>
                <w:szCs w:val="17"/>
                <w:lang w:val="fr-CA" w:eastAsia="en-CA"/>
              </w:rPr>
              <w:t>309</w:t>
            </w:r>
            <w:r w:rsidR="00566464">
              <w:rPr>
                <w:color w:val="000000"/>
                <w:kern w:val="22"/>
                <w:sz w:val="17"/>
                <w:szCs w:val="17"/>
                <w:lang w:val="fr-CA" w:eastAsia="en-CA"/>
              </w:rPr>
              <w:t>,</w:t>
            </w:r>
            <w:r w:rsidRPr="00465B94">
              <w:rPr>
                <w:color w:val="000000"/>
                <w:kern w:val="22"/>
                <w:sz w:val="17"/>
                <w:szCs w:val="17"/>
                <w:lang w:val="fr-CA" w:eastAsia="en-CA"/>
              </w:rPr>
              <w:t>4</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9</w:t>
            </w:r>
            <w:r w:rsidR="000E3CE6" w:rsidRPr="00465B94">
              <w:rPr>
                <w:color w:val="000000"/>
                <w:kern w:val="22"/>
                <w:sz w:val="17"/>
                <w:szCs w:val="17"/>
                <w:lang w:val="fr-CA" w:eastAsia="en-CA"/>
              </w:rPr>
              <w:t xml:space="preserve"> </w:t>
            </w:r>
            <w:r w:rsidRPr="00465B94">
              <w:rPr>
                <w:color w:val="000000"/>
                <w:kern w:val="22"/>
                <w:sz w:val="17"/>
                <w:szCs w:val="17"/>
                <w:lang w:val="fr-CA" w:eastAsia="en-CA"/>
              </w:rPr>
              <w:t>243</w:t>
            </w:r>
            <w:r w:rsidR="00566464">
              <w:rPr>
                <w:color w:val="000000"/>
                <w:kern w:val="22"/>
                <w:sz w:val="17"/>
                <w:szCs w:val="17"/>
                <w:lang w:val="fr-CA" w:eastAsia="en-CA"/>
              </w:rPr>
              <w:t>,</w:t>
            </w:r>
            <w:r w:rsidRPr="00465B94">
              <w:rPr>
                <w:color w:val="000000"/>
                <w:kern w:val="22"/>
                <w:sz w:val="17"/>
                <w:szCs w:val="17"/>
                <w:lang w:val="fr-CA" w:eastAsia="en-CA"/>
              </w:rPr>
              <w:t>1</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18</w:t>
            </w:r>
            <w:r w:rsidR="000E3CE6" w:rsidRPr="00465B94">
              <w:rPr>
                <w:color w:val="000000"/>
                <w:kern w:val="22"/>
                <w:sz w:val="17"/>
                <w:szCs w:val="17"/>
                <w:lang w:val="fr-CA" w:eastAsia="en-CA"/>
              </w:rPr>
              <w:t xml:space="preserve"> </w:t>
            </w:r>
            <w:r w:rsidRPr="00465B94">
              <w:rPr>
                <w:color w:val="000000"/>
                <w:kern w:val="22"/>
                <w:sz w:val="17"/>
                <w:szCs w:val="17"/>
                <w:lang w:val="fr-CA" w:eastAsia="en-CA"/>
              </w:rPr>
              <w:t>552</w:t>
            </w:r>
            <w:r w:rsidR="00566464">
              <w:rPr>
                <w:color w:val="000000"/>
                <w:kern w:val="22"/>
                <w:sz w:val="17"/>
                <w:szCs w:val="17"/>
                <w:lang w:val="fr-CA" w:eastAsia="en-CA"/>
              </w:rPr>
              <w:t>,</w:t>
            </w:r>
            <w:r w:rsidRPr="00465B94">
              <w:rPr>
                <w:color w:val="000000"/>
                <w:kern w:val="22"/>
                <w:sz w:val="17"/>
                <w:szCs w:val="17"/>
                <w:lang w:val="fr-CA" w:eastAsia="en-CA"/>
              </w:rPr>
              <w:t>5</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465B94">
            <w:pPr>
              <w:jc w:val="left"/>
              <w:rPr>
                <w:color w:val="000000"/>
                <w:kern w:val="22"/>
                <w:sz w:val="17"/>
                <w:szCs w:val="17"/>
                <w:lang w:val="fr-CA" w:eastAsia="en-CA"/>
              </w:rPr>
            </w:pPr>
            <w:r w:rsidRPr="00465B94">
              <w:rPr>
                <w:color w:val="000000"/>
                <w:kern w:val="22"/>
                <w:sz w:val="17"/>
                <w:szCs w:val="17"/>
                <w:lang w:val="fr-CA" w:eastAsia="en-CA"/>
              </w:rPr>
              <w:t xml:space="preserve">D. </w:t>
            </w:r>
            <w:r w:rsidR="00465B94">
              <w:rPr>
                <w:color w:val="000000"/>
                <w:kern w:val="22"/>
                <w:sz w:val="17"/>
                <w:szCs w:val="17"/>
                <w:lang w:val="fr-CA" w:eastAsia="en-CA"/>
              </w:rPr>
              <w:t>Soutien administratif</w:t>
            </w:r>
          </w:p>
        </w:tc>
        <w:tc>
          <w:tcPr>
            <w:tcW w:w="136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886</w:t>
            </w:r>
            <w:r w:rsidR="00566464">
              <w:rPr>
                <w:color w:val="000000"/>
                <w:kern w:val="22"/>
                <w:sz w:val="17"/>
                <w:szCs w:val="17"/>
                <w:lang w:val="fr-CA" w:eastAsia="en-CA"/>
              </w:rPr>
              <w:t>,</w:t>
            </w:r>
            <w:r w:rsidRPr="00465B94">
              <w:rPr>
                <w:color w:val="000000"/>
                <w:kern w:val="22"/>
                <w:sz w:val="17"/>
                <w:szCs w:val="17"/>
                <w:lang w:val="fr-CA" w:eastAsia="en-CA"/>
              </w:rPr>
              <w:t>0</w:t>
            </w:r>
          </w:p>
        </w:tc>
        <w:tc>
          <w:tcPr>
            <w:tcW w:w="160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0E3CE6" w:rsidRPr="00465B94">
              <w:rPr>
                <w:color w:val="000000"/>
                <w:kern w:val="22"/>
                <w:sz w:val="17"/>
                <w:szCs w:val="17"/>
                <w:lang w:val="fr-CA" w:eastAsia="en-CA"/>
              </w:rPr>
              <w:t xml:space="preserve"> </w:t>
            </w:r>
            <w:r w:rsidRPr="00465B94">
              <w:rPr>
                <w:color w:val="000000"/>
                <w:kern w:val="22"/>
                <w:sz w:val="17"/>
                <w:szCs w:val="17"/>
                <w:lang w:val="fr-CA" w:eastAsia="en-CA"/>
              </w:rPr>
              <w:t>093</w:t>
            </w:r>
            <w:r w:rsidR="00566464">
              <w:rPr>
                <w:color w:val="000000"/>
                <w:kern w:val="22"/>
                <w:sz w:val="17"/>
                <w:szCs w:val="17"/>
                <w:lang w:val="fr-CA" w:eastAsia="en-CA"/>
              </w:rPr>
              <w:t>,</w:t>
            </w:r>
            <w:r w:rsidRPr="00465B94">
              <w:rPr>
                <w:color w:val="000000"/>
                <w:kern w:val="22"/>
                <w:sz w:val="17"/>
                <w:szCs w:val="17"/>
                <w:lang w:val="fr-CA" w:eastAsia="en-CA"/>
              </w:rPr>
              <w:t>7</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5</w:t>
            </w:r>
            <w:r w:rsidR="000E3CE6" w:rsidRPr="00465B94">
              <w:rPr>
                <w:color w:val="000000"/>
                <w:kern w:val="22"/>
                <w:sz w:val="17"/>
                <w:szCs w:val="17"/>
                <w:lang w:val="fr-CA" w:eastAsia="en-CA"/>
              </w:rPr>
              <w:t xml:space="preserve"> </w:t>
            </w:r>
            <w:r w:rsidRPr="00465B94">
              <w:rPr>
                <w:color w:val="000000"/>
                <w:kern w:val="22"/>
                <w:sz w:val="17"/>
                <w:szCs w:val="17"/>
                <w:lang w:val="fr-CA" w:eastAsia="en-CA"/>
              </w:rPr>
              <w:t>979</w:t>
            </w:r>
            <w:r w:rsidR="00566464">
              <w:rPr>
                <w:color w:val="000000"/>
                <w:kern w:val="22"/>
                <w:sz w:val="17"/>
                <w:szCs w:val="17"/>
                <w:lang w:val="fr-CA" w:eastAsia="en-CA"/>
              </w:rPr>
              <w:t>,</w:t>
            </w:r>
            <w:r w:rsidRPr="00465B94">
              <w:rPr>
                <w:color w:val="000000"/>
                <w:kern w:val="22"/>
                <w:sz w:val="17"/>
                <w:szCs w:val="17"/>
                <w:lang w:val="fr-CA" w:eastAsia="en-CA"/>
              </w:rPr>
              <w:t>7</w:t>
            </w:r>
          </w:p>
        </w:tc>
      </w:tr>
      <w:tr w:rsidR="003F3847" w:rsidRPr="00465B94" w:rsidTr="003F3847">
        <w:trPr>
          <w:trHeight w:val="300"/>
        </w:trPr>
        <w:tc>
          <w:tcPr>
            <w:tcW w:w="4520" w:type="dxa"/>
            <w:tcBorders>
              <w:top w:val="nil"/>
              <w:left w:val="nil"/>
              <w:bottom w:val="single" w:sz="12" w:space="0" w:color="auto"/>
              <w:right w:val="nil"/>
            </w:tcBorders>
            <w:shd w:val="clear" w:color="auto" w:fill="auto"/>
            <w:hideMark/>
          </w:tcPr>
          <w:p w:rsidR="003F3847" w:rsidRPr="00465B94" w:rsidRDefault="00465B94" w:rsidP="00465B94">
            <w:pPr>
              <w:jc w:val="left"/>
              <w:rPr>
                <w:b/>
                <w:bCs/>
                <w:color w:val="000000"/>
                <w:kern w:val="22"/>
                <w:sz w:val="17"/>
                <w:szCs w:val="17"/>
                <w:lang w:val="fr-CA" w:eastAsia="en-CA"/>
              </w:rPr>
            </w:pPr>
            <w:r>
              <w:rPr>
                <w:b/>
                <w:bCs/>
                <w:color w:val="000000"/>
                <w:kern w:val="22"/>
                <w:sz w:val="17"/>
                <w:szCs w:val="17"/>
                <w:lang w:val="fr-CA" w:eastAsia="en-CA"/>
              </w:rPr>
              <w:t>Sous-total</w:t>
            </w:r>
          </w:p>
        </w:tc>
        <w:tc>
          <w:tcPr>
            <w:tcW w:w="136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16</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718</w:t>
            </w:r>
            <w:r w:rsidR="00566464">
              <w:rPr>
                <w:b/>
                <w:bCs/>
                <w:color w:val="000000"/>
                <w:kern w:val="22"/>
                <w:sz w:val="17"/>
                <w:szCs w:val="17"/>
                <w:lang w:val="fr-CA" w:eastAsia="en-CA"/>
              </w:rPr>
              <w:t>,</w:t>
            </w:r>
            <w:r w:rsidRPr="00465B94">
              <w:rPr>
                <w:b/>
                <w:bCs/>
                <w:color w:val="000000"/>
                <w:kern w:val="22"/>
                <w:sz w:val="17"/>
                <w:szCs w:val="17"/>
                <w:lang w:val="fr-CA" w:eastAsia="en-CA"/>
              </w:rPr>
              <w:t>9</w:t>
            </w:r>
          </w:p>
        </w:tc>
        <w:tc>
          <w:tcPr>
            <w:tcW w:w="160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17</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490</w:t>
            </w:r>
            <w:r w:rsidR="00566464">
              <w:rPr>
                <w:b/>
                <w:bCs/>
                <w:color w:val="000000"/>
                <w:kern w:val="22"/>
                <w:sz w:val="17"/>
                <w:szCs w:val="17"/>
                <w:lang w:val="fr-CA" w:eastAsia="en-CA"/>
              </w:rPr>
              <w:t>,</w:t>
            </w:r>
            <w:r w:rsidRPr="00465B94">
              <w:rPr>
                <w:b/>
                <w:bCs/>
                <w:color w:val="000000"/>
                <w:kern w:val="22"/>
                <w:sz w:val="17"/>
                <w:szCs w:val="17"/>
                <w:lang w:val="fr-CA" w:eastAsia="en-CA"/>
              </w:rPr>
              <w:t>6</w:t>
            </w:r>
          </w:p>
        </w:tc>
        <w:tc>
          <w:tcPr>
            <w:tcW w:w="164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34</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209</w:t>
            </w:r>
            <w:r w:rsidR="00566464">
              <w:rPr>
                <w:b/>
                <w:bCs/>
                <w:color w:val="000000"/>
                <w:kern w:val="22"/>
                <w:sz w:val="17"/>
                <w:szCs w:val="17"/>
                <w:lang w:val="fr-CA" w:eastAsia="en-CA"/>
              </w:rPr>
              <w:t>,</w:t>
            </w:r>
            <w:r w:rsidRPr="00465B94">
              <w:rPr>
                <w:b/>
                <w:bCs/>
                <w:color w:val="000000"/>
                <w:kern w:val="22"/>
                <w:sz w:val="17"/>
                <w:szCs w:val="17"/>
                <w:lang w:val="fr-CA" w:eastAsia="en-CA"/>
              </w:rPr>
              <w:t>5</w:t>
            </w:r>
          </w:p>
        </w:tc>
      </w:tr>
      <w:tr w:rsidR="003F3847" w:rsidRPr="00465B94" w:rsidTr="003F3847">
        <w:trPr>
          <w:trHeight w:val="300"/>
        </w:trPr>
        <w:tc>
          <w:tcPr>
            <w:tcW w:w="4520" w:type="dxa"/>
            <w:tcBorders>
              <w:top w:val="nil"/>
              <w:left w:val="nil"/>
              <w:bottom w:val="nil"/>
              <w:right w:val="nil"/>
            </w:tcBorders>
            <w:shd w:val="clear" w:color="auto" w:fill="auto"/>
            <w:hideMark/>
          </w:tcPr>
          <w:p w:rsidR="003F3847" w:rsidRPr="00465B94" w:rsidRDefault="00F24602" w:rsidP="003F3847">
            <w:pPr>
              <w:jc w:val="left"/>
              <w:rPr>
                <w:color w:val="000000"/>
                <w:kern w:val="22"/>
                <w:sz w:val="17"/>
                <w:szCs w:val="17"/>
                <w:lang w:val="fr-CA" w:eastAsia="en-CA"/>
              </w:rPr>
            </w:pPr>
            <w:r>
              <w:rPr>
                <w:color w:val="000000"/>
                <w:kern w:val="22"/>
                <w:sz w:val="17"/>
                <w:szCs w:val="17"/>
                <w:lang w:val="fr-CA" w:eastAsia="en-CA"/>
              </w:rPr>
              <w:t>Coûts d’appui au programme</w:t>
            </w:r>
          </w:p>
        </w:tc>
        <w:tc>
          <w:tcPr>
            <w:tcW w:w="1360" w:type="dxa"/>
            <w:tcBorders>
              <w:top w:val="nil"/>
              <w:left w:val="nil"/>
              <w:bottom w:val="nil"/>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173</w:t>
            </w:r>
            <w:r w:rsidR="00566464">
              <w:rPr>
                <w:color w:val="000000"/>
                <w:kern w:val="22"/>
                <w:sz w:val="17"/>
                <w:szCs w:val="17"/>
                <w:lang w:val="fr-CA" w:eastAsia="en-CA"/>
              </w:rPr>
              <w:t>,</w:t>
            </w:r>
            <w:r w:rsidRPr="00465B94">
              <w:rPr>
                <w:color w:val="000000"/>
                <w:kern w:val="22"/>
                <w:sz w:val="17"/>
                <w:szCs w:val="17"/>
                <w:lang w:val="fr-CA" w:eastAsia="en-CA"/>
              </w:rPr>
              <w:t>5</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0E3CE6" w:rsidRPr="00465B94">
              <w:rPr>
                <w:color w:val="000000"/>
                <w:kern w:val="22"/>
                <w:sz w:val="17"/>
                <w:szCs w:val="17"/>
                <w:lang w:val="fr-CA" w:eastAsia="en-CA"/>
              </w:rPr>
              <w:t xml:space="preserve"> </w:t>
            </w:r>
            <w:r w:rsidRPr="00465B94">
              <w:rPr>
                <w:color w:val="000000"/>
                <w:kern w:val="22"/>
                <w:sz w:val="17"/>
                <w:szCs w:val="17"/>
                <w:lang w:val="fr-CA" w:eastAsia="en-CA"/>
              </w:rPr>
              <w:t>273</w:t>
            </w:r>
            <w:r w:rsidR="00566464">
              <w:rPr>
                <w:color w:val="000000"/>
                <w:kern w:val="22"/>
                <w:sz w:val="17"/>
                <w:szCs w:val="17"/>
                <w:lang w:val="fr-CA" w:eastAsia="en-CA"/>
              </w:rPr>
              <w:t>,</w:t>
            </w:r>
            <w:r w:rsidRPr="00465B94">
              <w:rPr>
                <w:color w:val="000000"/>
                <w:kern w:val="22"/>
                <w:sz w:val="17"/>
                <w:szCs w:val="17"/>
                <w:lang w:val="fr-CA" w:eastAsia="en-CA"/>
              </w:rPr>
              <w:t>8</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4</w:t>
            </w:r>
            <w:r w:rsidR="000E3CE6" w:rsidRPr="00465B94">
              <w:rPr>
                <w:color w:val="000000"/>
                <w:kern w:val="22"/>
                <w:sz w:val="17"/>
                <w:szCs w:val="17"/>
                <w:lang w:val="fr-CA" w:eastAsia="en-CA"/>
              </w:rPr>
              <w:t xml:space="preserve"> </w:t>
            </w:r>
            <w:r w:rsidRPr="00465B94">
              <w:rPr>
                <w:color w:val="000000"/>
                <w:kern w:val="22"/>
                <w:sz w:val="17"/>
                <w:szCs w:val="17"/>
                <w:lang w:val="fr-CA" w:eastAsia="en-CA"/>
              </w:rPr>
              <w:t>447</w:t>
            </w:r>
            <w:r w:rsidR="00566464">
              <w:rPr>
                <w:color w:val="000000"/>
                <w:kern w:val="22"/>
                <w:sz w:val="17"/>
                <w:szCs w:val="17"/>
                <w:lang w:val="fr-CA" w:eastAsia="en-CA"/>
              </w:rPr>
              <w:t>,</w:t>
            </w:r>
            <w:r w:rsidRPr="00465B94">
              <w:rPr>
                <w:color w:val="000000"/>
                <w:kern w:val="22"/>
                <w:sz w:val="17"/>
                <w:szCs w:val="17"/>
                <w:lang w:val="fr-CA" w:eastAsia="en-CA"/>
              </w:rPr>
              <w:t>2</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F24602" w:rsidP="003F3847">
            <w:pPr>
              <w:jc w:val="left"/>
              <w:rPr>
                <w:color w:val="000000"/>
                <w:kern w:val="22"/>
                <w:sz w:val="17"/>
                <w:szCs w:val="17"/>
                <w:lang w:val="fr-CA" w:eastAsia="en-CA"/>
              </w:rPr>
            </w:pPr>
            <w:r>
              <w:rPr>
                <w:color w:val="000000"/>
                <w:kern w:val="22"/>
                <w:sz w:val="17"/>
                <w:szCs w:val="17"/>
                <w:lang w:val="fr-CA" w:eastAsia="en-CA"/>
              </w:rPr>
              <w:t>Réserve du fonds de roulement</w:t>
            </w:r>
          </w:p>
        </w:tc>
        <w:tc>
          <w:tcPr>
            <w:tcW w:w="1360" w:type="dxa"/>
            <w:tcBorders>
              <w:top w:val="nil"/>
              <w:left w:val="nil"/>
              <w:bottom w:val="single" w:sz="8" w:space="0" w:color="auto"/>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56</w:t>
            </w:r>
            <w:r w:rsidR="00566464">
              <w:rPr>
                <w:color w:val="000000"/>
                <w:kern w:val="22"/>
                <w:sz w:val="17"/>
                <w:szCs w:val="17"/>
                <w:lang w:val="fr-CA" w:eastAsia="en-CA"/>
              </w:rPr>
              <w:t>,</w:t>
            </w:r>
            <w:r w:rsidRPr="00465B94">
              <w:rPr>
                <w:color w:val="000000"/>
                <w:kern w:val="22"/>
                <w:sz w:val="17"/>
                <w:szCs w:val="17"/>
                <w:lang w:val="fr-CA" w:eastAsia="en-CA"/>
              </w:rPr>
              <w:t>6</w:t>
            </w:r>
          </w:p>
        </w:tc>
        <w:tc>
          <w:tcPr>
            <w:tcW w:w="1600" w:type="dxa"/>
            <w:tcBorders>
              <w:top w:val="nil"/>
              <w:left w:val="nil"/>
              <w:bottom w:val="single" w:sz="8" w:space="0" w:color="auto"/>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130</w:t>
            </w:r>
            <w:r w:rsidR="00566464">
              <w:rPr>
                <w:color w:val="000000"/>
                <w:kern w:val="22"/>
                <w:sz w:val="17"/>
                <w:szCs w:val="17"/>
                <w:lang w:val="fr-CA" w:eastAsia="en-CA"/>
              </w:rPr>
              <w:t>,</w:t>
            </w:r>
            <w:r w:rsidRPr="00465B94">
              <w:rPr>
                <w:color w:val="000000"/>
                <w:kern w:val="22"/>
                <w:sz w:val="17"/>
                <w:szCs w:val="17"/>
                <w:lang w:val="fr-CA" w:eastAsia="en-CA"/>
              </w:rPr>
              <w:t>7</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187</w:t>
            </w:r>
            <w:r w:rsidR="00566464">
              <w:rPr>
                <w:color w:val="000000"/>
                <w:kern w:val="22"/>
                <w:sz w:val="17"/>
                <w:szCs w:val="17"/>
                <w:lang w:val="fr-CA" w:eastAsia="en-CA"/>
              </w:rPr>
              <w:t>,</w:t>
            </w:r>
            <w:r w:rsidRPr="00465B94">
              <w:rPr>
                <w:color w:val="000000"/>
                <w:kern w:val="22"/>
                <w:sz w:val="17"/>
                <w:szCs w:val="17"/>
                <w:lang w:val="fr-CA" w:eastAsia="en-CA"/>
              </w:rPr>
              <w:t>4</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3F3847">
            <w:pPr>
              <w:jc w:val="left"/>
              <w:rPr>
                <w:b/>
                <w:bCs/>
                <w:color w:val="000000"/>
                <w:kern w:val="22"/>
                <w:sz w:val="17"/>
                <w:szCs w:val="17"/>
                <w:lang w:val="fr-CA" w:eastAsia="en-CA"/>
              </w:rPr>
            </w:pPr>
            <w:r w:rsidRPr="00465B94">
              <w:rPr>
                <w:b/>
                <w:bCs/>
                <w:color w:val="000000"/>
                <w:kern w:val="22"/>
                <w:sz w:val="17"/>
                <w:szCs w:val="17"/>
                <w:lang w:val="fr-CA" w:eastAsia="en-CA"/>
              </w:rPr>
              <w:t>Total</w:t>
            </w:r>
          </w:p>
        </w:tc>
        <w:tc>
          <w:tcPr>
            <w:tcW w:w="1360" w:type="dxa"/>
            <w:tcBorders>
              <w:top w:val="nil"/>
              <w:left w:val="nil"/>
              <w:bottom w:val="single" w:sz="8" w:space="0" w:color="auto"/>
              <w:right w:val="nil"/>
            </w:tcBorders>
            <w:shd w:val="clear" w:color="auto" w:fill="auto"/>
            <w:noWrap/>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18</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949</w:t>
            </w:r>
            <w:r w:rsidR="00566464">
              <w:rPr>
                <w:b/>
                <w:bCs/>
                <w:color w:val="000000"/>
                <w:kern w:val="22"/>
                <w:sz w:val="17"/>
                <w:szCs w:val="17"/>
                <w:lang w:val="fr-CA" w:eastAsia="en-CA"/>
              </w:rPr>
              <w:t>,</w:t>
            </w:r>
            <w:r w:rsidRPr="00465B94">
              <w:rPr>
                <w:b/>
                <w:bCs/>
                <w:color w:val="000000"/>
                <w:kern w:val="22"/>
                <w:sz w:val="17"/>
                <w:szCs w:val="17"/>
                <w:lang w:val="fr-CA" w:eastAsia="en-CA"/>
              </w:rPr>
              <w:t>0</w:t>
            </w:r>
          </w:p>
        </w:tc>
        <w:tc>
          <w:tcPr>
            <w:tcW w:w="1600" w:type="dxa"/>
            <w:tcBorders>
              <w:top w:val="nil"/>
              <w:left w:val="nil"/>
              <w:bottom w:val="single" w:sz="8" w:space="0" w:color="auto"/>
              <w:right w:val="nil"/>
            </w:tcBorders>
            <w:shd w:val="clear" w:color="auto" w:fill="auto"/>
            <w:noWrap/>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19</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895</w:t>
            </w:r>
            <w:r w:rsidR="00566464">
              <w:rPr>
                <w:b/>
                <w:bCs/>
                <w:color w:val="000000"/>
                <w:kern w:val="22"/>
                <w:sz w:val="17"/>
                <w:szCs w:val="17"/>
                <w:lang w:val="fr-CA" w:eastAsia="en-CA"/>
              </w:rPr>
              <w:t>,</w:t>
            </w:r>
            <w:r w:rsidRPr="00465B94">
              <w:rPr>
                <w:b/>
                <w:bCs/>
                <w:color w:val="000000"/>
                <w:kern w:val="22"/>
                <w:sz w:val="17"/>
                <w:szCs w:val="17"/>
                <w:lang w:val="fr-CA" w:eastAsia="en-CA"/>
              </w:rPr>
              <w:t>1</w:t>
            </w:r>
          </w:p>
        </w:tc>
        <w:tc>
          <w:tcPr>
            <w:tcW w:w="1640" w:type="dxa"/>
            <w:tcBorders>
              <w:top w:val="nil"/>
              <w:left w:val="nil"/>
              <w:bottom w:val="single" w:sz="8" w:space="0" w:color="auto"/>
              <w:right w:val="nil"/>
            </w:tcBorders>
            <w:shd w:val="clear" w:color="auto" w:fill="auto"/>
            <w:noWrap/>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38</w:t>
            </w:r>
            <w:r w:rsidR="000E3CE6" w:rsidRPr="00465B94">
              <w:rPr>
                <w:b/>
                <w:bCs/>
                <w:color w:val="000000"/>
                <w:kern w:val="22"/>
                <w:sz w:val="17"/>
                <w:szCs w:val="17"/>
                <w:lang w:val="fr-CA" w:eastAsia="en-CA"/>
              </w:rPr>
              <w:t xml:space="preserve"> </w:t>
            </w:r>
            <w:r w:rsidRPr="00465B94">
              <w:rPr>
                <w:b/>
                <w:bCs/>
                <w:color w:val="000000"/>
                <w:kern w:val="22"/>
                <w:sz w:val="17"/>
                <w:szCs w:val="17"/>
                <w:lang w:val="fr-CA" w:eastAsia="en-CA"/>
              </w:rPr>
              <w:t>844</w:t>
            </w:r>
            <w:r w:rsidR="00566464">
              <w:rPr>
                <w:b/>
                <w:bCs/>
                <w:color w:val="000000"/>
                <w:kern w:val="22"/>
                <w:sz w:val="17"/>
                <w:szCs w:val="17"/>
                <w:lang w:val="fr-CA" w:eastAsia="en-CA"/>
              </w:rPr>
              <w:t>,</w:t>
            </w:r>
            <w:r w:rsidRPr="00465B94">
              <w:rPr>
                <w:b/>
                <w:bCs/>
                <w:color w:val="000000"/>
                <w:kern w:val="22"/>
                <w:sz w:val="17"/>
                <w:szCs w:val="17"/>
                <w:lang w:val="fr-CA" w:eastAsia="en-CA"/>
              </w:rPr>
              <w:t>1</w:t>
            </w:r>
          </w:p>
        </w:tc>
      </w:tr>
      <w:tr w:rsidR="003F3847" w:rsidRPr="00465B94" w:rsidTr="003F3847">
        <w:trPr>
          <w:trHeight w:val="288"/>
        </w:trPr>
        <w:tc>
          <w:tcPr>
            <w:tcW w:w="4520" w:type="dxa"/>
            <w:tcBorders>
              <w:top w:val="nil"/>
              <w:left w:val="nil"/>
              <w:bottom w:val="single" w:sz="4" w:space="0" w:color="auto"/>
              <w:right w:val="nil"/>
            </w:tcBorders>
            <w:shd w:val="clear" w:color="auto" w:fill="auto"/>
            <w:vAlign w:val="center"/>
            <w:hideMark/>
          </w:tcPr>
          <w:p w:rsidR="003F3847" w:rsidRPr="00465B94" w:rsidRDefault="0017200F" w:rsidP="003F3847">
            <w:pPr>
              <w:jc w:val="left"/>
              <w:rPr>
                <w:kern w:val="22"/>
                <w:sz w:val="17"/>
                <w:szCs w:val="17"/>
                <w:lang w:val="fr-CA" w:eastAsia="en-CA"/>
              </w:rPr>
            </w:pPr>
            <w:r>
              <w:rPr>
                <w:kern w:val="22"/>
                <w:sz w:val="17"/>
                <w:szCs w:val="17"/>
                <w:lang w:val="fr-CA" w:eastAsia="en-CA"/>
              </w:rPr>
              <w:t>Part du Protocole de Nagoya du budget intégré</w:t>
            </w:r>
            <w:r w:rsidRPr="00E02578">
              <w:rPr>
                <w:kern w:val="22"/>
                <w:sz w:val="17"/>
                <w:szCs w:val="17"/>
                <w:lang w:val="fr-CA" w:eastAsia="en-CA"/>
              </w:rPr>
              <w:t xml:space="preserve"> </w:t>
            </w:r>
            <w:r w:rsidR="003F3847" w:rsidRPr="00465B94">
              <w:rPr>
                <w:kern w:val="22"/>
                <w:sz w:val="17"/>
                <w:szCs w:val="17"/>
                <w:lang w:val="fr-CA" w:eastAsia="en-CA"/>
              </w:rPr>
              <w:t>(11</w:t>
            </w:r>
            <w:r w:rsidR="00F24602">
              <w:rPr>
                <w:kern w:val="22"/>
                <w:sz w:val="17"/>
                <w:szCs w:val="17"/>
                <w:lang w:val="fr-CA" w:eastAsia="en-CA"/>
              </w:rPr>
              <w:t xml:space="preserve"> </w:t>
            </w:r>
            <w:r w:rsidR="003F3847" w:rsidRPr="00465B94">
              <w:rPr>
                <w:kern w:val="22"/>
                <w:sz w:val="17"/>
                <w:szCs w:val="17"/>
                <w:lang w:val="fr-CA" w:eastAsia="en-CA"/>
              </w:rPr>
              <w:t>%)</w:t>
            </w:r>
          </w:p>
        </w:tc>
        <w:tc>
          <w:tcPr>
            <w:tcW w:w="1360" w:type="dxa"/>
            <w:tcBorders>
              <w:top w:val="nil"/>
              <w:left w:val="nil"/>
              <w:bottom w:val="single" w:sz="4" w:space="0" w:color="auto"/>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2</w:t>
            </w:r>
            <w:r w:rsidR="00295166" w:rsidRPr="00465B94">
              <w:rPr>
                <w:kern w:val="22"/>
                <w:sz w:val="17"/>
                <w:szCs w:val="17"/>
                <w:lang w:val="fr-CA" w:eastAsia="en-CA"/>
              </w:rPr>
              <w:t xml:space="preserve"> </w:t>
            </w:r>
            <w:r w:rsidRPr="00465B94">
              <w:rPr>
                <w:kern w:val="22"/>
                <w:sz w:val="17"/>
                <w:szCs w:val="17"/>
                <w:lang w:val="fr-CA" w:eastAsia="en-CA"/>
              </w:rPr>
              <w:t>084</w:t>
            </w:r>
            <w:r w:rsidR="00566464">
              <w:rPr>
                <w:kern w:val="22"/>
                <w:sz w:val="17"/>
                <w:szCs w:val="17"/>
                <w:lang w:val="fr-CA" w:eastAsia="en-CA"/>
              </w:rPr>
              <w:t>,</w:t>
            </w:r>
            <w:r w:rsidRPr="00465B94">
              <w:rPr>
                <w:kern w:val="22"/>
                <w:sz w:val="17"/>
                <w:szCs w:val="17"/>
                <w:lang w:val="fr-CA" w:eastAsia="en-CA"/>
              </w:rPr>
              <w:t>4</w:t>
            </w:r>
          </w:p>
        </w:tc>
        <w:tc>
          <w:tcPr>
            <w:tcW w:w="1600" w:type="dxa"/>
            <w:tcBorders>
              <w:top w:val="nil"/>
              <w:left w:val="nil"/>
              <w:bottom w:val="single" w:sz="4" w:space="0" w:color="auto"/>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2</w:t>
            </w:r>
            <w:r w:rsidR="00295166" w:rsidRPr="00465B94">
              <w:rPr>
                <w:kern w:val="22"/>
                <w:sz w:val="17"/>
                <w:szCs w:val="17"/>
                <w:lang w:val="fr-CA" w:eastAsia="en-CA"/>
              </w:rPr>
              <w:t xml:space="preserve"> </w:t>
            </w:r>
            <w:r w:rsidRPr="00465B94">
              <w:rPr>
                <w:kern w:val="22"/>
                <w:sz w:val="17"/>
                <w:szCs w:val="17"/>
                <w:lang w:val="fr-CA" w:eastAsia="en-CA"/>
              </w:rPr>
              <w:t>188</w:t>
            </w:r>
            <w:r w:rsidR="00566464">
              <w:rPr>
                <w:kern w:val="22"/>
                <w:sz w:val="17"/>
                <w:szCs w:val="17"/>
                <w:lang w:val="fr-CA" w:eastAsia="en-CA"/>
              </w:rPr>
              <w:t>,</w:t>
            </w:r>
            <w:r w:rsidRPr="00465B94">
              <w:rPr>
                <w:kern w:val="22"/>
                <w:sz w:val="17"/>
                <w:szCs w:val="17"/>
                <w:lang w:val="fr-CA" w:eastAsia="en-CA"/>
              </w:rPr>
              <w:t>5</w:t>
            </w:r>
          </w:p>
        </w:tc>
        <w:tc>
          <w:tcPr>
            <w:tcW w:w="1640" w:type="dxa"/>
            <w:tcBorders>
              <w:top w:val="nil"/>
              <w:left w:val="nil"/>
              <w:bottom w:val="single" w:sz="4" w:space="0" w:color="auto"/>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4</w:t>
            </w:r>
            <w:r w:rsidR="00295166" w:rsidRPr="00465B94">
              <w:rPr>
                <w:kern w:val="22"/>
                <w:sz w:val="17"/>
                <w:szCs w:val="17"/>
                <w:lang w:val="fr-CA" w:eastAsia="en-CA"/>
              </w:rPr>
              <w:t xml:space="preserve"> </w:t>
            </w:r>
            <w:r w:rsidRPr="00465B94">
              <w:rPr>
                <w:kern w:val="22"/>
                <w:sz w:val="17"/>
                <w:szCs w:val="17"/>
                <w:lang w:val="fr-CA" w:eastAsia="en-CA"/>
              </w:rPr>
              <w:t>272</w:t>
            </w:r>
            <w:r w:rsidR="00566464">
              <w:rPr>
                <w:kern w:val="22"/>
                <w:sz w:val="17"/>
                <w:szCs w:val="17"/>
                <w:lang w:val="fr-CA" w:eastAsia="en-CA"/>
              </w:rPr>
              <w:t>,</w:t>
            </w:r>
            <w:r w:rsidRPr="00465B94">
              <w:rPr>
                <w:kern w:val="22"/>
                <w:sz w:val="17"/>
                <w:szCs w:val="17"/>
                <w:lang w:val="fr-CA" w:eastAsia="en-CA"/>
              </w:rPr>
              <w:t>9</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F24602" w:rsidRDefault="00F24602" w:rsidP="00F24602">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003F3847" w:rsidRPr="00F24602">
              <w:rPr>
                <w:color w:val="000000"/>
                <w:kern w:val="22"/>
                <w:sz w:val="17"/>
                <w:szCs w:val="17"/>
                <w:lang w:val="fr-CA" w:eastAsia="en-CA"/>
              </w:rPr>
              <w:t xml:space="preserve">:  Contribution </w:t>
            </w:r>
            <w:r w:rsidRPr="00F24602">
              <w:rPr>
                <w:color w:val="000000"/>
                <w:kern w:val="22"/>
                <w:sz w:val="17"/>
                <w:szCs w:val="17"/>
                <w:lang w:val="fr-CA" w:eastAsia="en-CA"/>
              </w:rPr>
              <w:t>du pays h</w:t>
            </w:r>
            <w:r>
              <w:rPr>
                <w:color w:val="000000"/>
                <w:kern w:val="22"/>
                <w:sz w:val="17"/>
                <w:szCs w:val="17"/>
                <w:lang w:val="fr-CA" w:eastAsia="en-CA"/>
              </w:rPr>
              <w:t>ôte</w:t>
            </w:r>
          </w:p>
        </w:tc>
        <w:tc>
          <w:tcPr>
            <w:tcW w:w="136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(135</w:t>
            </w:r>
            <w:r w:rsidR="00566464">
              <w:rPr>
                <w:kern w:val="22"/>
                <w:sz w:val="17"/>
                <w:szCs w:val="17"/>
                <w:lang w:val="fr-CA" w:eastAsia="en-CA"/>
              </w:rPr>
              <w:t>,</w:t>
            </w:r>
            <w:r w:rsidRPr="00465B94">
              <w:rPr>
                <w:kern w:val="22"/>
                <w:sz w:val="17"/>
                <w:szCs w:val="17"/>
                <w:lang w:val="fr-CA" w:eastAsia="en-CA"/>
              </w:rPr>
              <w:t>2)</w:t>
            </w:r>
          </w:p>
        </w:tc>
        <w:tc>
          <w:tcPr>
            <w:tcW w:w="160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(156</w:t>
            </w:r>
            <w:r w:rsidR="00566464">
              <w:rPr>
                <w:kern w:val="22"/>
                <w:sz w:val="17"/>
                <w:szCs w:val="17"/>
                <w:lang w:val="fr-CA" w:eastAsia="en-CA"/>
              </w:rPr>
              <w:t>,</w:t>
            </w:r>
            <w:r w:rsidRPr="00465B94">
              <w:rPr>
                <w:kern w:val="22"/>
                <w:sz w:val="17"/>
                <w:szCs w:val="17"/>
                <w:lang w:val="fr-CA" w:eastAsia="en-CA"/>
              </w:rPr>
              <w:t>6)</w:t>
            </w:r>
          </w:p>
        </w:tc>
        <w:tc>
          <w:tcPr>
            <w:tcW w:w="164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(291</w:t>
            </w:r>
            <w:r w:rsidR="00566464">
              <w:rPr>
                <w:kern w:val="22"/>
                <w:sz w:val="17"/>
                <w:szCs w:val="17"/>
                <w:lang w:val="fr-CA" w:eastAsia="en-CA"/>
              </w:rPr>
              <w:t>,</w:t>
            </w:r>
            <w:r w:rsidRPr="00465B94">
              <w:rPr>
                <w:kern w:val="22"/>
                <w:sz w:val="17"/>
                <w:szCs w:val="17"/>
                <w:lang w:val="fr-CA" w:eastAsia="en-CA"/>
              </w:rPr>
              <w:t>8)</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F24602" w:rsidRDefault="00F24602" w:rsidP="00F24602">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003F3847" w:rsidRPr="00F24602">
              <w:rPr>
                <w:color w:val="000000"/>
                <w:kern w:val="22"/>
                <w:sz w:val="17"/>
                <w:szCs w:val="17"/>
                <w:lang w:val="fr-CA" w:eastAsia="en-CA"/>
              </w:rPr>
              <w:t xml:space="preserve">: </w:t>
            </w:r>
            <w:r w:rsidR="003C2BC0" w:rsidRPr="00F24602">
              <w:rPr>
                <w:color w:val="000000"/>
                <w:kern w:val="22"/>
                <w:sz w:val="17"/>
                <w:szCs w:val="17"/>
                <w:lang w:val="fr-CA" w:eastAsia="en-CA"/>
              </w:rPr>
              <w:t xml:space="preserve"> </w:t>
            </w:r>
            <w:r w:rsidRPr="00F24602">
              <w:rPr>
                <w:color w:val="000000"/>
                <w:kern w:val="22"/>
                <w:sz w:val="17"/>
                <w:szCs w:val="17"/>
                <w:lang w:val="fr-CA" w:eastAsia="en-CA"/>
              </w:rPr>
              <w:t xml:space="preserve">Utilisation des </w:t>
            </w:r>
            <w:r>
              <w:rPr>
                <w:color w:val="000000"/>
                <w:kern w:val="22"/>
                <w:sz w:val="17"/>
                <w:szCs w:val="17"/>
                <w:lang w:val="fr-CA" w:eastAsia="en-CA"/>
              </w:rPr>
              <w:t>ré</w:t>
            </w:r>
            <w:r w:rsidRPr="00F24602">
              <w:rPr>
                <w:color w:val="000000"/>
                <w:kern w:val="22"/>
                <w:sz w:val="17"/>
                <w:szCs w:val="17"/>
                <w:lang w:val="fr-CA" w:eastAsia="en-CA"/>
              </w:rPr>
              <w:t>serves pour les ré</w:t>
            </w:r>
            <w:r>
              <w:rPr>
                <w:color w:val="000000"/>
                <w:kern w:val="22"/>
                <w:sz w:val="17"/>
                <w:szCs w:val="17"/>
                <w:lang w:val="fr-CA" w:eastAsia="en-CA"/>
              </w:rPr>
              <w:t>unions extraordinaires</w:t>
            </w:r>
          </w:p>
        </w:tc>
        <w:tc>
          <w:tcPr>
            <w:tcW w:w="136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(93</w:t>
            </w:r>
            <w:r w:rsidR="00566464">
              <w:rPr>
                <w:kern w:val="22"/>
                <w:sz w:val="17"/>
                <w:szCs w:val="17"/>
                <w:lang w:val="fr-CA" w:eastAsia="en-CA"/>
              </w:rPr>
              <w:t>,</w:t>
            </w:r>
            <w:r w:rsidRPr="00465B94">
              <w:rPr>
                <w:kern w:val="22"/>
                <w:sz w:val="17"/>
                <w:szCs w:val="17"/>
                <w:lang w:val="fr-CA" w:eastAsia="en-CA"/>
              </w:rPr>
              <w:t>2)</w:t>
            </w:r>
          </w:p>
        </w:tc>
        <w:tc>
          <w:tcPr>
            <w:tcW w:w="160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(69</w:t>
            </w:r>
            <w:r w:rsidR="00566464">
              <w:rPr>
                <w:kern w:val="22"/>
                <w:sz w:val="17"/>
                <w:szCs w:val="17"/>
                <w:lang w:val="fr-CA" w:eastAsia="en-CA"/>
              </w:rPr>
              <w:t>,</w:t>
            </w:r>
            <w:r w:rsidRPr="00465B94">
              <w:rPr>
                <w:kern w:val="22"/>
                <w:sz w:val="17"/>
                <w:szCs w:val="17"/>
                <w:lang w:val="fr-CA" w:eastAsia="en-CA"/>
              </w:rPr>
              <w:t>6)</w:t>
            </w:r>
          </w:p>
        </w:tc>
        <w:tc>
          <w:tcPr>
            <w:tcW w:w="164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(162</w:t>
            </w:r>
            <w:r w:rsidR="00566464">
              <w:rPr>
                <w:kern w:val="22"/>
                <w:sz w:val="17"/>
                <w:szCs w:val="17"/>
                <w:lang w:val="fr-CA" w:eastAsia="en-CA"/>
              </w:rPr>
              <w:t>,</w:t>
            </w:r>
            <w:r w:rsidRPr="00465B94">
              <w:rPr>
                <w:kern w:val="22"/>
                <w:sz w:val="17"/>
                <w:szCs w:val="17"/>
                <w:lang w:val="fr-CA" w:eastAsia="en-CA"/>
              </w:rPr>
              <w:t>8)</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F24602" w:rsidRDefault="00F24602" w:rsidP="00AF78A1">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003F3847" w:rsidRPr="00F24602">
              <w:rPr>
                <w:color w:val="000000"/>
                <w:kern w:val="22"/>
                <w:sz w:val="17"/>
                <w:szCs w:val="17"/>
                <w:lang w:val="fr-CA" w:eastAsia="en-CA"/>
              </w:rPr>
              <w:t xml:space="preserve">:  </w:t>
            </w:r>
            <w:r w:rsidRPr="00F24602">
              <w:rPr>
                <w:color w:val="000000"/>
                <w:kern w:val="22"/>
                <w:sz w:val="17"/>
                <w:szCs w:val="17"/>
                <w:lang w:val="fr-CA" w:eastAsia="en-CA"/>
              </w:rPr>
              <w:t xml:space="preserve">Utilisation des </w:t>
            </w:r>
            <w:r>
              <w:rPr>
                <w:color w:val="000000"/>
                <w:kern w:val="22"/>
                <w:sz w:val="17"/>
                <w:szCs w:val="17"/>
                <w:lang w:val="fr-CA" w:eastAsia="en-CA"/>
              </w:rPr>
              <w:t>ré</w:t>
            </w:r>
            <w:r w:rsidRPr="00F24602">
              <w:rPr>
                <w:color w:val="000000"/>
                <w:kern w:val="22"/>
                <w:sz w:val="17"/>
                <w:szCs w:val="17"/>
                <w:lang w:val="fr-CA" w:eastAsia="en-CA"/>
              </w:rPr>
              <w:t xml:space="preserve">serves des années </w:t>
            </w:r>
            <w:r w:rsidR="00AF78A1">
              <w:rPr>
                <w:color w:val="000000"/>
                <w:kern w:val="22"/>
                <w:sz w:val="17"/>
                <w:szCs w:val="17"/>
                <w:lang w:val="fr-CA" w:eastAsia="en-CA"/>
              </w:rPr>
              <w:t>précédentes</w:t>
            </w:r>
          </w:p>
        </w:tc>
        <w:tc>
          <w:tcPr>
            <w:tcW w:w="136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(94</w:t>
            </w:r>
            <w:r w:rsidR="00566464">
              <w:rPr>
                <w:kern w:val="22"/>
                <w:sz w:val="17"/>
                <w:szCs w:val="17"/>
                <w:lang w:val="fr-CA" w:eastAsia="en-CA"/>
              </w:rPr>
              <w:t>,</w:t>
            </w:r>
            <w:r w:rsidRPr="00465B94">
              <w:rPr>
                <w:kern w:val="22"/>
                <w:sz w:val="17"/>
                <w:szCs w:val="17"/>
                <w:lang w:val="fr-CA" w:eastAsia="en-CA"/>
              </w:rPr>
              <w:t>9)</w:t>
            </w:r>
          </w:p>
        </w:tc>
        <w:tc>
          <w:tcPr>
            <w:tcW w:w="160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(94</w:t>
            </w:r>
            <w:r w:rsidR="00566464">
              <w:rPr>
                <w:kern w:val="22"/>
                <w:sz w:val="17"/>
                <w:szCs w:val="17"/>
                <w:lang w:val="fr-CA" w:eastAsia="en-CA"/>
              </w:rPr>
              <w:t>,</w:t>
            </w:r>
            <w:r w:rsidRPr="00465B94">
              <w:rPr>
                <w:kern w:val="22"/>
                <w:sz w:val="17"/>
                <w:szCs w:val="17"/>
                <w:lang w:val="fr-CA" w:eastAsia="en-CA"/>
              </w:rPr>
              <w:t>9)</w:t>
            </w:r>
          </w:p>
        </w:tc>
        <w:tc>
          <w:tcPr>
            <w:tcW w:w="1640" w:type="dxa"/>
            <w:tcBorders>
              <w:top w:val="nil"/>
              <w:left w:val="nil"/>
              <w:bottom w:val="nil"/>
              <w:right w:val="nil"/>
            </w:tcBorders>
            <w:shd w:val="clear" w:color="auto" w:fill="auto"/>
            <w:vAlign w:val="center"/>
            <w:hideMark/>
          </w:tcPr>
          <w:p w:rsidR="003F3847" w:rsidRPr="00465B94" w:rsidRDefault="003F3847" w:rsidP="003F3847">
            <w:pPr>
              <w:jc w:val="right"/>
              <w:rPr>
                <w:kern w:val="22"/>
                <w:sz w:val="17"/>
                <w:szCs w:val="17"/>
                <w:lang w:val="fr-CA" w:eastAsia="en-CA"/>
              </w:rPr>
            </w:pPr>
            <w:r w:rsidRPr="00465B94">
              <w:rPr>
                <w:kern w:val="22"/>
                <w:sz w:val="17"/>
                <w:szCs w:val="17"/>
                <w:lang w:val="fr-CA" w:eastAsia="en-CA"/>
              </w:rPr>
              <w:t>(189</w:t>
            </w:r>
            <w:r w:rsidR="00566464">
              <w:rPr>
                <w:kern w:val="22"/>
                <w:sz w:val="17"/>
                <w:szCs w:val="17"/>
                <w:lang w:val="fr-CA" w:eastAsia="en-CA"/>
              </w:rPr>
              <w:t>,</w:t>
            </w:r>
            <w:r w:rsidRPr="00465B94">
              <w:rPr>
                <w:kern w:val="22"/>
                <w:sz w:val="17"/>
                <w:szCs w:val="17"/>
                <w:lang w:val="fr-CA" w:eastAsia="en-CA"/>
              </w:rPr>
              <w:t>8)</w:t>
            </w:r>
          </w:p>
        </w:tc>
      </w:tr>
      <w:tr w:rsidR="003F3847" w:rsidRPr="00465B94" w:rsidTr="003F3847">
        <w:trPr>
          <w:trHeight w:val="300"/>
        </w:trPr>
        <w:tc>
          <w:tcPr>
            <w:tcW w:w="4520" w:type="dxa"/>
            <w:tcBorders>
              <w:top w:val="single" w:sz="4" w:space="0" w:color="auto"/>
              <w:left w:val="nil"/>
              <w:bottom w:val="single" w:sz="8" w:space="0" w:color="auto"/>
              <w:right w:val="nil"/>
            </w:tcBorders>
            <w:shd w:val="clear" w:color="auto" w:fill="auto"/>
            <w:hideMark/>
          </w:tcPr>
          <w:p w:rsidR="003F3847" w:rsidRPr="00465B94" w:rsidRDefault="00F24602" w:rsidP="003F3847">
            <w:pPr>
              <w:jc w:val="left"/>
              <w:rPr>
                <w:color w:val="000000"/>
                <w:kern w:val="22"/>
                <w:sz w:val="17"/>
                <w:szCs w:val="17"/>
                <w:lang w:val="fr-CA" w:eastAsia="en-CA"/>
              </w:rPr>
            </w:pPr>
            <w:r>
              <w:rPr>
                <w:color w:val="000000"/>
                <w:kern w:val="22"/>
                <w:sz w:val="17"/>
                <w:szCs w:val="17"/>
                <w:lang w:val="fr-CA" w:eastAsia="en-CA"/>
              </w:rPr>
              <w:t>Total net (montant à répartir entre les Parties</w:t>
            </w:r>
            <w:r w:rsidR="003F3847" w:rsidRPr="00465B94">
              <w:rPr>
                <w:color w:val="000000"/>
                <w:kern w:val="22"/>
                <w:sz w:val="17"/>
                <w:szCs w:val="17"/>
                <w:lang w:val="fr-CA" w:eastAsia="en-CA"/>
              </w:rPr>
              <w:t>)</w:t>
            </w:r>
          </w:p>
        </w:tc>
        <w:tc>
          <w:tcPr>
            <w:tcW w:w="1360" w:type="dxa"/>
            <w:tcBorders>
              <w:top w:val="single" w:sz="4" w:space="0" w:color="auto"/>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w:t>
            </w:r>
            <w:r w:rsidR="000E3CE6" w:rsidRPr="00465B94">
              <w:rPr>
                <w:color w:val="000000"/>
                <w:kern w:val="22"/>
                <w:sz w:val="17"/>
                <w:szCs w:val="17"/>
                <w:lang w:val="fr-CA" w:eastAsia="en-CA"/>
              </w:rPr>
              <w:t xml:space="preserve"> </w:t>
            </w:r>
            <w:r w:rsidRPr="00465B94">
              <w:rPr>
                <w:color w:val="000000"/>
                <w:kern w:val="22"/>
                <w:sz w:val="17"/>
                <w:szCs w:val="17"/>
                <w:lang w:val="fr-CA" w:eastAsia="en-CA"/>
              </w:rPr>
              <w:t>761</w:t>
            </w:r>
            <w:r w:rsidR="00566464">
              <w:rPr>
                <w:color w:val="000000"/>
                <w:kern w:val="22"/>
                <w:sz w:val="17"/>
                <w:szCs w:val="17"/>
                <w:lang w:val="fr-CA" w:eastAsia="en-CA"/>
              </w:rPr>
              <w:t>,</w:t>
            </w:r>
            <w:r w:rsidRPr="00465B94">
              <w:rPr>
                <w:color w:val="000000"/>
                <w:kern w:val="22"/>
                <w:sz w:val="17"/>
                <w:szCs w:val="17"/>
                <w:lang w:val="fr-CA" w:eastAsia="en-CA"/>
              </w:rPr>
              <w:t>1</w:t>
            </w:r>
          </w:p>
        </w:tc>
        <w:tc>
          <w:tcPr>
            <w:tcW w:w="1600" w:type="dxa"/>
            <w:tcBorders>
              <w:top w:val="single" w:sz="4" w:space="0" w:color="auto"/>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w:t>
            </w:r>
            <w:r w:rsidR="000E3CE6" w:rsidRPr="00465B94">
              <w:rPr>
                <w:color w:val="000000"/>
                <w:kern w:val="22"/>
                <w:sz w:val="17"/>
                <w:szCs w:val="17"/>
                <w:lang w:val="fr-CA" w:eastAsia="en-CA"/>
              </w:rPr>
              <w:t xml:space="preserve"> </w:t>
            </w:r>
            <w:r w:rsidRPr="00465B94">
              <w:rPr>
                <w:color w:val="000000"/>
                <w:kern w:val="22"/>
                <w:sz w:val="17"/>
                <w:szCs w:val="17"/>
                <w:lang w:val="fr-CA" w:eastAsia="en-CA"/>
              </w:rPr>
              <w:t>867</w:t>
            </w:r>
            <w:r w:rsidR="00566464">
              <w:rPr>
                <w:color w:val="000000"/>
                <w:kern w:val="22"/>
                <w:sz w:val="17"/>
                <w:szCs w:val="17"/>
                <w:lang w:val="fr-CA" w:eastAsia="en-CA"/>
              </w:rPr>
              <w:t>,</w:t>
            </w:r>
            <w:r w:rsidRPr="00465B94">
              <w:rPr>
                <w:color w:val="000000"/>
                <w:kern w:val="22"/>
                <w:sz w:val="17"/>
                <w:szCs w:val="17"/>
                <w:lang w:val="fr-CA" w:eastAsia="en-CA"/>
              </w:rPr>
              <w:t>4</w:t>
            </w:r>
          </w:p>
        </w:tc>
        <w:tc>
          <w:tcPr>
            <w:tcW w:w="1640" w:type="dxa"/>
            <w:tcBorders>
              <w:top w:val="single" w:sz="4" w:space="0" w:color="auto"/>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0E3CE6" w:rsidRPr="00465B94">
              <w:rPr>
                <w:color w:val="000000"/>
                <w:kern w:val="22"/>
                <w:sz w:val="17"/>
                <w:szCs w:val="17"/>
                <w:lang w:val="fr-CA" w:eastAsia="en-CA"/>
              </w:rPr>
              <w:t xml:space="preserve"> </w:t>
            </w:r>
            <w:r w:rsidRPr="00465B94">
              <w:rPr>
                <w:color w:val="000000"/>
                <w:kern w:val="22"/>
                <w:sz w:val="17"/>
                <w:szCs w:val="17"/>
                <w:lang w:val="fr-CA" w:eastAsia="en-CA"/>
              </w:rPr>
              <w:t>628</w:t>
            </w:r>
            <w:r w:rsidR="00566464">
              <w:rPr>
                <w:color w:val="000000"/>
                <w:kern w:val="22"/>
                <w:sz w:val="17"/>
                <w:szCs w:val="17"/>
                <w:lang w:val="fr-CA" w:eastAsia="en-CA"/>
              </w:rPr>
              <w:t>,</w:t>
            </w:r>
            <w:r w:rsidRPr="00465B94">
              <w:rPr>
                <w:color w:val="000000"/>
                <w:kern w:val="22"/>
                <w:sz w:val="17"/>
                <w:szCs w:val="17"/>
                <w:lang w:val="fr-CA" w:eastAsia="en-CA"/>
              </w:rPr>
              <w:t>5</w:t>
            </w:r>
          </w:p>
        </w:tc>
      </w:tr>
      <w:tr w:rsidR="003F3847" w:rsidRPr="00465B94" w:rsidTr="0069295C">
        <w:tc>
          <w:tcPr>
            <w:tcW w:w="4520" w:type="dxa"/>
            <w:tcBorders>
              <w:top w:val="nil"/>
              <w:left w:val="nil"/>
              <w:bottom w:val="nil"/>
              <w:right w:val="nil"/>
            </w:tcBorders>
            <w:shd w:val="clear" w:color="auto" w:fill="auto"/>
            <w:noWrap/>
            <w:vAlign w:val="bottom"/>
            <w:hideMark/>
          </w:tcPr>
          <w:p w:rsidR="003F3847" w:rsidRPr="00465B94" w:rsidRDefault="003F3847" w:rsidP="003F3847">
            <w:pPr>
              <w:jc w:val="left"/>
              <w:rPr>
                <w:color w:val="000000"/>
                <w:kern w:val="22"/>
                <w:sz w:val="17"/>
                <w:szCs w:val="17"/>
                <w:lang w:val="fr-CA" w:eastAsia="en-CA"/>
              </w:rPr>
            </w:pPr>
          </w:p>
        </w:tc>
        <w:tc>
          <w:tcPr>
            <w:tcW w:w="1360" w:type="dxa"/>
            <w:tcBorders>
              <w:top w:val="nil"/>
              <w:left w:val="nil"/>
              <w:bottom w:val="nil"/>
              <w:right w:val="nil"/>
            </w:tcBorders>
            <w:shd w:val="clear" w:color="auto" w:fill="auto"/>
            <w:noWrap/>
            <w:vAlign w:val="bottom"/>
            <w:hideMark/>
          </w:tcPr>
          <w:p w:rsidR="003F3847" w:rsidRPr="00465B94" w:rsidRDefault="003F3847" w:rsidP="003F3847">
            <w:pPr>
              <w:jc w:val="left"/>
              <w:rPr>
                <w:color w:val="000000"/>
                <w:kern w:val="22"/>
                <w:sz w:val="17"/>
                <w:szCs w:val="17"/>
                <w:lang w:val="fr-CA" w:eastAsia="en-CA"/>
              </w:rPr>
            </w:pPr>
          </w:p>
        </w:tc>
        <w:tc>
          <w:tcPr>
            <w:tcW w:w="1600" w:type="dxa"/>
            <w:tcBorders>
              <w:top w:val="nil"/>
              <w:left w:val="nil"/>
              <w:bottom w:val="nil"/>
              <w:right w:val="nil"/>
            </w:tcBorders>
            <w:shd w:val="clear" w:color="auto" w:fill="auto"/>
            <w:noWrap/>
            <w:vAlign w:val="bottom"/>
            <w:hideMark/>
          </w:tcPr>
          <w:p w:rsidR="003F3847" w:rsidRPr="00465B94" w:rsidRDefault="003F3847" w:rsidP="003F3847">
            <w:pPr>
              <w:jc w:val="left"/>
              <w:rPr>
                <w:color w:val="000000"/>
                <w:kern w:val="22"/>
                <w:sz w:val="17"/>
                <w:szCs w:val="17"/>
                <w:lang w:val="fr-CA" w:eastAsia="en-CA"/>
              </w:rPr>
            </w:pPr>
          </w:p>
        </w:tc>
        <w:tc>
          <w:tcPr>
            <w:tcW w:w="1640" w:type="dxa"/>
            <w:tcBorders>
              <w:top w:val="nil"/>
              <w:left w:val="nil"/>
              <w:bottom w:val="nil"/>
              <w:right w:val="nil"/>
            </w:tcBorders>
            <w:shd w:val="clear" w:color="auto" w:fill="auto"/>
            <w:noWrap/>
            <w:vAlign w:val="bottom"/>
            <w:hideMark/>
          </w:tcPr>
          <w:p w:rsidR="003F3847" w:rsidRPr="00465B94" w:rsidRDefault="003F3847" w:rsidP="003F3847">
            <w:pPr>
              <w:jc w:val="left"/>
              <w:rPr>
                <w:color w:val="000000"/>
                <w:kern w:val="22"/>
                <w:sz w:val="17"/>
                <w:szCs w:val="17"/>
                <w:lang w:val="fr-CA" w:eastAsia="en-CA"/>
              </w:rPr>
            </w:pPr>
          </w:p>
        </w:tc>
      </w:tr>
      <w:tr w:rsidR="00F24602" w:rsidRPr="00465B94" w:rsidTr="003F3847">
        <w:trPr>
          <w:trHeight w:val="288"/>
        </w:trPr>
        <w:tc>
          <w:tcPr>
            <w:tcW w:w="4520" w:type="dxa"/>
            <w:vMerge w:val="restart"/>
            <w:tcBorders>
              <w:top w:val="single" w:sz="8" w:space="0" w:color="auto"/>
              <w:left w:val="nil"/>
              <w:bottom w:val="single" w:sz="12" w:space="0" w:color="000000"/>
              <w:right w:val="nil"/>
            </w:tcBorders>
            <w:shd w:val="clear" w:color="auto" w:fill="auto"/>
            <w:vAlign w:val="center"/>
            <w:hideMark/>
          </w:tcPr>
          <w:p w:rsidR="00F24602" w:rsidRPr="00465B94" w:rsidRDefault="00F24602" w:rsidP="00F24602">
            <w:pPr>
              <w:jc w:val="left"/>
              <w:rPr>
                <w:i/>
                <w:iCs/>
                <w:color w:val="000000"/>
                <w:kern w:val="22"/>
                <w:sz w:val="15"/>
                <w:szCs w:val="15"/>
                <w:lang w:val="fr-CA" w:eastAsia="en-CA"/>
              </w:rPr>
            </w:pPr>
            <w:r w:rsidRPr="00465B94">
              <w:rPr>
                <w:i/>
                <w:iCs/>
                <w:color w:val="000000"/>
                <w:kern w:val="22"/>
                <w:sz w:val="15"/>
                <w:szCs w:val="15"/>
                <w:lang w:val="fr-CA" w:eastAsia="en-CA"/>
              </w:rPr>
              <w:t> </w:t>
            </w:r>
          </w:p>
        </w:tc>
        <w:tc>
          <w:tcPr>
            <w:tcW w:w="1360" w:type="dxa"/>
            <w:vMerge w:val="restart"/>
            <w:tcBorders>
              <w:top w:val="single" w:sz="8" w:space="0" w:color="auto"/>
              <w:left w:val="nil"/>
              <w:bottom w:val="single" w:sz="12" w:space="0" w:color="000000"/>
              <w:right w:val="nil"/>
            </w:tcBorders>
            <w:shd w:val="clear" w:color="auto" w:fill="auto"/>
            <w:vAlign w:val="center"/>
            <w:hideMark/>
          </w:tcPr>
          <w:p w:rsidR="00F24602" w:rsidRPr="00F24602" w:rsidRDefault="00F24602" w:rsidP="00F24602">
            <w:pPr>
              <w:jc w:val="center"/>
              <w:rPr>
                <w:i/>
                <w:iCs/>
                <w:color w:val="000000"/>
                <w:sz w:val="15"/>
                <w:szCs w:val="15"/>
                <w:lang w:val="fr-CA"/>
              </w:rPr>
            </w:pPr>
            <w:r w:rsidRPr="00F24602">
              <w:rPr>
                <w:i/>
                <w:iCs/>
                <w:color w:val="000000"/>
                <w:sz w:val="15"/>
                <w:szCs w:val="15"/>
                <w:lang w:val="fr-CA"/>
              </w:rPr>
              <w:t>2019                            (milliers de dollars É.-U.)</w:t>
            </w:r>
          </w:p>
        </w:tc>
        <w:tc>
          <w:tcPr>
            <w:tcW w:w="1600" w:type="dxa"/>
            <w:vMerge w:val="restart"/>
            <w:tcBorders>
              <w:top w:val="single" w:sz="8" w:space="0" w:color="auto"/>
              <w:left w:val="nil"/>
              <w:bottom w:val="single" w:sz="12" w:space="0" w:color="000000"/>
              <w:right w:val="nil"/>
            </w:tcBorders>
            <w:shd w:val="clear" w:color="auto" w:fill="auto"/>
            <w:vAlign w:val="center"/>
            <w:hideMark/>
          </w:tcPr>
          <w:p w:rsidR="00F24602" w:rsidRPr="00F24602" w:rsidRDefault="00F24602" w:rsidP="00F24602">
            <w:pPr>
              <w:jc w:val="center"/>
              <w:rPr>
                <w:i/>
                <w:iCs/>
                <w:color w:val="000000"/>
                <w:sz w:val="15"/>
                <w:szCs w:val="15"/>
                <w:lang w:val="fr-CA"/>
              </w:rPr>
            </w:pPr>
            <w:r w:rsidRPr="00F24602">
              <w:rPr>
                <w:i/>
                <w:iCs/>
                <w:color w:val="000000"/>
                <w:sz w:val="15"/>
                <w:szCs w:val="15"/>
                <w:lang w:val="fr-CA"/>
              </w:rPr>
              <w:t xml:space="preserve">2020                          (milliers de </w:t>
            </w:r>
          </w:p>
          <w:p w:rsidR="00F24602" w:rsidRPr="00F24602" w:rsidRDefault="00F24602" w:rsidP="00F24602">
            <w:pPr>
              <w:jc w:val="center"/>
              <w:rPr>
                <w:i/>
                <w:iCs/>
                <w:color w:val="000000"/>
                <w:sz w:val="15"/>
                <w:szCs w:val="15"/>
                <w:lang w:val="fr-CA"/>
              </w:rPr>
            </w:pPr>
            <w:r w:rsidRPr="00F24602">
              <w:rPr>
                <w:i/>
                <w:iCs/>
                <w:color w:val="000000"/>
                <w:sz w:val="15"/>
                <w:szCs w:val="15"/>
                <w:lang w:val="fr-CA"/>
              </w:rPr>
              <w:t>dollars É.-U.)</w:t>
            </w:r>
          </w:p>
        </w:tc>
        <w:tc>
          <w:tcPr>
            <w:tcW w:w="1640" w:type="dxa"/>
            <w:vMerge w:val="restart"/>
            <w:tcBorders>
              <w:top w:val="single" w:sz="8" w:space="0" w:color="auto"/>
              <w:left w:val="nil"/>
              <w:bottom w:val="single" w:sz="12" w:space="0" w:color="000000"/>
              <w:right w:val="nil"/>
            </w:tcBorders>
            <w:shd w:val="clear" w:color="auto" w:fill="auto"/>
            <w:vAlign w:val="center"/>
            <w:hideMark/>
          </w:tcPr>
          <w:p w:rsidR="00F24602" w:rsidRPr="00BF7F7B" w:rsidRDefault="00F24602" w:rsidP="00F24602">
            <w:pPr>
              <w:jc w:val="center"/>
              <w:rPr>
                <w:i/>
                <w:iCs/>
                <w:color w:val="000000"/>
                <w:sz w:val="15"/>
                <w:szCs w:val="15"/>
              </w:rPr>
            </w:pPr>
            <w:r w:rsidRPr="00BF7F7B">
              <w:rPr>
                <w:i/>
                <w:iCs/>
                <w:color w:val="000000"/>
                <w:sz w:val="15"/>
                <w:szCs w:val="15"/>
              </w:rPr>
              <w:t>Total                            (</w:t>
            </w:r>
            <w:proofErr w:type="spellStart"/>
            <w:r w:rsidRPr="00BF7F7B">
              <w:rPr>
                <w:i/>
                <w:iCs/>
                <w:color w:val="000000"/>
                <w:sz w:val="15"/>
                <w:szCs w:val="15"/>
              </w:rPr>
              <w:t>milliers</w:t>
            </w:r>
            <w:proofErr w:type="spellEnd"/>
            <w:r w:rsidRPr="00BF7F7B">
              <w:rPr>
                <w:i/>
                <w:iCs/>
                <w:color w:val="000000"/>
                <w:sz w:val="15"/>
                <w:szCs w:val="15"/>
              </w:rPr>
              <w:t xml:space="preserve"> de </w:t>
            </w:r>
          </w:p>
          <w:p w:rsidR="00F24602" w:rsidRDefault="00F24602" w:rsidP="00F24602">
            <w:pPr>
              <w:jc w:val="center"/>
              <w:rPr>
                <w:i/>
                <w:iCs/>
                <w:color w:val="000000"/>
                <w:sz w:val="15"/>
                <w:szCs w:val="15"/>
              </w:rPr>
            </w:pPr>
            <w:r w:rsidRPr="00BF7F7B">
              <w:rPr>
                <w:i/>
                <w:iCs/>
                <w:color w:val="000000"/>
                <w:sz w:val="15"/>
                <w:szCs w:val="15"/>
              </w:rPr>
              <w:t>dollars É.-U.)</w:t>
            </w:r>
          </w:p>
          <w:p w:rsidR="00F24602" w:rsidRPr="00BF7F7B" w:rsidRDefault="00F24602" w:rsidP="00F24602">
            <w:pPr>
              <w:jc w:val="center"/>
              <w:rPr>
                <w:i/>
                <w:iCs/>
                <w:color w:val="000000"/>
                <w:sz w:val="15"/>
                <w:szCs w:val="15"/>
              </w:rPr>
            </w:pPr>
          </w:p>
        </w:tc>
      </w:tr>
      <w:tr w:rsidR="003F3847" w:rsidRPr="00465B94" w:rsidTr="003F3847">
        <w:trPr>
          <w:trHeight w:val="288"/>
        </w:trPr>
        <w:tc>
          <w:tcPr>
            <w:tcW w:w="452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36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0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4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r>
      <w:tr w:rsidR="003F3847" w:rsidRPr="00465B94" w:rsidTr="003F3847">
        <w:trPr>
          <w:trHeight w:val="300"/>
        </w:trPr>
        <w:tc>
          <w:tcPr>
            <w:tcW w:w="452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36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0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c>
          <w:tcPr>
            <w:tcW w:w="1640" w:type="dxa"/>
            <w:vMerge/>
            <w:tcBorders>
              <w:top w:val="single" w:sz="8" w:space="0" w:color="auto"/>
              <w:left w:val="nil"/>
              <w:bottom w:val="single" w:sz="12" w:space="0" w:color="000000"/>
              <w:right w:val="nil"/>
            </w:tcBorders>
            <w:vAlign w:val="center"/>
            <w:hideMark/>
          </w:tcPr>
          <w:p w:rsidR="003F3847" w:rsidRPr="00465B94" w:rsidRDefault="003F3847" w:rsidP="003F3847">
            <w:pPr>
              <w:jc w:val="left"/>
              <w:rPr>
                <w:i/>
                <w:iCs/>
                <w:color w:val="000000"/>
                <w:kern w:val="22"/>
                <w:sz w:val="15"/>
                <w:szCs w:val="15"/>
                <w:lang w:val="fr-CA" w:eastAsia="en-CA"/>
              </w:rPr>
            </w:pPr>
          </w:p>
        </w:tc>
      </w:tr>
      <w:tr w:rsidR="003F3847" w:rsidRPr="00465B94" w:rsidTr="0069295C">
        <w:tc>
          <w:tcPr>
            <w:tcW w:w="4520" w:type="dxa"/>
            <w:tcBorders>
              <w:top w:val="nil"/>
              <w:left w:val="nil"/>
              <w:bottom w:val="nil"/>
              <w:right w:val="nil"/>
            </w:tcBorders>
            <w:shd w:val="clear" w:color="auto" w:fill="auto"/>
            <w:hideMark/>
          </w:tcPr>
          <w:p w:rsidR="003F3847" w:rsidRPr="00465B94" w:rsidRDefault="003F3847" w:rsidP="003F3847">
            <w:pPr>
              <w:jc w:val="left"/>
              <w:rPr>
                <w:b/>
                <w:bCs/>
                <w:color w:val="000000"/>
                <w:kern w:val="22"/>
                <w:sz w:val="17"/>
                <w:szCs w:val="17"/>
                <w:lang w:val="fr-CA" w:eastAsia="en-CA"/>
              </w:rPr>
            </w:pPr>
            <w:r w:rsidRPr="00465B94">
              <w:rPr>
                <w:b/>
                <w:bCs/>
                <w:color w:val="000000"/>
                <w:kern w:val="22"/>
                <w:sz w:val="17"/>
                <w:szCs w:val="17"/>
                <w:lang w:val="fr-CA" w:eastAsia="en-CA"/>
              </w:rPr>
              <w:t>I. Programmes:</w:t>
            </w:r>
          </w:p>
        </w:tc>
        <w:tc>
          <w:tcPr>
            <w:tcW w:w="1360" w:type="dxa"/>
            <w:tcBorders>
              <w:top w:val="nil"/>
              <w:left w:val="nil"/>
              <w:bottom w:val="nil"/>
              <w:right w:val="nil"/>
            </w:tcBorders>
            <w:shd w:val="clear" w:color="auto" w:fill="auto"/>
            <w:vAlign w:val="center"/>
            <w:hideMark/>
          </w:tcPr>
          <w:p w:rsidR="003F3847" w:rsidRPr="00465B94" w:rsidRDefault="003F3847" w:rsidP="003F3847">
            <w:pPr>
              <w:jc w:val="left"/>
              <w:rPr>
                <w:color w:val="000000"/>
                <w:kern w:val="22"/>
                <w:sz w:val="17"/>
                <w:szCs w:val="17"/>
                <w:lang w:val="fr-CA" w:eastAsia="en-CA"/>
              </w:rPr>
            </w:pPr>
          </w:p>
        </w:tc>
        <w:tc>
          <w:tcPr>
            <w:tcW w:w="1600" w:type="dxa"/>
            <w:tcBorders>
              <w:top w:val="nil"/>
              <w:left w:val="nil"/>
              <w:bottom w:val="nil"/>
              <w:right w:val="nil"/>
            </w:tcBorders>
            <w:shd w:val="clear" w:color="auto" w:fill="auto"/>
            <w:vAlign w:val="center"/>
            <w:hideMark/>
          </w:tcPr>
          <w:p w:rsidR="003F3847" w:rsidRPr="00465B94" w:rsidRDefault="003F3847" w:rsidP="003F3847">
            <w:pPr>
              <w:jc w:val="right"/>
              <w:rPr>
                <w:color w:val="000000"/>
                <w:kern w:val="22"/>
                <w:sz w:val="17"/>
                <w:szCs w:val="17"/>
                <w:lang w:val="fr-CA" w:eastAsia="en-CA"/>
              </w:rPr>
            </w:pPr>
          </w:p>
        </w:tc>
        <w:tc>
          <w:tcPr>
            <w:tcW w:w="1640" w:type="dxa"/>
            <w:tcBorders>
              <w:top w:val="nil"/>
              <w:left w:val="nil"/>
              <w:bottom w:val="nil"/>
              <w:right w:val="nil"/>
            </w:tcBorders>
            <w:shd w:val="clear" w:color="auto" w:fill="auto"/>
            <w:vAlign w:val="center"/>
            <w:hideMark/>
          </w:tcPr>
          <w:p w:rsidR="003F3847" w:rsidRPr="00465B94" w:rsidRDefault="003F3847" w:rsidP="003F3847">
            <w:pPr>
              <w:jc w:val="right"/>
              <w:rPr>
                <w:color w:val="000000"/>
                <w:kern w:val="22"/>
                <w:sz w:val="17"/>
                <w:szCs w:val="17"/>
                <w:lang w:val="fr-CA" w:eastAsia="en-CA"/>
              </w:rPr>
            </w:pP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8D585E">
            <w:pPr>
              <w:jc w:val="left"/>
              <w:rPr>
                <w:color w:val="000000"/>
                <w:kern w:val="22"/>
                <w:sz w:val="17"/>
                <w:szCs w:val="17"/>
                <w:lang w:val="fr-CA" w:eastAsia="en-CA"/>
              </w:rPr>
            </w:pPr>
            <w:r w:rsidRPr="00465B94">
              <w:rPr>
                <w:color w:val="000000"/>
                <w:kern w:val="22"/>
                <w:sz w:val="17"/>
                <w:szCs w:val="17"/>
                <w:lang w:val="fr-CA" w:eastAsia="en-CA"/>
              </w:rPr>
              <w:t xml:space="preserve">  </w:t>
            </w:r>
            <w:r w:rsidR="008D585E">
              <w:rPr>
                <w:color w:val="000000"/>
                <w:kern w:val="22"/>
                <w:sz w:val="17"/>
                <w:szCs w:val="17"/>
                <w:lang w:val="fr-CA" w:eastAsia="en-CA"/>
              </w:rPr>
              <w:t>Bureau de la Secrétaire exécutive</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534</w:t>
            </w:r>
            <w:r w:rsidR="00566464">
              <w:rPr>
                <w:color w:val="000000"/>
                <w:kern w:val="22"/>
                <w:sz w:val="17"/>
                <w:szCs w:val="17"/>
                <w:lang w:val="fr-CA" w:eastAsia="en-CA"/>
              </w:rPr>
              <w:t>,</w:t>
            </w:r>
            <w:r w:rsidRPr="00465B94">
              <w:rPr>
                <w:color w:val="000000"/>
                <w:kern w:val="22"/>
                <w:sz w:val="17"/>
                <w:szCs w:val="17"/>
                <w:lang w:val="fr-CA" w:eastAsia="en-CA"/>
              </w:rPr>
              <w:t>0</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444</w:t>
            </w:r>
            <w:r w:rsidR="00566464">
              <w:rPr>
                <w:color w:val="000000"/>
                <w:kern w:val="22"/>
                <w:sz w:val="17"/>
                <w:szCs w:val="17"/>
                <w:lang w:val="fr-CA" w:eastAsia="en-CA"/>
              </w:rPr>
              <w:t>,</w:t>
            </w:r>
            <w:r w:rsidRPr="00465B94">
              <w:rPr>
                <w:color w:val="000000"/>
                <w:kern w:val="22"/>
                <w:sz w:val="17"/>
                <w:szCs w:val="17"/>
                <w:lang w:val="fr-CA" w:eastAsia="en-CA"/>
              </w:rPr>
              <w:t>8</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6</w:t>
            </w:r>
            <w:r w:rsidR="006A37D7" w:rsidRPr="00465B94">
              <w:rPr>
                <w:color w:val="000000"/>
                <w:kern w:val="22"/>
                <w:sz w:val="17"/>
                <w:szCs w:val="17"/>
                <w:lang w:val="fr-CA" w:eastAsia="en-CA"/>
              </w:rPr>
              <w:t xml:space="preserve"> </w:t>
            </w:r>
            <w:r w:rsidRPr="00465B94">
              <w:rPr>
                <w:color w:val="000000"/>
                <w:kern w:val="22"/>
                <w:sz w:val="17"/>
                <w:szCs w:val="17"/>
                <w:lang w:val="fr-CA" w:eastAsia="en-CA"/>
              </w:rPr>
              <w:t>978</w:t>
            </w:r>
            <w:r w:rsidR="00566464">
              <w:rPr>
                <w:color w:val="000000"/>
                <w:kern w:val="22"/>
                <w:sz w:val="17"/>
                <w:szCs w:val="17"/>
                <w:lang w:val="fr-CA" w:eastAsia="en-CA"/>
              </w:rPr>
              <w:t>,</w:t>
            </w:r>
            <w:r w:rsidRPr="00465B94">
              <w:rPr>
                <w:color w:val="000000"/>
                <w:kern w:val="22"/>
                <w:sz w:val="17"/>
                <w:szCs w:val="17"/>
                <w:lang w:val="fr-CA" w:eastAsia="en-CA"/>
              </w:rPr>
              <w:t>8</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0262D8">
            <w:pPr>
              <w:ind w:left="69" w:hanging="69"/>
              <w:jc w:val="left"/>
              <w:rPr>
                <w:color w:val="000000"/>
                <w:kern w:val="22"/>
                <w:sz w:val="17"/>
                <w:szCs w:val="17"/>
                <w:lang w:val="fr-CA" w:eastAsia="en-CA"/>
              </w:rPr>
            </w:pPr>
            <w:r w:rsidRPr="00465B94">
              <w:rPr>
                <w:color w:val="000000"/>
                <w:kern w:val="22"/>
                <w:sz w:val="17"/>
                <w:szCs w:val="17"/>
                <w:lang w:val="fr-CA" w:eastAsia="en-CA"/>
              </w:rPr>
              <w:t xml:space="preserve">  </w:t>
            </w:r>
            <w:r w:rsidR="008D585E">
              <w:rPr>
                <w:color w:val="000000"/>
                <w:kern w:val="22"/>
                <w:sz w:val="17"/>
                <w:szCs w:val="17"/>
                <w:lang w:val="fr-CA" w:eastAsia="en-CA"/>
              </w:rPr>
              <w:t>Protocoles sur l’accès et le partage des avantages et la prévention des risques biotechnologiques</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6A37D7" w:rsidRPr="00465B94">
              <w:rPr>
                <w:color w:val="000000"/>
                <w:kern w:val="22"/>
                <w:sz w:val="17"/>
                <w:szCs w:val="17"/>
                <w:lang w:val="fr-CA" w:eastAsia="en-CA"/>
              </w:rPr>
              <w:t xml:space="preserve"> </w:t>
            </w:r>
            <w:r w:rsidRPr="00465B94">
              <w:rPr>
                <w:color w:val="000000"/>
                <w:kern w:val="22"/>
                <w:sz w:val="17"/>
                <w:szCs w:val="17"/>
                <w:lang w:val="fr-CA" w:eastAsia="en-CA"/>
              </w:rPr>
              <w:t>322</w:t>
            </w:r>
            <w:r w:rsidR="00566464">
              <w:rPr>
                <w:color w:val="000000"/>
                <w:kern w:val="22"/>
                <w:sz w:val="17"/>
                <w:szCs w:val="17"/>
                <w:lang w:val="fr-CA" w:eastAsia="en-CA"/>
              </w:rPr>
              <w:t>,</w:t>
            </w:r>
            <w:r w:rsidRPr="00465B94">
              <w:rPr>
                <w:color w:val="000000"/>
                <w:kern w:val="22"/>
                <w:sz w:val="17"/>
                <w:szCs w:val="17"/>
                <w:lang w:val="fr-CA" w:eastAsia="en-CA"/>
              </w:rPr>
              <w:t>6</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6A37D7" w:rsidRPr="00465B94">
              <w:rPr>
                <w:color w:val="000000"/>
                <w:kern w:val="22"/>
                <w:sz w:val="17"/>
                <w:szCs w:val="17"/>
                <w:lang w:val="fr-CA" w:eastAsia="en-CA"/>
              </w:rPr>
              <w:t xml:space="preserve"> </w:t>
            </w:r>
            <w:r w:rsidRPr="00465B94">
              <w:rPr>
                <w:color w:val="000000"/>
                <w:kern w:val="22"/>
                <w:sz w:val="17"/>
                <w:szCs w:val="17"/>
                <w:lang w:val="fr-CA" w:eastAsia="en-CA"/>
              </w:rPr>
              <w:t>375</w:t>
            </w:r>
            <w:r w:rsidR="00566464">
              <w:rPr>
                <w:color w:val="000000"/>
                <w:kern w:val="22"/>
                <w:sz w:val="17"/>
                <w:szCs w:val="17"/>
                <w:lang w:val="fr-CA" w:eastAsia="en-CA"/>
              </w:rPr>
              <w:t>,</w:t>
            </w:r>
            <w:r w:rsidRPr="00465B94">
              <w:rPr>
                <w:color w:val="000000"/>
                <w:kern w:val="22"/>
                <w:sz w:val="17"/>
                <w:szCs w:val="17"/>
                <w:lang w:val="fr-CA" w:eastAsia="en-CA"/>
              </w:rPr>
              <w:t>9</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4</w:t>
            </w:r>
            <w:r w:rsidR="006A37D7" w:rsidRPr="00465B94">
              <w:rPr>
                <w:color w:val="000000"/>
                <w:kern w:val="22"/>
                <w:sz w:val="17"/>
                <w:szCs w:val="17"/>
                <w:lang w:val="fr-CA" w:eastAsia="en-CA"/>
              </w:rPr>
              <w:t xml:space="preserve"> </w:t>
            </w:r>
            <w:r w:rsidRPr="00465B94">
              <w:rPr>
                <w:color w:val="000000"/>
                <w:kern w:val="22"/>
                <w:sz w:val="17"/>
                <w:szCs w:val="17"/>
                <w:lang w:val="fr-CA" w:eastAsia="en-CA"/>
              </w:rPr>
              <w:t>698</w:t>
            </w:r>
            <w:r w:rsidR="00566464">
              <w:rPr>
                <w:color w:val="000000"/>
                <w:kern w:val="22"/>
                <w:sz w:val="17"/>
                <w:szCs w:val="17"/>
                <w:lang w:val="fr-CA" w:eastAsia="en-CA"/>
              </w:rPr>
              <w:t>,</w:t>
            </w:r>
            <w:r w:rsidRPr="00465B94">
              <w:rPr>
                <w:color w:val="000000"/>
                <w:kern w:val="22"/>
                <w:sz w:val="17"/>
                <w:szCs w:val="17"/>
                <w:lang w:val="fr-CA" w:eastAsia="en-CA"/>
              </w:rPr>
              <w:t>5</w:t>
            </w:r>
          </w:p>
        </w:tc>
      </w:tr>
      <w:tr w:rsidR="003F3847" w:rsidRPr="00465B94" w:rsidTr="003F3847">
        <w:trPr>
          <w:trHeight w:val="288"/>
        </w:trPr>
        <w:tc>
          <w:tcPr>
            <w:tcW w:w="4520" w:type="dxa"/>
            <w:tcBorders>
              <w:top w:val="nil"/>
              <w:left w:val="nil"/>
              <w:bottom w:val="nil"/>
              <w:right w:val="nil"/>
            </w:tcBorders>
            <w:shd w:val="clear" w:color="auto" w:fill="auto"/>
            <w:hideMark/>
          </w:tcPr>
          <w:p w:rsidR="003F3847" w:rsidRPr="00465B94" w:rsidRDefault="003F3847" w:rsidP="008D585E">
            <w:pPr>
              <w:jc w:val="left"/>
              <w:rPr>
                <w:color w:val="000000"/>
                <w:kern w:val="22"/>
                <w:sz w:val="17"/>
                <w:szCs w:val="17"/>
                <w:lang w:val="fr-CA" w:eastAsia="en-CA"/>
              </w:rPr>
            </w:pPr>
            <w:r w:rsidRPr="00465B94">
              <w:rPr>
                <w:color w:val="000000"/>
                <w:kern w:val="22"/>
                <w:sz w:val="17"/>
                <w:szCs w:val="17"/>
                <w:lang w:val="fr-CA" w:eastAsia="en-CA"/>
              </w:rPr>
              <w:t xml:space="preserve">  </w:t>
            </w:r>
            <w:r w:rsidR="008D585E">
              <w:rPr>
                <w:color w:val="000000"/>
                <w:kern w:val="22"/>
                <w:sz w:val="17"/>
                <w:szCs w:val="17"/>
                <w:lang w:val="fr-CA" w:eastAsia="en-CA"/>
              </w:rPr>
              <w:t>Division de la science, de la société et de l’avenir durable</w:t>
            </w:r>
          </w:p>
        </w:tc>
        <w:tc>
          <w:tcPr>
            <w:tcW w:w="136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912</w:t>
            </w:r>
            <w:r w:rsidR="00566464">
              <w:rPr>
                <w:color w:val="000000"/>
                <w:kern w:val="22"/>
                <w:sz w:val="17"/>
                <w:szCs w:val="17"/>
                <w:lang w:val="fr-CA" w:eastAsia="en-CA"/>
              </w:rPr>
              <w:t>,</w:t>
            </w:r>
            <w:r w:rsidRPr="00465B94">
              <w:rPr>
                <w:color w:val="000000"/>
                <w:kern w:val="22"/>
                <w:sz w:val="17"/>
                <w:szCs w:val="17"/>
                <w:lang w:val="fr-CA" w:eastAsia="en-CA"/>
              </w:rPr>
              <w:t>3</w:t>
            </w:r>
          </w:p>
        </w:tc>
        <w:tc>
          <w:tcPr>
            <w:tcW w:w="160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909</w:t>
            </w:r>
            <w:r w:rsidR="00566464">
              <w:rPr>
                <w:color w:val="000000"/>
                <w:kern w:val="22"/>
                <w:sz w:val="17"/>
                <w:szCs w:val="17"/>
                <w:lang w:val="fr-CA" w:eastAsia="en-CA"/>
              </w:rPr>
              <w:t>,</w:t>
            </w:r>
            <w:r w:rsidRPr="00465B94">
              <w:rPr>
                <w:color w:val="000000"/>
                <w:kern w:val="22"/>
                <w:sz w:val="17"/>
                <w:szCs w:val="17"/>
                <w:lang w:val="fr-CA" w:eastAsia="en-CA"/>
              </w:rPr>
              <w:t>0</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7</w:t>
            </w:r>
            <w:r w:rsidR="006A37D7" w:rsidRPr="00465B94">
              <w:rPr>
                <w:color w:val="000000"/>
                <w:kern w:val="22"/>
                <w:sz w:val="17"/>
                <w:szCs w:val="17"/>
                <w:lang w:val="fr-CA" w:eastAsia="en-CA"/>
              </w:rPr>
              <w:t xml:space="preserve"> </w:t>
            </w:r>
            <w:r w:rsidRPr="00465B94">
              <w:rPr>
                <w:color w:val="000000"/>
                <w:kern w:val="22"/>
                <w:sz w:val="17"/>
                <w:szCs w:val="17"/>
                <w:lang w:val="fr-CA" w:eastAsia="en-CA"/>
              </w:rPr>
              <w:t>821</w:t>
            </w:r>
            <w:r w:rsidR="00566464">
              <w:rPr>
                <w:color w:val="000000"/>
                <w:kern w:val="22"/>
                <w:sz w:val="17"/>
                <w:szCs w:val="17"/>
                <w:lang w:val="fr-CA" w:eastAsia="en-CA"/>
              </w:rPr>
              <w:t>,</w:t>
            </w:r>
            <w:r w:rsidRPr="00465B94">
              <w:rPr>
                <w:color w:val="000000"/>
                <w:kern w:val="22"/>
                <w:sz w:val="17"/>
                <w:szCs w:val="17"/>
                <w:lang w:val="fr-CA" w:eastAsia="en-CA"/>
              </w:rPr>
              <w:t>3</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8D585E">
            <w:pPr>
              <w:jc w:val="left"/>
              <w:rPr>
                <w:color w:val="000000"/>
                <w:kern w:val="22"/>
                <w:sz w:val="17"/>
                <w:szCs w:val="17"/>
                <w:lang w:val="fr-CA" w:eastAsia="en-CA"/>
              </w:rPr>
            </w:pPr>
            <w:r w:rsidRPr="00465B94">
              <w:rPr>
                <w:color w:val="000000"/>
                <w:kern w:val="22"/>
                <w:sz w:val="17"/>
                <w:szCs w:val="17"/>
                <w:lang w:val="fr-CA" w:eastAsia="en-CA"/>
              </w:rPr>
              <w:t xml:space="preserve">  </w:t>
            </w:r>
            <w:r w:rsidR="008D585E">
              <w:rPr>
                <w:color w:val="000000"/>
                <w:kern w:val="22"/>
                <w:sz w:val="17"/>
                <w:szCs w:val="17"/>
                <w:lang w:val="fr-CA" w:eastAsia="en-CA"/>
              </w:rPr>
              <w:t>Division de l’appui à l’exécution des projets</w:t>
            </w:r>
          </w:p>
        </w:tc>
        <w:tc>
          <w:tcPr>
            <w:tcW w:w="136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105</w:t>
            </w:r>
            <w:r w:rsidR="00566464">
              <w:rPr>
                <w:color w:val="000000"/>
                <w:kern w:val="22"/>
                <w:sz w:val="17"/>
                <w:szCs w:val="17"/>
                <w:lang w:val="fr-CA" w:eastAsia="en-CA"/>
              </w:rPr>
              <w:t>,</w:t>
            </w:r>
            <w:r w:rsidRPr="00465B94">
              <w:rPr>
                <w:color w:val="000000"/>
                <w:kern w:val="22"/>
                <w:sz w:val="17"/>
                <w:szCs w:val="17"/>
                <w:lang w:val="fr-CA" w:eastAsia="en-CA"/>
              </w:rPr>
              <w:t>0</w:t>
            </w:r>
          </w:p>
        </w:tc>
        <w:tc>
          <w:tcPr>
            <w:tcW w:w="160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708</w:t>
            </w:r>
            <w:r w:rsidR="00566464">
              <w:rPr>
                <w:color w:val="000000"/>
                <w:kern w:val="22"/>
                <w:sz w:val="17"/>
                <w:szCs w:val="17"/>
                <w:lang w:val="fr-CA" w:eastAsia="en-CA"/>
              </w:rPr>
              <w:t>,</w:t>
            </w:r>
            <w:r w:rsidRPr="00465B94">
              <w:rPr>
                <w:color w:val="000000"/>
                <w:kern w:val="22"/>
                <w:sz w:val="17"/>
                <w:szCs w:val="17"/>
                <w:lang w:val="fr-CA" w:eastAsia="en-CA"/>
              </w:rPr>
              <w:t>2</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6</w:t>
            </w:r>
            <w:r w:rsidR="006A37D7" w:rsidRPr="00465B94">
              <w:rPr>
                <w:color w:val="000000"/>
                <w:kern w:val="22"/>
                <w:sz w:val="17"/>
                <w:szCs w:val="17"/>
                <w:lang w:val="fr-CA" w:eastAsia="en-CA"/>
              </w:rPr>
              <w:t xml:space="preserve"> </w:t>
            </w:r>
            <w:r w:rsidRPr="00465B94">
              <w:rPr>
                <w:color w:val="000000"/>
                <w:kern w:val="22"/>
                <w:sz w:val="17"/>
                <w:szCs w:val="17"/>
                <w:lang w:val="fr-CA" w:eastAsia="en-CA"/>
              </w:rPr>
              <w:t>813</w:t>
            </w:r>
            <w:r w:rsidR="00566464">
              <w:rPr>
                <w:color w:val="000000"/>
                <w:kern w:val="22"/>
                <w:sz w:val="17"/>
                <w:szCs w:val="17"/>
                <w:lang w:val="fr-CA" w:eastAsia="en-CA"/>
              </w:rPr>
              <w:t>,</w:t>
            </w:r>
            <w:r w:rsidRPr="00465B94">
              <w:rPr>
                <w:color w:val="000000"/>
                <w:kern w:val="22"/>
                <w:sz w:val="17"/>
                <w:szCs w:val="17"/>
                <w:lang w:val="fr-CA" w:eastAsia="en-CA"/>
              </w:rPr>
              <w:t>2</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566464">
            <w:pPr>
              <w:jc w:val="left"/>
              <w:rPr>
                <w:b/>
                <w:bCs/>
                <w:color w:val="000000"/>
                <w:kern w:val="22"/>
                <w:sz w:val="17"/>
                <w:szCs w:val="17"/>
                <w:lang w:val="fr-CA" w:eastAsia="en-CA"/>
              </w:rPr>
            </w:pPr>
            <w:r w:rsidRPr="00465B94">
              <w:rPr>
                <w:b/>
                <w:bCs/>
                <w:color w:val="000000"/>
                <w:kern w:val="22"/>
                <w:sz w:val="17"/>
                <w:szCs w:val="17"/>
                <w:lang w:val="fr-CA" w:eastAsia="en-CA"/>
              </w:rPr>
              <w:t xml:space="preserve">II. </w:t>
            </w:r>
            <w:r w:rsidR="00566464">
              <w:rPr>
                <w:b/>
                <w:bCs/>
                <w:color w:val="000000"/>
                <w:kern w:val="22"/>
                <w:sz w:val="17"/>
                <w:szCs w:val="17"/>
                <w:lang w:val="fr-CA" w:eastAsia="en-CA"/>
              </w:rPr>
              <w:t>Administration, finances et services de conférence</w:t>
            </w:r>
          </w:p>
        </w:tc>
        <w:tc>
          <w:tcPr>
            <w:tcW w:w="136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3</w:t>
            </w:r>
            <w:r w:rsidR="006A37D7" w:rsidRPr="00465B94">
              <w:rPr>
                <w:color w:val="000000"/>
                <w:kern w:val="22"/>
                <w:sz w:val="17"/>
                <w:szCs w:val="17"/>
                <w:lang w:val="fr-CA" w:eastAsia="en-CA"/>
              </w:rPr>
              <w:t xml:space="preserve"> </w:t>
            </w:r>
            <w:r w:rsidRPr="00465B94">
              <w:rPr>
                <w:color w:val="000000"/>
                <w:kern w:val="22"/>
                <w:sz w:val="17"/>
                <w:szCs w:val="17"/>
                <w:lang w:val="fr-CA" w:eastAsia="en-CA"/>
              </w:rPr>
              <w:t>845</w:t>
            </w:r>
            <w:r w:rsidR="00566464">
              <w:rPr>
                <w:color w:val="000000"/>
                <w:kern w:val="22"/>
                <w:sz w:val="17"/>
                <w:szCs w:val="17"/>
                <w:lang w:val="fr-CA" w:eastAsia="en-CA"/>
              </w:rPr>
              <w:t>,</w:t>
            </w:r>
            <w:r w:rsidRPr="00465B94">
              <w:rPr>
                <w:color w:val="000000"/>
                <w:kern w:val="22"/>
                <w:sz w:val="17"/>
                <w:szCs w:val="17"/>
                <w:lang w:val="fr-CA" w:eastAsia="en-CA"/>
              </w:rPr>
              <w:t>0</w:t>
            </w:r>
          </w:p>
        </w:tc>
        <w:tc>
          <w:tcPr>
            <w:tcW w:w="160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4</w:t>
            </w:r>
            <w:r w:rsidR="006A37D7" w:rsidRPr="00465B94">
              <w:rPr>
                <w:color w:val="000000"/>
                <w:kern w:val="22"/>
                <w:sz w:val="17"/>
                <w:szCs w:val="17"/>
                <w:lang w:val="fr-CA" w:eastAsia="en-CA"/>
              </w:rPr>
              <w:t xml:space="preserve"> </w:t>
            </w:r>
            <w:r w:rsidRPr="00465B94">
              <w:rPr>
                <w:color w:val="000000"/>
                <w:kern w:val="22"/>
                <w:sz w:val="17"/>
                <w:szCs w:val="17"/>
                <w:lang w:val="fr-CA" w:eastAsia="en-CA"/>
              </w:rPr>
              <w:t>052</w:t>
            </w:r>
            <w:r w:rsidR="00566464">
              <w:rPr>
                <w:color w:val="000000"/>
                <w:kern w:val="22"/>
                <w:sz w:val="17"/>
                <w:szCs w:val="17"/>
                <w:lang w:val="fr-CA" w:eastAsia="en-CA"/>
              </w:rPr>
              <w:t>,</w:t>
            </w:r>
            <w:r w:rsidRPr="00465B94">
              <w:rPr>
                <w:color w:val="000000"/>
                <w:kern w:val="22"/>
                <w:sz w:val="17"/>
                <w:szCs w:val="17"/>
                <w:lang w:val="fr-CA" w:eastAsia="en-CA"/>
              </w:rPr>
              <w:t>6</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7</w:t>
            </w:r>
            <w:r w:rsidR="006A37D7" w:rsidRPr="00465B94">
              <w:rPr>
                <w:color w:val="000000"/>
                <w:kern w:val="22"/>
                <w:sz w:val="17"/>
                <w:szCs w:val="17"/>
                <w:lang w:val="fr-CA" w:eastAsia="en-CA"/>
              </w:rPr>
              <w:t xml:space="preserve"> </w:t>
            </w:r>
            <w:r w:rsidRPr="00465B94">
              <w:rPr>
                <w:color w:val="000000"/>
                <w:kern w:val="22"/>
                <w:sz w:val="17"/>
                <w:szCs w:val="17"/>
                <w:lang w:val="fr-CA" w:eastAsia="en-CA"/>
              </w:rPr>
              <w:t>897</w:t>
            </w:r>
            <w:r w:rsidR="00566464">
              <w:rPr>
                <w:color w:val="000000"/>
                <w:kern w:val="22"/>
                <w:sz w:val="17"/>
                <w:szCs w:val="17"/>
                <w:lang w:val="fr-CA" w:eastAsia="en-CA"/>
              </w:rPr>
              <w:t>,</w:t>
            </w:r>
            <w:r w:rsidRPr="00465B94">
              <w:rPr>
                <w:color w:val="000000"/>
                <w:kern w:val="22"/>
                <w:sz w:val="17"/>
                <w:szCs w:val="17"/>
                <w:lang w:val="fr-CA" w:eastAsia="en-CA"/>
              </w:rPr>
              <w:t>6</w:t>
            </w:r>
          </w:p>
        </w:tc>
      </w:tr>
      <w:tr w:rsidR="003F3847" w:rsidRPr="00465B94" w:rsidTr="003F3847">
        <w:trPr>
          <w:trHeight w:val="300"/>
        </w:trPr>
        <w:tc>
          <w:tcPr>
            <w:tcW w:w="4520" w:type="dxa"/>
            <w:tcBorders>
              <w:top w:val="nil"/>
              <w:left w:val="nil"/>
              <w:bottom w:val="single" w:sz="12" w:space="0" w:color="auto"/>
              <w:right w:val="nil"/>
            </w:tcBorders>
            <w:shd w:val="clear" w:color="auto" w:fill="auto"/>
            <w:hideMark/>
          </w:tcPr>
          <w:p w:rsidR="003F3847" w:rsidRPr="00465B94" w:rsidRDefault="00566464" w:rsidP="003F3847">
            <w:pPr>
              <w:jc w:val="left"/>
              <w:rPr>
                <w:b/>
                <w:bCs/>
                <w:color w:val="000000"/>
                <w:kern w:val="22"/>
                <w:sz w:val="17"/>
                <w:szCs w:val="17"/>
                <w:lang w:val="fr-CA" w:eastAsia="en-CA"/>
              </w:rPr>
            </w:pPr>
            <w:r>
              <w:rPr>
                <w:b/>
                <w:bCs/>
                <w:color w:val="000000"/>
                <w:kern w:val="22"/>
                <w:sz w:val="17"/>
                <w:szCs w:val="17"/>
                <w:lang w:val="fr-CA" w:eastAsia="en-CA"/>
              </w:rPr>
              <w:t>Sous-total</w:t>
            </w:r>
          </w:p>
        </w:tc>
        <w:tc>
          <w:tcPr>
            <w:tcW w:w="136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16</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718</w:t>
            </w:r>
            <w:r w:rsidR="00566464">
              <w:rPr>
                <w:b/>
                <w:bCs/>
                <w:color w:val="000000"/>
                <w:kern w:val="22"/>
                <w:sz w:val="17"/>
                <w:szCs w:val="17"/>
                <w:lang w:val="fr-CA" w:eastAsia="en-CA"/>
              </w:rPr>
              <w:t>,</w:t>
            </w:r>
            <w:r w:rsidRPr="00465B94">
              <w:rPr>
                <w:b/>
                <w:bCs/>
                <w:color w:val="000000"/>
                <w:kern w:val="22"/>
                <w:sz w:val="17"/>
                <w:szCs w:val="17"/>
                <w:lang w:val="fr-CA" w:eastAsia="en-CA"/>
              </w:rPr>
              <w:t>9</w:t>
            </w:r>
          </w:p>
        </w:tc>
        <w:tc>
          <w:tcPr>
            <w:tcW w:w="160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17</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490</w:t>
            </w:r>
            <w:r w:rsidR="00566464">
              <w:rPr>
                <w:b/>
                <w:bCs/>
                <w:color w:val="000000"/>
                <w:kern w:val="22"/>
                <w:sz w:val="17"/>
                <w:szCs w:val="17"/>
                <w:lang w:val="fr-CA" w:eastAsia="en-CA"/>
              </w:rPr>
              <w:t>,</w:t>
            </w:r>
            <w:r w:rsidRPr="00465B94">
              <w:rPr>
                <w:b/>
                <w:bCs/>
                <w:color w:val="000000"/>
                <w:kern w:val="22"/>
                <w:sz w:val="17"/>
                <w:szCs w:val="17"/>
                <w:lang w:val="fr-CA" w:eastAsia="en-CA"/>
              </w:rPr>
              <w:t>5</w:t>
            </w:r>
          </w:p>
        </w:tc>
        <w:tc>
          <w:tcPr>
            <w:tcW w:w="1640" w:type="dxa"/>
            <w:tcBorders>
              <w:top w:val="nil"/>
              <w:left w:val="nil"/>
              <w:bottom w:val="single" w:sz="12"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34</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209</w:t>
            </w:r>
            <w:r w:rsidR="00566464">
              <w:rPr>
                <w:b/>
                <w:bCs/>
                <w:color w:val="000000"/>
                <w:kern w:val="22"/>
                <w:sz w:val="17"/>
                <w:szCs w:val="17"/>
                <w:lang w:val="fr-CA" w:eastAsia="en-CA"/>
              </w:rPr>
              <w:t>,</w:t>
            </w:r>
            <w:r w:rsidRPr="00465B94">
              <w:rPr>
                <w:b/>
                <w:bCs/>
                <w:color w:val="000000"/>
                <w:kern w:val="22"/>
                <w:sz w:val="17"/>
                <w:szCs w:val="17"/>
                <w:lang w:val="fr-CA" w:eastAsia="en-CA"/>
              </w:rPr>
              <w:t>4</w:t>
            </w:r>
          </w:p>
        </w:tc>
      </w:tr>
      <w:tr w:rsidR="003F3847" w:rsidRPr="00465B94" w:rsidTr="003F3847">
        <w:trPr>
          <w:trHeight w:val="300"/>
        </w:trPr>
        <w:tc>
          <w:tcPr>
            <w:tcW w:w="4520" w:type="dxa"/>
            <w:tcBorders>
              <w:top w:val="nil"/>
              <w:left w:val="nil"/>
              <w:bottom w:val="nil"/>
              <w:right w:val="nil"/>
            </w:tcBorders>
            <w:shd w:val="clear" w:color="auto" w:fill="auto"/>
            <w:hideMark/>
          </w:tcPr>
          <w:p w:rsidR="003F3847" w:rsidRPr="00465B94" w:rsidRDefault="00566464" w:rsidP="003F3847">
            <w:pPr>
              <w:jc w:val="left"/>
              <w:rPr>
                <w:color w:val="000000"/>
                <w:kern w:val="22"/>
                <w:sz w:val="17"/>
                <w:szCs w:val="17"/>
                <w:lang w:val="fr-CA" w:eastAsia="en-CA"/>
              </w:rPr>
            </w:pPr>
            <w:r>
              <w:rPr>
                <w:color w:val="000000"/>
                <w:kern w:val="22"/>
                <w:sz w:val="17"/>
                <w:szCs w:val="17"/>
                <w:lang w:val="fr-CA" w:eastAsia="en-CA"/>
              </w:rPr>
              <w:t>Coûts d’appui au programme</w:t>
            </w:r>
          </w:p>
        </w:tc>
        <w:tc>
          <w:tcPr>
            <w:tcW w:w="1360" w:type="dxa"/>
            <w:tcBorders>
              <w:top w:val="nil"/>
              <w:left w:val="nil"/>
              <w:bottom w:val="nil"/>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6A37D7" w:rsidRPr="00465B94">
              <w:rPr>
                <w:color w:val="000000"/>
                <w:kern w:val="22"/>
                <w:sz w:val="17"/>
                <w:szCs w:val="17"/>
                <w:lang w:val="fr-CA" w:eastAsia="en-CA"/>
              </w:rPr>
              <w:t xml:space="preserve"> </w:t>
            </w:r>
            <w:r w:rsidRPr="00465B94">
              <w:rPr>
                <w:color w:val="000000"/>
                <w:kern w:val="22"/>
                <w:sz w:val="17"/>
                <w:szCs w:val="17"/>
                <w:lang w:val="fr-CA" w:eastAsia="en-CA"/>
              </w:rPr>
              <w:t>173</w:t>
            </w:r>
            <w:r w:rsidR="00566464">
              <w:rPr>
                <w:color w:val="000000"/>
                <w:kern w:val="22"/>
                <w:sz w:val="17"/>
                <w:szCs w:val="17"/>
                <w:lang w:val="fr-CA" w:eastAsia="en-CA"/>
              </w:rPr>
              <w:t>,</w:t>
            </w:r>
            <w:r w:rsidRPr="00465B94">
              <w:rPr>
                <w:color w:val="000000"/>
                <w:kern w:val="22"/>
                <w:sz w:val="17"/>
                <w:szCs w:val="17"/>
                <w:lang w:val="fr-CA" w:eastAsia="en-CA"/>
              </w:rPr>
              <w:t>4</w:t>
            </w:r>
          </w:p>
        </w:tc>
        <w:tc>
          <w:tcPr>
            <w:tcW w:w="1600" w:type="dxa"/>
            <w:tcBorders>
              <w:top w:val="nil"/>
              <w:left w:val="nil"/>
              <w:bottom w:val="nil"/>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2</w:t>
            </w:r>
            <w:r w:rsidR="006A37D7" w:rsidRPr="00465B94">
              <w:rPr>
                <w:color w:val="000000"/>
                <w:kern w:val="22"/>
                <w:sz w:val="17"/>
                <w:szCs w:val="17"/>
                <w:lang w:val="fr-CA" w:eastAsia="en-CA"/>
              </w:rPr>
              <w:t xml:space="preserve"> </w:t>
            </w:r>
            <w:r w:rsidRPr="00465B94">
              <w:rPr>
                <w:color w:val="000000"/>
                <w:kern w:val="22"/>
                <w:sz w:val="17"/>
                <w:szCs w:val="17"/>
                <w:lang w:val="fr-CA" w:eastAsia="en-CA"/>
              </w:rPr>
              <w:t>273</w:t>
            </w:r>
            <w:r w:rsidR="00566464">
              <w:rPr>
                <w:color w:val="000000"/>
                <w:kern w:val="22"/>
                <w:sz w:val="17"/>
                <w:szCs w:val="17"/>
                <w:lang w:val="fr-CA" w:eastAsia="en-CA"/>
              </w:rPr>
              <w:t>,</w:t>
            </w:r>
            <w:r w:rsidRPr="00465B94">
              <w:rPr>
                <w:color w:val="000000"/>
                <w:kern w:val="22"/>
                <w:sz w:val="17"/>
                <w:szCs w:val="17"/>
                <w:lang w:val="fr-CA" w:eastAsia="en-CA"/>
              </w:rPr>
              <w:t>9</w:t>
            </w:r>
          </w:p>
        </w:tc>
        <w:tc>
          <w:tcPr>
            <w:tcW w:w="1640" w:type="dxa"/>
            <w:tcBorders>
              <w:top w:val="nil"/>
              <w:left w:val="nil"/>
              <w:bottom w:val="nil"/>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4</w:t>
            </w:r>
            <w:r w:rsidR="006A37D7" w:rsidRPr="00465B94">
              <w:rPr>
                <w:color w:val="000000"/>
                <w:kern w:val="22"/>
                <w:sz w:val="17"/>
                <w:szCs w:val="17"/>
                <w:lang w:val="fr-CA" w:eastAsia="en-CA"/>
              </w:rPr>
              <w:t xml:space="preserve"> </w:t>
            </w:r>
            <w:r w:rsidRPr="00465B94">
              <w:rPr>
                <w:color w:val="000000"/>
                <w:kern w:val="22"/>
                <w:sz w:val="17"/>
                <w:szCs w:val="17"/>
                <w:lang w:val="fr-CA" w:eastAsia="en-CA"/>
              </w:rPr>
              <w:t>447</w:t>
            </w:r>
            <w:r w:rsidR="00566464">
              <w:rPr>
                <w:color w:val="000000"/>
                <w:kern w:val="22"/>
                <w:sz w:val="17"/>
                <w:szCs w:val="17"/>
                <w:lang w:val="fr-CA" w:eastAsia="en-CA"/>
              </w:rPr>
              <w:t>,</w:t>
            </w:r>
            <w:r w:rsidRPr="00465B94">
              <w:rPr>
                <w:color w:val="000000"/>
                <w:kern w:val="22"/>
                <w:sz w:val="17"/>
                <w:szCs w:val="17"/>
                <w:lang w:val="fr-CA" w:eastAsia="en-CA"/>
              </w:rPr>
              <w:t>2</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566464">
            <w:pPr>
              <w:jc w:val="left"/>
              <w:rPr>
                <w:b/>
                <w:bCs/>
                <w:color w:val="000000"/>
                <w:kern w:val="22"/>
                <w:sz w:val="17"/>
                <w:szCs w:val="17"/>
                <w:lang w:val="fr-CA" w:eastAsia="en-CA"/>
              </w:rPr>
            </w:pPr>
            <w:r w:rsidRPr="00465B94">
              <w:rPr>
                <w:b/>
                <w:bCs/>
                <w:color w:val="000000"/>
                <w:kern w:val="22"/>
                <w:sz w:val="17"/>
                <w:szCs w:val="17"/>
                <w:lang w:val="fr-CA" w:eastAsia="en-CA"/>
              </w:rPr>
              <w:t xml:space="preserve">III. </w:t>
            </w:r>
            <w:r w:rsidR="00566464">
              <w:rPr>
                <w:b/>
                <w:bCs/>
                <w:color w:val="000000"/>
                <w:kern w:val="22"/>
                <w:sz w:val="17"/>
                <w:szCs w:val="17"/>
                <w:lang w:val="fr-CA" w:eastAsia="en-CA"/>
              </w:rPr>
              <w:t>Réserve du fonds de roulement</w:t>
            </w:r>
          </w:p>
        </w:tc>
        <w:tc>
          <w:tcPr>
            <w:tcW w:w="1360" w:type="dxa"/>
            <w:tcBorders>
              <w:top w:val="nil"/>
              <w:left w:val="nil"/>
              <w:bottom w:val="single" w:sz="8" w:space="0" w:color="auto"/>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56</w:t>
            </w:r>
            <w:r w:rsidR="00566464">
              <w:rPr>
                <w:color w:val="000000"/>
                <w:kern w:val="22"/>
                <w:sz w:val="17"/>
                <w:szCs w:val="17"/>
                <w:lang w:val="fr-CA" w:eastAsia="en-CA"/>
              </w:rPr>
              <w:t>,</w:t>
            </w:r>
            <w:r w:rsidRPr="00465B94">
              <w:rPr>
                <w:color w:val="000000"/>
                <w:kern w:val="22"/>
                <w:sz w:val="17"/>
                <w:szCs w:val="17"/>
                <w:lang w:val="fr-CA" w:eastAsia="en-CA"/>
              </w:rPr>
              <w:t>6</w:t>
            </w:r>
          </w:p>
        </w:tc>
        <w:tc>
          <w:tcPr>
            <w:tcW w:w="1600" w:type="dxa"/>
            <w:tcBorders>
              <w:top w:val="nil"/>
              <w:left w:val="nil"/>
              <w:bottom w:val="single" w:sz="8" w:space="0" w:color="auto"/>
              <w:right w:val="nil"/>
            </w:tcBorders>
            <w:shd w:val="clear" w:color="auto" w:fill="auto"/>
            <w:noWrap/>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130</w:t>
            </w:r>
            <w:r w:rsidR="00566464">
              <w:rPr>
                <w:color w:val="000000"/>
                <w:kern w:val="22"/>
                <w:sz w:val="17"/>
                <w:szCs w:val="17"/>
                <w:lang w:val="fr-CA" w:eastAsia="en-CA"/>
              </w:rPr>
              <w:t>,</w:t>
            </w:r>
            <w:r w:rsidRPr="00465B94">
              <w:rPr>
                <w:color w:val="000000"/>
                <w:kern w:val="22"/>
                <w:sz w:val="17"/>
                <w:szCs w:val="17"/>
                <w:lang w:val="fr-CA" w:eastAsia="en-CA"/>
              </w:rPr>
              <w:t>8</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color w:val="000000"/>
                <w:kern w:val="22"/>
                <w:sz w:val="17"/>
                <w:szCs w:val="17"/>
                <w:lang w:val="fr-CA" w:eastAsia="en-CA"/>
              </w:rPr>
            </w:pPr>
            <w:r w:rsidRPr="00465B94">
              <w:rPr>
                <w:color w:val="000000"/>
                <w:kern w:val="22"/>
                <w:sz w:val="17"/>
                <w:szCs w:val="17"/>
                <w:lang w:val="fr-CA" w:eastAsia="en-CA"/>
              </w:rPr>
              <w:t>187</w:t>
            </w:r>
            <w:r w:rsidR="00566464">
              <w:rPr>
                <w:color w:val="000000"/>
                <w:kern w:val="22"/>
                <w:sz w:val="17"/>
                <w:szCs w:val="17"/>
                <w:lang w:val="fr-CA" w:eastAsia="en-CA"/>
              </w:rPr>
              <w:t>,</w:t>
            </w:r>
            <w:r w:rsidRPr="00465B94">
              <w:rPr>
                <w:color w:val="000000"/>
                <w:kern w:val="22"/>
                <w:sz w:val="17"/>
                <w:szCs w:val="17"/>
                <w:lang w:val="fr-CA" w:eastAsia="en-CA"/>
              </w:rPr>
              <w:t>5</w:t>
            </w:r>
          </w:p>
        </w:tc>
      </w:tr>
      <w:tr w:rsidR="003F3847" w:rsidRPr="00465B94" w:rsidTr="003F3847">
        <w:trPr>
          <w:trHeight w:val="300"/>
        </w:trPr>
        <w:tc>
          <w:tcPr>
            <w:tcW w:w="4520" w:type="dxa"/>
            <w:tcBorders>
              <w:top w:val="nil"/>
              <w:left w:val="nil"/>
              <w:bottom w:val="single" w:sz="8" w:space="0" w:color="auto"/>
              <w:right w:val="nil"/>
            </w:tcBorders>
            <w:shd w:val="clear" w:color="auto" w:fill="auto"/>
            <w:hideMark/>
          </w:tcPr>
          <w:p w:rsidR="003F3847" w:rsidRPr="00465B94" w:rsidRDefault="003F3847" w:rsidP="003F3847">
            <w:pPr>
              <w:jc w:val="left"/>
              <w:rPr>
                <w:b/>
                <w:bCs/>
                <w:color w:val="000000"/>
                <w:kern w:val="22"/>
                <w:sz w:val="17"/>
                <w:szCs w:val="17"/>
                <w:lang w:val="fr-CA" w:eastAsia="en-CA"/>
              </w:rPr>
            </w:pPr>
            <w:r w:rsidRPr="00465B94">
              <w:rPr>
                <w:b/>
                <w:bCs/>
                <w:color w:val="000000"/>
                <w:kern w:val="22"/>
                <w:sz w:val="17"/>
                <w:szCs w:val="17"/>
                <w:lang w:val="fr-CA" w:eastAsia="en-CA"/>
              </w:rPr>
              <w:t>Total</w:t>
            </w:r>
          </w:p>
        </w:tc>
        <w:tc>
          <w:tcPr>
            <w:tcW w:w="1360" w:type="dxa"/>
            <w:tcBorders>
              <w:top w:val="nil"/>
              <w:left w:val="nil"/>
              <w:bottom w:val="single" w:sz="8" w:space="0" w:color="auto"/>
              <w:right w:val="nil"/>
            </w:tcBorders>
            <w:shd w:val="clear" w:color="auto" w:fill="auto"/>
            <w:noWrap/>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18</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948</w:t>
            </w:r>
            <w:r w:rsidR="00566464">
              <w:rPr>
                <w:b/>
                <w:bCs/>
                <w:color w:val="000000"/>
                <w:kern w:val="22"/>
                <w:sz w:val="17"/>
                <w:szCs w:val="17"/>
                <w:lang w:val="fr-CA" w:eastAsia="en-CA"/>
              </w:rPr>
              <w:t>,</w:t>
            </w:r>
            <w:r w:rsidRPr="00465B94">
              <w:rPr>
                <w:b/>
                <w:bCs/>
                <w:color w:val="000000"/>
                <w:kern w:val="22"/>
                <w:sz w:val="17"/>
                <w:szCs w:val="17"/>
                <w:lang w:val="fr-CA" w:eastAsia="en-CA"/>
              </w:rPr>
              <w:t>9</w:t>
            </w:r>
          </w:p>
        </w:tc>
        <w:tc>
          <w:tcPr>
            <w:tcW w:w="1600" w:type="dxa"/>
            <w:tcBorders>
              <w:top w:val="nil"/>
              <w:left w:val="nil"/>
              <w:bottom w:val="single" w:sz="8" w:space="0" w:color="auto"/>
              <w:right w:val="nil"/>
            </w:tcBorders>
            <w:shd w:val="clear" w:color="auto" w:fill="auto"/>
            <w:noWrap/>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19</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895</w:t>
            </w:r>
            <w:r w:rsidR="00566464">
              <w:rPr>
                <w:b/>
                <w:bCs/>
                <w:color w:val="000000"/>
                <w:kern w:val="22"/>
                <w:sz w:val="17"/>
                <w:szCs w:val="17"/>
                <w:lang w:val="fr-CA" w:eastAsia="en-CA"/>
              </w:rPr>
              <w:t>,</w:t>
            </w:r>
            <w:r w:rsidRPr="00465B94">
              <w:rPr>
                <w:b/>
                <w:bCs/>
                <w:color w:val="000000"/>
                <w:kern w:val="22"/>
                <w:sz w:val="17"/>
                <w:szCs w:val="17"/>
                <w:lang w:val="fr-CA" w:eastAsia="en-CA"/>
              </w:rPr>
              <w:t>2</w:t>
            </w:r>
          </w:p>
        </w:tc>
        <w:tc>
          <w:tcPr>
            <w:tcW w:w="1640" w:type="dxa"/>
            <w:tcBorders>
              <w:top w:val="nil"/>
              <w:left w:val="nil"/>
              <w:bottom w:val="single" w:sz="8" w:space="0" w:color="auto"/>
              <w:right w:val="nil"/>
            </w:tcBorders>
            <w:shd w:val="clear" w:color="auto" w:fill="auto"/>
            <w:hideMark/>
          </w:tcPr>
          <w:p w:rsidR="003F3847" w:rsidRPr="00465B94" w:rsidRDefault="003F3847" w:rsidP="003F3847">
            <w:pPr>
              <w:jc w:val="right"/>
              <w:rPr>
                <w:b/>
                <w:bCs/>
                <w:color w:val="000000"/>
                <w:kern w:val="22"/>
                <w:sz w:val="17"/>
                <w:szCs w:val="17"/>
                <w:lang w:val="fr-CA" w:eastAsia="en-CA"/>
              </w:rPr>
            </w:pPr>
            <w:r w:rsidRPr="00465B94">
              <w:rPr>
                <w:b/>
                <w:bCs/>
                <w:color w:val="000000"/>
                <w:kern w:val="22"/>
                <w:sz w:val="17"/>
                <w:szCs w:val="17"/>
                <w:lang w:val="fr-CA" w:eastAsia="en-CA"/>
              </w:rPr>
              <w:t>38</w:t>
            </w:r>
            <w:r w:rsidR="006A37D7" w:rsidRPr="00465B94">
              <w:rPr>
                <w:b/>
                <w:bCs/>
                <w:color w:val="000000"/>
                <w:kern w:val="22"/>
                <w:sz w:val="17"/>
                <w:szCs w:val="17"/>
                <w:lang w:val="fr-CA" w:eastAsia="en-CA"/>
              </w:rPr>
              <w:t xml:space="preserve"> </w:t>
            </w:r>
            <w:r w:rsidRPr="00465B94">
              <w:rPr>
                <w:b/>
                <w:bCs/>
                <w:color w:val="000000"/>
                <w:kern w:val="22"/>
                <w:sz w:val="17"/>
                <w:szCs w:val="17"/>
                <w:lang w:val="fr-CA" w:eastAsia="en-CA"/>
              </w:rPr>
              <w:t>844</w:t>
            </w:r>
            <w:r w:rsidR="00566464">
              <w:rPr>
                <w:b/>
                <w:bCs/>
                <w:color w:val="000000"/>
                <w:kern w:val="22"/>
                <w:sz w:val="17"/>
                <w:szCs w:val="17"/>
                <w:lang w:val="fr-CA" w:eastAsia="en-CA"/>
              </w:rPr>
              <w:t>,</w:t>
            </w:r>
            <w:r w:rsidRPr="00465B94">
              <w:rPr>
                <w:b/>
                <w:bCs/>
                <w:color w:val="000000"/>
                <w:kern w:val="22"/>
                <w:sz w:val="17"/>
                <w:szCs w:val="17"/>
                <w:lang w:val="fr-CA" w:eastAsia="en-CA"/>
              </w:rPr>
              <w:t>1</w:t>
            </w:r>
          </w:p>
        </w:tc>
      </w:tr>
      <w:tr w:rsidR="00566464" w:rsidRPr="00465B94" w:rsidTr="003F3847">
        <w:trPr>
          <w:trHeight w:val="288"/>
        </w:trPr>
        <w:tc>
          <w:tcPr>
            <w:tcW w:w="4520" w:type="dxa"/>
            <w:tcBorders>
              <w:top w:val="nil"/>
              <w:left w:val="nil"/>
              <w:bottom w:val="single" w:sz="4" w:space="0" w:color="auto"/>
              <w:right w:val="nil"/>
            </w:tcBorders>
            <w:shd w:val="clear" w:color="auto" w:fill="auto"/>
            <w:vAlign w:val="center"/>
            <w:hideMark/>
          </w:tcPr>
          <w:p w:rsidR="00566464" w:rsidRPr="00465B94" w:rsidRDefault="0017200F" w:rsidP="0017200F">
            <w:pPr>
              <w:jc w:val="left"/>
              <w:rPr>
                <w:kern w:val="22"/>
                <w:sz w:val="17"/>
                <w:szCs w:val="17"/>
                <w:lang w:val="fr-CA" w:eastAsia="en-CA"/>
              </w:rPr>
            </w:pPr>
            <w:r>
              <w:rPr>
                <w:kern w:val="22"/>
                <w:sz w:val="17"/>
                <w:szCs w:val="17"/>
                <w:lang w:val="fr-CA" w:eastAsia="en-CA"/>
              </w:rPr>
              <w:t>Part du Protocole de Nagoya du budget intégré</w:t>
            </w:r>
            <w:r w:rsidRPr="00E02578">
              <w:rPr>
                <w:kern w:val="22"/>
                <w:sz w:val="17"/>
                <w:szCs w:val="17"/>
                <w:lang w:val="fr-CA" w:eastAsia="en-CA"/>
              </w:rPr>
              <w:t xml:space="preserve"> </w:t>
            </w:r>
            <w:r w:rsidR="00566464" w:rsidRPr="00465B94">
              <w:rPr>
                <w:kern w:val="22"/>
                <w:sz w:val="17"/>
                <w:szCs w:val="17"/>
                <w:lang w:val="fr-CA" w:eastAsia="en-CA"/>
              </w:rPr>
              <w:t>(11</w:t>
            </w:r>
            <w:r w:rsidR="00566464">
              <w:rPr>
                <w:kern w:val="22"/>
                <w:sz w:val="17"/>
                <w:szCs w:val="17"/>
                <w:lang w:val="fr-CA" w:eastAsia="en-CA"/>
              </w:rPr>
              <w:t xml:space="preserve"> </w:t>
            </w:r>
            <w:r w:rsidR="00566464" w:rsidRPr="00465B94">
              <w:rPr>
                <w:kern w:val="22"/>
                <w:sz w:val="17"/>
                <w:szCs w:val="17"/>
                <w:lang w:val="fr-CA" w:eastAsia="en-CA"/>
              </w:rPr>
              <w:t>%)</w:t>
            </w:r>
          </w:p>
        </w:tc>
        <w:tc>
          <w:tcPr>
            <w:tcW w:w="1360" w:type="dxa"/>
            <w:tcBorders>
              <w:top w:val="nil"/>
              <w:left w:val="nil"/>
              <w:bottom w:val="single" w:sz="4" w:space="0" w:color="auto"/>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2 084</w:t>
            </w:r>
            <w:r>
              <w:rPr>
                <w:kern w:val="22"/>
                <w:sz w:val="17"/>
                <w:szCs w:val="17"/>
                <w:lang w:val="fr-CA" w:eastAsia="en-CA"/>
              </w:rPr>
              <w:t>,</w:t>
            </w:r>
            <w:r w:rsidRPr="00465B94">
              <w:rPr>
                <w:kern w:val="22"/>
                <w:sz w:val="17"/>
                <w:szCs w:val="17"/>
                <w:lang w:val="fr-CA" w:eastAsia="en-CA"/>
              </w:rPr>
              <w:t>4</w:t>
            </w:r>
          </w:p>
        </w:tc>
        <w:tc>
          <w:tcPr>
            <w:tcW w:w="1600" w:type="dxa"/>
            <w:tcBorders>
              <w:top w:val="nil"/>
              <w:left w:val="nil"/>
              <w:bottom w:val="single" w:sz="4" w:space="0" w:color="auto"/>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2 188</w:t>
            </w:r>
            <w:r>
              <w:rPr>
                <w:kern w:val="22"/>
                <w:sz w:val="17"/>
                <w:szCs w:val="17"/>
                <w:lang w:val="fr-CA" w:eastAsia="en-CA"/>
              </w:rPr>
              <w:t>,</w:t>
            </w:r>
            <w:r w:rsidRPr="00465B94">
              <w:rPr>
                <w:kern w:val="22"/>
                <w:sz w:val="17"/>
                <w:szCs w:val="17"/>
                <w:lang w:val="fr-CA" w:eastAsia="en-CA"/>
              </w:rPr>
              <w:t>5</w:t>
            </w:r>
          </w:p>
        </w:tc>
        <w:tc>
          <w:tcPr>
            <w:tcW w:w="1640" w:type="dxa"/>
            <w:tcBorders>
              <w:top w:val="nil"/>
              <w:left w:val="nil"/>
              <w:bottom w:val="single" w:sz="4" w:space="0" w:color="auto"/>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4 272</w:t>
            </w:r>
            <w:r>
              <w:rPr>
                <w:kern w:val="22"/>
                <w:sz w:val="17"/>
                <w:szCs w:val="17"/>
                <w:lang w:val="fr-CA" w:eastAsia="en-CA"/>
              </w:rPr>
              <w:t>,</w:t>
            </w:r>
            <w:r w:rsidRPr="00465B94">
              <w:rPr>
                <w:kern w:val="22"/>
                <w:sz w:val="17"/>
                <w:szCs w:val="17"/>
                <w:lang w:val="fr-CA" w:eastAsia="en-CA"/>
              </w:rPr>
              <w:t>9</w:t>
            </w:r>
          </w:p>
        </w:tc>
      </w:tr>
      <w:tr w:rsidR="00566464" w:rsidRPr="00465B94" w:rsidTr="003F3847">
        <w:trPr>
          <w:trHeight w:val="288"/>
        </w:trPr>
        <w:tc>
          <w:tcPr>
            <w:tcW w:w="4520" w:type="dxa"/>
            <w:tcBorders>
              <w:top w:val="nil"/>
              <w:left w:val="nil"/>
              <w:bottom w:val="nil"/>
              <w:right w:val="nil"/>
            </w:tcBorders>
            <w:shd w:val="clear" w:color="auto" w:fill="auto"/>
            <w:hideMark/>
          </w:tcPr>
          <w:p w:rsidR="00566464" w:rsidRPr="00F24602" w:rsidRDefault="00566464" w:rsidP="00566464">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Pr="00F24602">
              <w:rPr>
                <w:color w:val="000000"/>
                <w:kern w:val="22"/>
                <w:sz w:val="17"/>
                <w:szCs w:val="17"/>
                <w:lang w:val="fr-CA" w:eastAsia="en-CA"/>
              </w:rPr>
              <w:t>:  Contribution du pays h</w:t>
            </w:r>
            <w:r>
              <w:rPr>
                <w:color w:val="000000"/>
                <w:kern w:val="22"/>
                <w:sz w:val="17"/>
                <w:szCs w:val="17"/>
                <w:lang w:val="fr-CA" w:eastAsia="en-CA"/>
              </w:rPr>
              <w:t>ôte</w:t>
            </w:r>
          </w:p>
        </w:tc>
        <w:tc>
          <w:tcPr>
            <w:tcW w:w="136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(135</w:t>
            </w:r>
            <w:r>
              <w:rPr>
                <w:kern w:val="22"/>
                <w:sz w:val="17"/>
                <w:szCs w:val="17"/>
                <w:lang w:val="fr-CA" w:eastAsia="en-CA"/>
              </w:rPr>
              <w:t>,</w:t>
            </w:r>
            <w:r w:rsidRPr="00465B94">
              <w:rPr>
                <w:kern w:val="22"/>
                <w:sz w:val="17"/>
                <w:szCs w:val="17"/>
                <w:lang w:val="fr-CA" w:eastAsia="en-CA"/>
              </w:rPr>
              <w:t>2)</w:t>
            </w:r>
          </w:p>
        </w:tc>
        <w:tc>
          <w:tcPr>
            <w:tcW w:w="160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(156</w:t>
            </w:r>
            <w:r>
              <w:rPr>
                <w:kern w:val="22"/>
                <w:sz w:val="17"/>
                <w:szCs w:val="17"/>
                <w:lang w:val="fr-CA" w:eastAsia="en-CA"/>
              </w:rPr>
              <w:t>,</w:t>
            </w:r>
            <w:r w:rsidRPr="00465B94">
              <w:rPr>
                <w:kern w:val="22"/>
                <w:sz w:val="17"/>
                <w:szCs w:val="17"/>
                <w:lang w:val="fr-CA" w:eastAsia="en-CA"/>
              </w:rPr>
              <w:t>6)</w:t>
            </w:r>
          </w:p>
        </w:tc>
        <w:tc>
          <w:tcPr>
            <w:tcW w:w="164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(291</w:t>
            </w:r>
            <w:r>
              <w:rPr>
                <w:kern w:val="22"/>
                <w:sz w:val="17"/>
                <w:szCs w:val="17"/>
                <w:lang w:val="fr-CA" w:eastAsia="en-CA"/>
              </w:rPr>
              <w:t>,</w:t>
            </w:r>
            <w:r w:rsidRPr="00465B94">
              <w:rPr>
                <w:kern w:val="22"/>
                <w:sz w:val="17"/>
                <w:szCs w:val="17"/>
                <w:lang w:val="fr-CA" w:eastAsia="en-CA"/>
              </w:rPr>
              <w:t>8)</w:t>
            </w:r>
          </w:p>
        </w:tc>
      </w:tr>
      <w:tr w:rsidR="00566464" w:rsidRPr="00465B94" w:rsidTr="003F3847">
        <w:trPr>
          <w:trHeight w:val="288"/>
        </w:trPr>
        <w:tc>
          <w:tcPr>
            <w:tcW w:w="4520" w:type="dxa"/>
            <w:tcBorders>
              <w:top w:val="nil"/>
              <w:left w:val="nil"/>
              <w:bottom w:val="nil"/>
              <w:right w:val="nil"/>
            </w:tcBorders>
            <w:shd w:val="clear" w:color="auto" w:fill="auto"/>
            <w:hideMark/>
          </w:tcPr>
          <w:p w:rsidR="00566464" w:rsidRPr="00F24602" w:rsidRDefault="00566464" w:rsidP="00566464">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Pr="00F24602">
              <w:rPr>
                <w:color w:val="000000"/>
                <w:kern w:val="22"/>
                <w:sz w:val="17"/>
                <w:szCs w:val="17"/>
                <w:lang w:val="fr-CA" w:eastAsia="en-CA"/>
              </w:rPr>
              <w:t xml:space="preserve">:  Utilisation des </w:t>
            </w:r>
            <w:r>
              <w:rPr>
                <w:color w:val="000000"/>
                <w:kern w:val="22"/>
                <w:sz w:val="17"/>
                <w:szCs w:val="17"/>
                <w:lang w:val="fr-CA" w:eastAsia="en-CA"/>
              </w:rPr>
              <w:t>ré</w:t>
            </w:r>
            <w:r w:rsidRPr="00F24602">
              <w:rPr>
                <w:color w:val="000000"/>
                <w:kern w:val="22"/>
                <w:sz w:val="17"/>
                <w:szCs w:val="17"/>
                <w:lang w:val="fr-CA" w:eastAsia="en-CA"/>
              </w:rPr>
              <w:t>serves pour les ré</w:t>
            </w:r>
            <w:r>
              <w:rPr>
                <w:color w:val="000000"/>
                <w:kern w:val="22"/>
                <w:sz w:val="17"/>
                <w:szCs w:val="17"/>
                <w:lang w:val="fr-CA" w:eastAsia="en-CA"/>
              </w:rPr>
              <w:t>unions extraordinaires</w:t>
            </w:r>
          </w:p>
        </w:tc>
        <w:tc>
          <w:tcPr>
            <w:tcW w:w="136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(93</w:t>
            </w:r>
            <w:r>
              <w:rPr>
                <w:kern w:val="22"/>
                <w:sz w:val="17"/>
                <w:szCs w:val="17"/>
                <w:lang w:val="fr-CA" w:eastAsia="en-CA"/>
              </w:rPr>
              <w:t>,</w:t>
            </w:r>
            <w:r w:rsidRPr="00465B94">
              <w:rPr>
                <w:kern w:val="22"/>
                <w:sz w:val="17"/>
                <w:szCs w:val="17"/>
                <w:lang w:val="fr-CA" w:eastAsia="en-CA"/>
              </w:rPr>
              <w:t>2)</w:t>
            </w:r>
          </w:p>
        </w:tc>
        <w:tc>
          <w:tcPr>
            <w:tcW w:w="160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(69</w:t>
            </w:r>
            <w:r>
              <w:rPr>
                <w:kern w:val="22"/>
                <w:sz w:val="17"/>
                <w:szCs w:val="17"/>
                <w:lang w:val="fr-CA" w:eastAsia="en-CA"/>
              </w:rPr>
              <w:t>,</w:t>
            </w:r>
            <w:r w:rsidRPr="00465B94">
              <w:rPr>
                <w:kern w:val="22"/>
                <w:sz w:val="17"/>
                <w:szCs w:val="17"/>
                <w:lang w:val="fr-CA" w:eastAsia="en-CA"/>
              </w:rPr>
              <w:t>6)</w:t>
            </w:r>
          </w:p>
        </w:tc>
        <w:tc>
          <w:tcPr>
            <w:tcW w:w="164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(162</w:t>
            </w:r>
            <w:r>
              <w:rPr>
                <w:kern w:val="22"/>
                <w:sz w:val="17"/>
                <w:szCs w:val="17"/>
                <w:lang w:val="fr-CA" w:eastAsia="en-CA"/>
              </w:rPr>
              <w:t>,</w:t>
            </w:r>
            <w:r w:rsidRPr="00465B94">
              <w:rPr>
                <w:kern w:val="22"/>
                <w:sz w:val="17"/>
                <w:szCs w:val="17"/>
                <w:lang w:val="fr-CA" w:eastAsia="en-CA"/>
              </w:rPr>
              <w:t>8)</w:t>
            </w:r>
          </w:p>
        </w:tc>
      </w:tr>
      <w:tr w:rsidR="00566464" w:rsidRPr="00465B94" w:rsidTr="003F3847">
        <w:trPr>
          <w:trHeight w:val="288"/>
        </w:trPr>
        <w:tc>
          <w:tcPr>
            <w:tcW w:w="4520" w:type="dxa"/>
            <w:tcBorders>
              <w:top w:val="nil"/>
              <w:left w:val="nil"/>
              <w:bottom w:val="nil"/>
              <w:right w:val="nil"/>
            </w:tcBorders>
            <w:shd w:val="clear" w:color="auto" w:fill="auto"/>
            <w:hideMark/>
          </w:tcPr>
          <w:p w:rsidR="00566464" w:rsidRPr="00F24602" w:rsidRDefault="00566464" w:rsidP="00AF78A1">
            <w:pPr>
              <w:jc w:val="left"/>
              <w:rPr>
                <w:color w:val="000000"/>
                <w:kern w:val="22"/>
                <w:sz w:val="17"/>
                <w:szCs w:val="17"/>
                <w:lang w:val="fr-CA" w:eastAsia="en-CA"/>
              </w:rPr>
            </w:pPr>
            <w:r w:rsidRPr="00F24602">
              <w:rPr>
                <w:color w:val="000000"/>
                <w:kern w:val="22"/>
                <w:sz w:val="17"/>
                <w:szCs w:val="17"/>
                <w:u w:val="single"/>
                <w:lang w:val="fr-CA" w:eastAsia="en-CA"/>
              </w:rPr>
              <w:t xml:space="preserve">Moins </w:t>
            </w:r>
            <w:r w:rsidRPr="00F24602">
              <w:rPr>
                <w:color w:val="000000"/>
                <w:kern w:val="22"/>
                <w:sz w:val="17"/>
                <w:szCs w:val="17"/>
                <w:lang w:val="fr-CA" w:eastAsia="en-CA"/>
              </w:rPr>
              <w:t xml:space="preserve">:  Utilisation des </w:t>
            </w:r>
            <w:r>
              <w:rPr>
                <w:color w:val="000000"/>
                <w:kern w:val="22"/>
                <w:sz w:val="17"/>
                <w:szCs w:val="17"/>
                <w:lang w:val="fr-CA" w:eastAsia="en-CA"/>
              </w:rPr>
              <w:t>ré</w:t>
            </w:r>
            <w:r w:rsidRPr="00F24602">
              <w:rPr>
                <w:color w:val="000000"/>
                <w:kern w:val="22"/>
                <w:sz w:val="17"/>
                <w:szCs w:val="17"/>
                <w:lang w:val="fr-CA" w:eastAsia="en-CA"/>
              </w:rPr>
              <w:t xml:space="preserve">serves des années </w:t>
            </w:r>
            <w:r w:rsidR="00AF78A1">
              <w:rPr>
                <w:color w:val="000000"/>
                <w:kern w:val="22"/>
                <w:sz w:val="17"/>
                <w:szCs w:val="17"/>
                <w:lang w:val="fr-CA" w:eastAsia="en-CA"/>
              </w:rPr>
              <w:t>précédentes</w:t>
            </w:r>
          </w:p>
        </w:tc>
        <w:tc>
          <w:tcPr>
            <w:tcW w:w="136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(94</w:t>
            </w:r>
            <w:r>
              <w:rPr>
                <w:kern w:val="22"/>
                <w:sz w:val="17"/>
                <w:szCs w:val="17"/>
                <w:lang w:val="fr-CA" w:eastAsia="en-CA"/>
              </w:rPr>
              <w:t>,</w:t>
            </w:r>
            <w:r w:rsidRPr="00465B94">
              <w:rPr>
                <w:kern w:val="22"/>
                <w:sz w:val="17"/>
                <w:szCs w:val="17"/>
                <w:lang w:val="fr-CA" w:eastAsia="en-CA"/>
              </w:rPr>
              <w:t>9)</w:t>
            </w:r>
          </w:p>
        </w:tc>
        <w:tc>
          <w:tcPr>
            <w:tcW w:w="160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(94</w:t>
            </w:r>
            <w:r>
              <w:rPr>
                <w:kern w:val="22"/>
                <w:sz w:val="17"/>
                <w:szCs w:val="17"/>
                <w:lang w:val="fr-CA" w:eastAsia="en-CA"/>
              </w:rPr>
              <w:t>,</w:t>
            </w:r>
            <w:r w:rsidRPr="00465B94">
              <w:rPr>
                <w:kern w:val="22"/>
                <w:sz w:val="17"/>
                <w:szCs w:val="17"/>
                <w:lang w:val="fr-CA" w:eastAsia="en-CA"/>
              </w:rPr>
              <w:t>9)</w:t>
            </w:r>
          </w:p>
        </w:tc>
        <w:tc>
          <w:tcPr>
            <w:tcW w:w="1640" w:type="dxa"/>
            <w:tcBorders>
              <w:top w:val="nil"/>
              <w:left w:val="nil"/>
              <w:bottom w:val="nil"/>
              <w:right w:val="nil"/>
            </w:tcBorders>
            <w:shd w:val="clear" w:color="auto" w:fill="auto"/>
            <w:vAlign w:val="center"/>
            <w:hideMark/>
          </w:tcPr>
          <w:p w:rsidR="00566464" w:rsidRPr="00465B94" w:rsidRDefault="00566464" w:rsidP="00566464">
            <w:pPr>
              <w:jc w:val="right"/>
              <w:rPr>
                <w:kern w:val="22"/>
                <w:sz w:val="17"/>
                <w:szCs w:val="17"/>
                <w:lang w:val="fr-CA" w:eastAsia="en-CA"/>
              </w:rPr>
            </w:pPr>
            <w:r w:rsidRPr="00465B94">
              <w:rPr>
                <w:kern w:val="22"/>
                <w:sz w:val="17"/>
                <w:szCs w:val="17"/>
                <w:lang w:val="fr-CA" w:eastAsia="en-CA"/>
              </w:rPr>
              <w:t>(189</w:t>
            </w:r>
            <w:r>
              <w:rPr>
                <w:kern w:val="22"/>
                <w:sz w:val="17"/>
                <w:szCs w:val="17"/>
                <w:lang w:val="fr-CA" w:eastAsia="en-CA"/>
              </w:rPr>
              <w:t>,</w:t>
            </w:r>
            <w:r w:rsidRPr="00465B94">
              <w:rPr>
                <w:kern w:val="22"/>
                <w:sz w:val="17"/>
                <w:szCs w:val="17"/>
                <w:lang w:val="fr-CA" w:eastAsia="en-CA"/>
              </w:rPr>
              <w:t>8)</w:t>
            </w:r>
          </w:p>
        </w:tc>
      </w:tr>
      <w:tr w:rsidR="00566464" w:rsidRPr="00465B94" w:rsidTr="003F3847">
        <w:trPr>
          <w:trHeight w:val="300"/>
        </w:trPr>
        <w:tc>
          <w:tcPr>
            <w:tcW w:w="4520" w:type="dxa"/>
            <w:tcBorders>
              <w:top w:val="single" w:sz="4" w:space="0" w:color="auto"/>
              <w:left w:val="nil"/>
              <w:bottom w:val="single" w:sz="8" w:space="0" w:color="auto"/>
              <w:right w:val="nil"/>
            </w:tcBorders>
            <w:shd w:val="clear" w:color="auto" w:fill="auto"/>
            <w:hideMark/>
          </w:tcPr>
          <w:p w:rsidR="00566464" w:rsidRPr="00465B94" w:rsidRDefault="00566464" w:rsidP="00566464">
            <w:pPr>
              <w:jc w:val="left"/>
              <w:rPr>
                <w:color w:val="000000"/>
                <w:kern w:val="22"/>
                <w:sz w:val="17"/>
                <w:szCs w:val="17"/>
                <w:lang w:val="fr-CA" w:eastAsia="en-CA"/>
              </w:rPr>
            </w:pPr>
            <w:r>
              <w:rPr>
                <w:color w:val="000000"/>
                <w:kern w:val="22"/>
                <w:sz w:val="17"/>
                <w:szCs w:val="17"/>
                <w:lang w:val="fr-CA" w:eastAsia="en-CA"/>
              </w:rPr>
              <w:t>Total net (montant à répartir entre les Parties</w:t>
            </w:r>
            <w:r w:rsidRPr="00465B94">
              <w:rPr>
                <w:color w:val="000000"/>
                <w:kern w:val="22"/>
                <w:sz w:val="17"/>
                <w:szCs w:val="17"/>
                <w:lang w:val="fr-CA" w:eastAsia="en-CA"/>
              </w:rPr>
              <w:t>)</w:t>
            </w:r>
          </w:p>
        </w:tc>
        <w:tc>
          <w:tcPr>
            <w:tcW w:w="1360" w:type="dxa"/>
            <w:tcBorders>
              <w:top w:val="single" w:sz="4" w:space="0" w:color="auto"/>
              <w:left w:val="nil"/>
              <w:bottom w:val="single" w:sz="8" w:space="0" w:color="auto"/>
              <w:right w:val="nil"/>
            </w:tcBorders>
            <w:shd w:val="clear" w:color="auto" w:fill="auto"/>
            <w:hideMark/>
          </w:tcPr>
          <w:p w:rsidR="00566464" w:rsidRPr="00465B94" w:rsidRDefault="00566464" w:rsidP="00566464">
            <w:pPr>
              <w:jc w:val="right"/>
              <w:rPr>
                <w:color w:val="000000"/>
                <w:kern w:val="22"/>
                <w:sz w:val="17"/>
                <w:szCs w:val="17"/>
                <w:lang w:val="fr-CA" w:eastAsia="en-CA"/>
              </w:rPr>
            </w:pPr>
            <w:r w:rsidRPr="00465B94">
              <w:rPr>
                <w:color w:val="000000"/>
                <w:kern w:val="22"/>
                <w:sz w:val="17"/>
                <w:szCs w:val="17"/>
                <w:lang w:val="fr-CA" w:eastAsia="en-CA"/>
              </w:rPr>
              <w:t>1 761</w:t>
            </w:r>
            <w:r>
              <w:rPr>
                <w:color w:val="000000"/>
                <w:kern w:val="22"/>
                <w:sz w:val="17"/>
                <w:szCs w:val="17"/>
                <w:lang w:val="fr-CA" w:eastAsia="en-CA"/>
              </w:rPr>
              <w:t>,</w:t>
            </w:r>
            <w:r w:rsidRPr="00465B94">
              <w:rPr>
                <w:color w:val="000000"/>
                <w:kern w:val="22"/>
                <w:sz w:val="17"/>
                <w:szCs w:val="17"/>
                <w:lang w:val="fr-CA" w:eastAsia="en-CA"/>
              </w:rPr>
              <w:t>1</w:t>
            </w:r>
          </w:p>
        </w:tc>
        <w:tc>
          <w:tcPr>
            <w:tcW w:w="1600" w:type="dxa"/>
            <w:tcBorders>
              <w:top w:val="single" w:sz="4" w:space="0" w:color="auto"/>
              <w:left w:val="nil"/>
              <w:bottom w:val="single" w:sz="8" w:space="0" w:color="auto"/>
              <w:right w:val="nil"/>
            </w:tcBorders>
            <w:shd w:val="clear" w:color="auto" w:fill="auto"/>
            <w:hideMark/>
          </w:tcPr>
          <w:p w:rsidR="00566464" w:rsidRPr="00465B94" w:rsidRDefault="00566464" w:rsidP="00566464">
            <w:pPr>
              <w:jc w:val="right"/>
              <w:rPr>
                <w:color w:val="000000"/>
                <w:kern w:val="22"/>
                <w:sz w:val="17"/>
                <w:szCs w:val="17"/>
                <w:lang w:val="fr-CA" w:eastAsia="en-CA"/>
              </w:rPr>
            </w:pPr>
            <w:r w:rsidRPr="00465B94">
              <w:rPr>
                <w:color w:val="000000"/>
                <w:kern w:val="22"/>
                <w:sz w:val="17"/>
                <w:szCs w:val="17"/>
                <w:lang w:val="fr-CA" w:eastAsia="en-CA"/>
              </w:rPr>
              <w:t>1 867</w:t>
            </w:r>
            <w:r>
              <w:rPr>
                <w:color w:val="000000"/>
                <w:kern w:val="22"/>
                <w:sz w:val="17"/>
                <w:szCs w:val="17"/>
                <w:lang w:val="fr-CA" w:eastAsia="en-CA"/>
              </w:rPr>
              <w:t>,</w:t>
            </w:r>
            <w:r w:rsidRPr="00465B94">
              <w:rPr>
                <w:color w:val="000000"/>
                <w:kern w:val="22"/>
                <w:sz w:val="17"/>
                <w:szCs w:val="17"/>
                <w:lang w:val="fr-CA" w:eastAsia="en-CA"/>
              </w:rPr>
              <w:t>4</w:t>
            </w:r>
          </w:p>
        </w:tc>
        <w:tc>
          <w:tcPr>
            <w:tcW w:w="1640" w:type="dxa"/>
            <w:tcBorders>
              <w:top w:val="single" w:sz="4" w:space="0" w:color="auto"/>
              <w:left w:val="nil"/>
              <w:bottom w:val="single" w:sz="8" w:space="0" w:color="auto"/>
              <w:right w:val="nil"/>
            </w:tcBorders>
            <w:shd w:val="clear" w:color="auto" w:fill="auto"/>
            <w:hideMark/>
          </w:tcPr>
          <w:p w:rsidR="00566464" w:rsidRPr="00465B94" w:rsidRDefault="00566464" w:rsidP="00566464">
            <w:pPr>
              <w:jc w:val="right"/>
              <w:rPr>
                <w:color w:val="000000"/>
                <w:kern w:val="22"/>
                <w:sz w:val="17"/>
                <w:szCs w:val="17"/>
                <w:lang w:val="fr-CA" w:eastAsia="en-CA"/>
              </w:rPr>
            </w:pPr>
            <w:r w:rsidRPr="00465B94">
              <w:rPr>
                <w:color w:val="000000"/>
                <w:kern w:val="22"/>
                <w:sz w:val="17"/>
                <w:szCs w:val="17"/>
                <w:lang w:val="fr-CA" w:eastAsia="en-CA"/>
              </w:rPr>
              <w:t>3 628</w:t>
            </w:r>
            <w:r>
              <w:rPr>
                <w:color w:val="000000"/>
                <w:kern w:val="22"/>
                <w:sz w:val="17"/>
                <w:szCs w:val="17"/>
                <w:lang w:val="fr-CA" w:eastAsia="en-CA"/>
              </w:rPr>
              <w:t>,</w:t>
            </w:r>
            <w:r w:rsidRPr="00465B94">
              <w:rPr>
                <w:color w:val="000000"/>
                <w:kern w:val="22"/>
                <w:sz w:val="17"/>
                <w:szCs w:val="17"/>
                <w:lang w:val="fr-CA" w:eastAsia="en-CA"/>
              </w:rPr>
              <w:t>5</w:t>
            </w:r>
          </w:p>
        </w:tc>
      </w:tr>
    </w:tbl>
    <w:p w:rsidR="003F3847" w:rsidRPr="0069295C" w:rsidRDefault="003F3847">
      <w:pPr>
        <w:jc w:val="left"/>
        <w:rPr>
          <w:kern w:val="22"/>
        </w:rPr>
      </w:pPr>
    </w:p>
    <w:p w:rsidR="00281E9B" w:rsidRDefault="00281E9B">
      <w:pPr>
        <w:jc w:val="left"/>
        <w:rPr>
          <w:kern w:val="22"/>
        </w:rPr>
      </w:pPr>
      <w:r>
        <w:rPr>
          <w:kern w:val="22"/>
        </w:rPr>
        <w:br w:type="page"/>
      </w:r>
    </w:p>
    <w:p w:rsidR="00A11FB8" w:rsidRPr="00E02578" w:rsidRDefault="00E02578" w:rsidP="00E02578">
      <w:pPr>
        <w:keepNext/>
        <w:spacing w:before="120" w:after="120"/>
        <w:ind w:left="1170" w:hanging="1170"/>
        <w:rPr>
          <w:b/>
          <w:bCs/>
          <w:snapToGrid w:val="0"/>
          <w:kern w:val="22"/>
          <w:lang w:val="fr-CA"/>
        </w:rPr>
      </w:pPr>
      <w:r w:rsidRPr="00E02578">
        <w:rPr>
          <w:rFonts w:eastAsia="Malgun Gothic"/>
          <w:b/>
          <w:bCs/>
          <w:iCs/>
          <w:snapToGrid w:val="0"/>
          <w:kern w:val="22"/>
          <w:lang w:val="fr-CA" w:eastAsia="x-none"/>
        </w:rPr>
        <w:lastRenderedPageBreak/>
        <w:t>Tableau 1b.</w:t>
      </w:r>
      <w:r w:rsidRPr="00E02578">
        <w:rPr>
          <w:rFonts w:eastAsia="Malgun Gothic"/>
          <w:b/>
          <w:bCs/>
          <w:iCs/>
          <w:snapToGrid w:val="0"/>
          <w:kern w:val="22"/>
          <w:lang w:val="fr-CA" w:eastAsia="x-none"/>
        </w:rPr>
        <w:tab/>
        <w:t>Budget biennal intégré des fonds d’affectation spéciale de la Convention sur la diversité biologique et de ses protocoles pour la période 2019-2020 (par poste de dépense</w:t>
      </w:r>
      <w:r w:rsidR="00A11FB8" w:rsidRPr="00E02578">
        <w:rPr>
          <w:b/>
          <w:bCs/>
          <w:snapToGrid w:val="0"/>
          <w:kern w:val="22"/>
          <w:lang w:val="fr-CA"/>
        </w:rPr>
        <w:t>)</w:t>
      </w:r>
    </w:p>
    <w:tbl>
      <w:tblPr>
        <w:tblW w:w="0" w:type="auto"/>
        <w:jc w:val="center"/>
        <w:tblLayout w:type="fixed"/>
        <w:tblLook w:val="04A0" w:firstRow="1" w:lastRow="0" w:firstColumn="1" w:lastColumn="0" w:noHBand="0" w:noVBand="1"/>
      </w:tblPr>
      <w:tblGrid>
        <w:gridCol w:w="450"/>
        <w:gridCol w:w="2948"/>
        <w:gridCol w:w="2701"/>
        <w:gridCol w:w="1121"/>
        <w:gridCol w:w="1121"/>
        <w:gridCol w:w="1121"/>
      </w:tblGrid>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vMerge w:val="restart"/>
            <w:tcBorders>
              <w:top w:val="single" w:sz="8" w:space="0" w:color="auto"/>
              <w:left w:val="nil"/>
              <w:bottom w:val="single" w:sz="8" w:space="0" w:color="000000"/>
              <w:right w:val="nil"/>
            </w:tcBorders>
            <w:shd w:val="clear" w:color="auto" w:fill="auto"/>
            <w:vAlign w:val="center"/>
            <w:hideMark/>
          </w:tcPr>
          <w:p w:rsidR="00A11FB8" w:rsidRPr="00E02578" w:rsidRDefault="00E02578" w:rsidP="00136A43">
            <w:pPr>
              <w:jc w:val="center"/>
              <w:rPr>
                <w:bCs/>
                <w:i/>
                <w:color w:val="000000"/>
                <w:kern w:val="22"/>
                <w:sz w:val="16"/>
                <w:szCs w:val="16"/>
                <w:lang w:val="fr-CA" w:eastAsia="en-CA"/>
              </w:rPr>
            </w:pPr>
            <w:r w:rsidRPr="00E02578">
              <w:rPr>
                <w:bCs/>
                <w:i/>
                <w:color w:val="000000"/>
                <w:kern w:val="22"/>
                <w:sz w:val="16"/>
                <w:szCs w:val="16"/>
                <w:lang w:val="fr-CA" w:eastAsia="en-CA"/>
              </w:rPr>
              <w:t>Poste de dépense</w:t>
            </w:r>
          </w:p>
        </w:tc>
        <w:tc>
          <w:tcPr>
            <w:tcW w:w="1121" w:type="dxa"/>
            <w:tcBorders>
              <w:top w:val="single" w:sz="8" w:space="0" w:color="auto"/>
              <w:left w:val="nil"/>
              <w:bottom w:val="nil"/>
              <w:right w:val="nil"/>
            </w:tcBorders>
            <w:shd w:val="clear" w:color="auto" w:fill="auto"/>
            <w:vAlign w:val="center"/>
            <w:hideMark/>
          </w:tcPr>
          <w:p w:rsidR="00A11FB8" w:rsidRPr="00E02578" w:rsidRDefault="00A11FB8" w:rsidP="00136A43">
            <w:pPr>
              <w:jc w:val="center"/>
              <w:rPr>
                <w:bCs/>
                <w:i/>
                <w:color w:val="000000"/>
                <w:kern w:val="22"/>
                <w:sz w:val="16"/>
                <w:szCs w:val="16"/>
                <w:lang w:val="fr-CA" w:eastAsia="en-CA"/>
              </w:rPr>
            </w:pPr>
            <w:r w:rsidRPr="00E02578">
              <w:rPr>
                <w:bCs/>
                <w:i/>
                <w:color w:val="000000"/>
                <w:kern w:val="22"/>
                <w:sz w:val="16"/>
                <w:szCs w:val="16"/>
                <w:lang w:val="fr-CA" w:eastAsia="en-CA"/>
              </w:rPr>
              <w:t>2019</w:t>
            </w:r>
          </w:p>
        </w:tc>
        <w:tc>
          <w:tcPr>
            <w:tcW w:w="1121" w:type="dxa"/>
            <w:tcBorders>
              <w:top w:val="single" w:sz="8" w:space="0" w:color="auto"/>
              <w:left w:val="nil"/>
              <w:bottom w:val="nil"/>
              <w:right w:val="nil"/>
            </w:tcBorders>
            <w:shd w:val="clear" w:color="auto" w:fill="auto"/>
            <w:vAlign w:val="center"/>
            <w:hideMark/>
          </w:tcPr>
          <w:p w:rsidR="00A11FB8" w:rsidRPr="00E02578" w:rsidRDefault="00A11FB8" w:rsidP="00136A43">
            <w:pPr>
              <w:jc w:val="center"/>
              <w:rPr>
                <w:bCs/>
                <w:i/>
                <w:color w:val="000000"/>
                <w:kern w:val="22"/>
                <w:sz w:val="16"/>
                <w:szCs w:val="16"/>
                <w:lang w:val="fr-CA" w:eastAsia="en-CA"/>
              </w:rPr>
            </w:pPr>
            <w:r w:rsidRPr="00E02578">
              <w:rPr>
                <w:bCs/>
                <w:i/>
                <w:color w:val="000000"/>
                <w:kern w:val="22"/>
                <w:sz w:val="16"/>
                <w:szCs w:val="16"/>
                <w:lang w:val="fr-CA" w:eastAsia="en-CA"/>
              </w:rPr>
              <w:t>2020</w:t>
            </w:r>
          </w:p>
        </w:tc>
        <w:tc>
          <w:tcPr>
            <w:tcW w:w="1121" w:type="dxa"/>
            <w:tcBorders>
              <w:top w:val="single" w:sz="8" w:space="0" w:color="auto"/>
              <w:left w:val="nil"/>
              <w:bottom w:val="nil"/>
              <w:right w:val="nil"/>
            </w:tcBorders>
            <w:shd w:val="clear" w:color="auto" w:fill="auto"/>
            <w:vAlign w:val="center"/>
            <w:hideMark/>
          </w:tcPr>
          <w:p w:rsidR="00A11FB8" w:rsidRPr="00E02578" w:rsidRDefault="00A11FB8" w:rsidP="00136A43">
            <w:pPr>
              <w:jc w:val="center"/>
              <w:rPr>
                <w:bCs/>
                <w:i/>
                <w:color w:val="000000"/>
                <w:kern w:val="22"/>
                <w:sz w:val="16"/>
                <w:szCs w:val="16"/>
                <w:lang w:val="fr-CA" w:eastAsia="en-CA"/>
              </w:rPr>
            </w:pPr>
            <w:r w:rsidRPr="00E02578">
              <w:rPr>
                <w:bCs/>
                <w:i/>
                <w:color w:val="000000"/>
                <w:kern w:val="22"/>
                <w:sz w:val="16"/>
                <w:szCs w:val="16"/>
                <w:lang w:val="fr-CA" w:eastAsia="en-CA"/>
              </w:rPr>
              <w:t>Total</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vMerge/>
            <w:tcBorders>
              <w:top w:val="nil"/>
              <w:left w:val="nil"/>
              <w:bottom w:val="nil"/>
              <w:right w:val="nil"/>
            </w:tcBorders>
            <w:vAlign w:val="center"/>
            <w:hideMark/>
          </w:tcPr>
          <w:p w:rsidR="00A11FB8" w:rsidRPr="00E02578" w:rsidRDefault="00A11FB8" w:rsidP="00136A43">
            <w:pPr>
              <w:rPr>
                <w:bCs/>
                <w:i/>
                <w:color w:val="000000"/>
                <w:kern w:val="22"/>
                <w:sz w:val="16"/>
                <w:szCs w:val="16"/>
                <w:lang w:val="fr-CA" w:eastAsia="en-CA"/>
              </w:rPr>
            </w:pPr>
          </w:p>
        </w:tc>
        <w:tc>
          <w:tcPr>
            <w:tcW w:w="3363" w:type="dxa"/>
            <w:gridSpan w:val="3"/>
            <w:tcBorders>
              <w:top w:val="nil"/>
              <w:left w:val="nil"/>
              <w:bottom w:val="nil"/>
              <w:right w:val="nil"/>
            </w:tcBorders>
            <w:shd w:val="clear" w:color="auto" w:fill="auto"/>
            <w:vAlign w:val="center"/>
            <w:hideMark/>
          </w:tcPr>
          <w:p w:rsidR="00A11FB8" w:rsidRPr="00E02578" w:rsidRDefault="00A11FB8" w:rsidP="00E02578">
            <w:pPr>
              <w:jc w:val="center"/>
              <w:rPr>
                <w:i/>
                <w:iCs/>
                <w:color w:val="000000"/>
                <w:kern w:val="22"/>
                <w:sz w:val="16"/>
                <w:szCs w:val="16"/>
                <w:lang w:val="fr-CA" w:eastAsia="en-CA"/>
              </w:rPr>
            </w:pPr>
            <w:r w:rsidRPr="00E02578">
              <w:rPr>
                <w:i/>
                <w:iCs/>
                <w:color w:val="000000"/>
                <w:kern w:val="22"/>
                <w:sz w:val="16"/>
                <w:szCs w:val="16"/>
                <w:lang w:val="fr-CA" w:eastAsia="en-CA"/>
              </w:rPr>
              <w:t>(</w:t>
            </w:r>
            <w:r w:rsidR="00E02578" w:rsidRPr="00E02578">
              <w:rPr>
                <w:i/>
                <w:iCs/>
                <w:color w:val="000000"/>
                <w:kern w:val="22"/>
                <w:sz w:val="16"/>
                <w:szCs w:val="16"/>
                <w:lang w:val="fr-CA" w:eastAsia="en-CA"/>
              </w:rPr>
              <w:t>milliers de dollars É.-U.</w:t>
            </w:r>
            <w:r w:rsidRPr="00E02578">
              <w:rPr>
                <w:i/>
                <w:iCs/>
                <w:color w:val="000000"/>
                <w:kern w:val="22"/>
                <w:sz w:val="16"/>
                <w:szCs w:val="16"/>
                <w:lang w:val="fr-CA" w:eastAsia="en-CA"/>
              </w:rPr>
              <w:t>)</w:t>
            </w:r>
          </w:p>
        </w:tc>
      </w:tr>
      <w:tr w:rsidR="00043F0D" w:rsidRPr="00E02578" w:rsidTr="0017200F">
        <w:trPr>
          <w:trHeight w:val="48"/>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vMerge/>
            <w:tcBorders>
              <w:top w:val="nil"/>
              <w:left w:val="nil"/>
              <w:bottom w:val="nil"/>
              <w:right w:val="nil"/>
            </w:tcBorders>
            <w:vAlign w:val="center"/>
            <w:hideMark/>
          </w:tcPr>
          <w:p w:rsidR="00A11FB8" w:rsidRPr="00E02578" w:rsidRDefault="00A11FB8" w:rsidP="00136A43">
            <w:pPr>
              <w:rPr>
                <w:b/>
                <w:bCs/>
                <w:color w:val="000000"/>
                <w:kern w:val="22"/>
                <w:sz w:val="16"/>
                <w:szCs w:val="16"/>
                <w:lang w:val="fr-CA" w:eastAsia="en-CA"/>
              </w:rPr>
            </w:pP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center"/>
              <w:rPr>
                <w:b/>
                <w:bCs/>
                <w:color w:val="000000"/>
                <w:kern w:val="22"/>
                <w:sz w:val="16"/>
                <w:szCs w:val="16"/>
                <w:lang w:val="fr-CA" w:eastAsia="en-CA"/>
              </w:rPr>
            </w:pP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center"/>
              <w:rPr>
                <w:b/>
                <w:bCs/>
                <w:color w:val="000000"/>
                <w:kern w:val="22"/>
                <w:sz w:val="16"/>
                <w:szCs w:val="16"/>
                <w:lang w:val="fr-CA" w:eastAsia="en-CA"/>
              </w:rPr>
            </w:pP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center"/>
              <w:rPr>
                <w:b/>
                <w:bCs/>
                <w:color w:val="000000"/>
                <w:kern w:val="22"/>
                <w:sz w:val="16"/>
                <w:szCs w:val="16"/>
                <w:lang w:val="fr-CA" w:eastAsia="en-CA"/>
              </w:rPr>
            </w:pP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single" w:sz="8" w:space="0" w:color="auto"/>
              <w:left w:val="nil"/>
              <w:bottom w:val="nil"/>
              <w:right w:val="nil"/>
            </w:tcBorders>
            <w:shd w:val="clear" w:color="auto" w:fill="auto"/>
            <w:vAlign w:val="center"/>
            <w:hideMark/>
          </w:tcPr>
          <w:p w:rsidR="00A11FB8" w:rsidRPr="00E02578" w:rsidRDefault="00250EF1" w:rsidP="00E02578">
            <w:pPr>
              <w:rPr>
                <w:color w:val="000000"/>
                <w:kern w:val="22"/>
                <w:sz w:val="17"/>
                <w:szCs w:val="17"/>
                <w:lang w:val="fr-CA" w:eastAsia="en-CA"/>
              </w:rPr>
            </w:pPr>
            <w:r w:rsidRPr="00E02578">
              <w:rPr>
                <w:color w:val="000000"/>
                <w:kern w:val="22"/>
                <w:sz w:val="17"/>
                <w:szCs w:val="17"/>
                <w:lang w:val="fr-CA" w:eastAsia="en-CA"/>
              </w:rPr>
              <w:t xml:space="preserve">A. </w:t>
            </w:r>
            <w:r w:rsidR="00E02578">
              <w:rPr>
                <w:color w:val="000000"/>
                <w:kern w:val="22"/>
                <w:sz w:val="17"/>
                <w:szCs w:val="17"/>
                <w:lang w:val="fr-CA" w:eastAsia="en-CA"/>
              </w:rPr>
              <w:t>Dépenses de personnel</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11</w:t>
            </w:r>
            <w:r w:rsidR="005447DD" w:rsidRPr="00E02578">
              <w:rPr>
                <w:color w:val="000000"/>
                <w:kern w:val="22"/>
                <w:sz w:val="17"/>
                <w:szCs w:val="17"/>
                <w:lang w:val="fr-CA" w:eastAsia="en-CA"/>
              </w:rPr>
              <w:t xml:space="preserve"> </w:t>
            </w:r>
            <w:r w:rsidRPr="00E02578">
              <w:rPr>
                <w:color w:val="000000"/>
                <w:kern w:val="22"/>
                <w:sz w:val="17"/>
                <w:szCs w:val="17"/>
                <w:lang w:val="fr-CA" w:eastAsia="en-CA"/>
              </w:rPr>
              <w:t>453</w:t>
            </w:r>
            <w:r w:rsidR="000D3C0F">
              <w:rPr>
                <w:color w:val="000000"/>
                <w:kern w:val="22"/>
                <w:sz w:val="17"/>
                <w:szCs w:val="17"/>
                <w:lang w:val="fr-CA" w:eastAsia="en-CA"/>
              </w:rPr>
              <w:t>,</w:t>
            </w:r>
            <w:r w:rsidRPr="00E02578">
              <w:rPr>
                <w:color w:val="000000"/>
                <w:kern w:val="22"/>
                <w:sz w:val="17"/>
                <w:szCs w:val="17"/>
                <w:lang w:val="fr-CA" w:eastAsia="en-CA"/>
              </w:rPr>
              <w:t>9</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11</w:t>
            </w:r>
            <w:r w:rsidR="005447DD" w:rsidRPr="00E02578">
              <w:rPr>
                <w:color w:val="000000"/>
                <w:kern w:val="22"/>
                <w:sz w:val="17"/>
                <w:szCs w:val="17"/>
                <w:lang w:val="fr-CA" w:eastAsia="en-CA"/>
              </w:rPr>
              <w:t xml:space="preserve"> </w:t>
            </w:r>
            <w:r w:rsidRPr="00E02578">
              <w:rPr>
                <w:color w:val="000000"/>
                <w:kern w:val="22"/>
                <w:sz w:val="17"/>
                <w:szCs w:val="17"/>
                <w:lang w:val="fr-CA" w:eastAsia="en-CA"/>
              </w:rPr>
              <w:t>626</w:t>
            </w:r>
            <w:r w:rsidR="000D3C0F">
              <w:rPr>
                <w:color w:val="000000"/>
                <w:kern w:val="22"/>
                <w:sz w:val="17"/>
                <w:szCs w:val="17"/>
                <w:lang w:val="fr-CA" w:eastAsia="en-CA"/>
              </w:rPr>
              <w:t>,</w:t>
            </w:r>
            <w:r w:rsidRPr="00E02578">
              <w:rPr>
                <w:color w:val="000000"/>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23</w:t>
            </w:r>
            <w:r w:rsidR="005447DD" w:rsidRPr="00E02578">
              <w:rPr>
                <w:color w:val="000000"/>
                <w:kern w:val="22"/>
                <w:sz w:val="17"/>
                <w:szCs w:val="17"/>
                <w:lang w:val="fr-CA" w:eastAsia="en-CA"/>
              </w:rPr>
              <w:t xml:space="preserve"> </w:t>
            </w:r>
            <w:r w:rsidRPr="00E02578">
              <w:rPr>
                <w:color w:val="000000"/>
                <w:kern w:val="22"/>
                <w:sz w:val="17"/>
                <w:szCs w:val="17"/>
                <w:lang w:val="fr-CA" w:eastAsia="en-CA"/>
              </w:rPr>
              <w:t>080</w:t>
            </w:r>
            <w:r w:rsidR="000D3C0F">
              <w:rPr>
                <w:color w:val="000000"/>
                <w:kern w:val="22"/>
                <w:sz w:val="17"/>
                <w:szCs w:val="17"/>
                <w:lang w:val="fr-CA" w:eastAsia="en-CA"/>
              </w:rPr>
              <w:t>,</w:t>
            </w:r>
            <w:r w:rsidRPr="00E02578">
              <w:rPr>
                <w:color w:val="000000"/>
                <w:kern w:val="22"/>
                <w:sz w:val="17"/>
                <w:szCs w:val="17"/>
                <w:lang w:val="fr-CA" w:eastAsia="en-CA"/>
              </w:rPr>
              <w:t>5</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color w:val="000000"/>
                <w:kern w:val="22"/>
                <w:sz w:val="17"/>
                <w:szCs w:val="17"/>
                <w:lang w:val="fr-CA" w:eastAsia="en-CA"/>
              </w:rPr>
            </w:pPr>
            <w:r w:rsidRPr="00E02578">
              <w:rPr>
                <w:color w:val="000000"/>
                <w:kern w:val="22"/>
                <w:sz w:val="17"/>
                <w:szCs w:val="17"/>
                <w:lang w:val="fr-CA" w:eastAsia="en-CA"/>
              </w:rPr>
              <w:t xml:space="preserve">B. </w:t>
            </w:r>
            <w:r w:rsidR="00E02578">
              <w:rPr>
                <w:color w:val="000000"/>
                <w:kern w:val="22"/>
                <w:sz w:val="17"/>
                <w:szCs w:val="17"/>
                <w:lang w:val="fr-CA" w:eastAsia="en-CA"/>
              </w:rPr>
              <w:t>Réunions du Bureau</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150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215</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365</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color w:val="000000"/>
                <w:kern w:val="22"/>
                <w:sz w:val="17"/>
                <w:szCs w:val="17"/>
                <w:lang w:val="fr-CA" w:eastAsia="en-CA"/>
              </w:rPr>
            </w:pPr>
            <w:r w:rsidRPr="00E02578">
              <w:rPr>
                <w:color w:val="000000"/>
                <w:kern w:val="22"/>
                <w:sz w:val="17"/>
                <w:szCs w:val="17"/>
                <w:lang w:val="fr-CA" w:eastAsia="en-CA"/>
              </w:rPr>
              <w:t xml:space="preserve">C. </w:t>
            </w:r>
            <w:r w:rsidR="00E02578">
              <w:rPr>
                <w:color w:val="000000"/>
                <w:kern w:val="22"/>
                <w:sz w:val="17"/>
                <w:szCs w:val="17"/>
                <w:lang w:val="fr-CA" w:eastAsia="en-CA"/>
              </w:rPr>
              <w:t>Voyages en mission</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400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400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800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kern w:val="22"/>
                <w:sz w:val="17"/>
                <w:szCs w:val="17"/>
                <w:lang w:val="fr-CA" w:eastAsia="en-CA"/>
              </w:rPr>
            </w:pPr>
            <w:r w:rsidRPr="00E02578">
              <w:rPr>
                <w:kern w:val="22"/>
                <w:sz w:val="17"/>
                <w:szCs w:val="17"/>
                <w:lang w:val="fr-CA" w:eastAsia="en-CA"/>
              </w:rPr>
              <w:t xml:space="preserve">D. </w:t>
            </w:r>
            <w:r w:rsidR="00E02578">
              <w:rPr>
                <w:kern w:val="22"/>
                <w:sz w:val="17"/>
                <w:szCs w:val="17"/>
                <w:lang w:val="fr-CA" w:eastAsia="en-CA"/>
              </w:rPr>
              <w:t>Consultants/sous-traitance</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100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kern w:val="22"/>
                <w:sz w:val="17"/>
                <w:szCs w:val="17"/>
                <w:lang w:val="fr-CA" w:eastAsia="en-CA"/>
              </w:rPr>
            </w:pPr>
            <w:r w:rsidRPr="00E02578">
              <w:rPr>
                <w:kern w:val="22"/>
                <w:sz w:val="17"/>
                <w:szCs w:val="17"/>
                <w:lang w:val="fr-CA" w:eastAsia="en-CA"/>
              </w:rPr>
              <w:t xml:space="preserve">E. </w:t>
            </w:r>
            <w:r w:rsidR="00E02578">
              <w:rPr>
                <w:kern w:val="22"/>
                <w:sz w:val="17"/>
                <w:szCs w:val="17"/>
                <w:lang w:val="fr-CA" w:eastAsia="en-CA"/>
              </w:rPr>
              <w:t>Matériel de sensibilisation du public/communication</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100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color w:val="000000"/>
                <w:kern w:val="22"/>
                <w:sz w:val="17"/>
                <w:szCs w:val="17"/>
                <w:lang w:val="fr-CA" w:eastAsia="en-CA"/>
              </w:rPr>
            </w:pPr>
            <w:r w:rsidRPr="00E02578">
              <w:rPr>
                <w:color w:val="000000"/>
                <w:kern w:val="22"/>
                <w:sz w:val="17"/>
                <w:szCs w:val="17"/>
                <w:lang w:val="fr-CA" w:eastAsia="en-CA"/>
              </w:rPr>
              <w:t xml:space="preserve">F. </w:t>
            </w:r>
            <w:r w:rsidR="00E02578">
              <w:rPr>
                <w:color w:val="000000"/>
                <w:kern w:val="22"/>
                <w:sz w:val="17"/>
                <w:szCs w:val="17"/>
                <w:lang w:val="fr-CA" w:eastAsia="en-CA"/>
              </w:rPr>
              <w:t>Assistance temporaire/heures supplémentaires</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100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100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200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E02578">
            <w:pPr>
              <w:rPr>
                <w:color w:val="000000"/>
                <w:kern w:val="22"/>
                <w:sz w:val="17"/>
                <w:szCs w:val="17"/>
                <w:lang w:val="fr-CA" w:eastAsia="en-CA"/>
              </w:rPr>
            </w:pPr>
            <w:r w:rsidRPr="00E02578">
              <w:rPr>
                <w:color w:val="000000"/>
                <w:kern w:val="22"/>
                <w:sz w:val="17"/>
                <w:szCs w:val="17"/>
                <w:lang w:val="fr-CA" w:eastAsia="en-CA"/>
              </w:rPr>
              <w:t xml:space="preserve">G. </w:t>
            </w:r>
            <w:r w:rsidR="00E02578">
              <w:rPr>
                <w:color w:val="000000"/>
                <w:kern w:val="22"/>
                <w:sz w:val="17"/>
                <w:szCs w:val="17"/>
                <w:lang w:val="fr-CA" w:eastAsia="en-CA"/>
              </w:rPr>
              <w:t>Formation</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5</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5</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17200F">
            <w:pPr>
              <w:rPr>
                <w:color w:val="000000"/>
                <w:kern w:val="22"/>
                <w:sz w:val="17"/>
                <w:szCs w:val="17"/>
                <w:lang w:val="fr-CA" w:eastAsia="en-CA"/>
              </w:rPr>
            </w:pPr>
            <w:r w:rsidRPr="00E02578">
              <w:rPr>
                <w:color w:val="000000"/>
                <w:kern w:val="22"/>
                <w:sz w:val="17"/>
                <w:szCs w:val="17"/>
                <w:lang w:val="fr-CA" w:eastAsia="en-CA"/>
              </w:rPr>
              <w:t xml:space="preserve">H. </w:t>
            </w:r>
            <w:r w:rsidR="0015198A">
              <w:rPr>
                <w:color w:val="000000"/>
                <w:kern w:val="22"/>
                <w:sz w:val="17"/>
                <w:szCs w:val="17"/>
                <w:lang w:val="fr-CA" w:eastAsia="en-CA"/>
              </w:rPr>
              <w:t>T</w:t>
            </w:r>
            <w:r w:rsidR="0017200F">
              <w:rPr>
                <w:color w:val="000000"/>
                <w:kern w:val="22"/>
                <w:sz w:val="17"/>
                <w:szCs w:val="17"/>
                <w:lang w:val="fr-CA" w:eastAsia="en-CA"/>
              </w:rPr>
              <w:t>raduction du site</w:t>
            </w:r>
            <w:r w:rsidR="00043F0D">
              <w:rPr>
                <w:color w:val="000000"/>
                <w:kern w:val="22"/>
                <w:sz w:val="17"/>
                <w:szCs w:val="17"/>
                <w:lang w:val="fr-CA" w:eastAsia="en-CA"/>
              </w:rPr>
              <w:t>/projets Web du mécanisme de centre d’échange</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65</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65</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130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043F0D">
            <w:pPr>
              <w:rPr>
                <w:color w:val="000000"/>
                <w:kern w:val="22"/>
                <w:sz w:val="17"/>
                <w:szCs w:val="17"/>
                <w:lang w:val="fr-CA" w:eastAsia="en-CA"/>
              </w:rPr>
            </w:pPr>
            <w:r w:rsidRPr="00E02578">
              <w:rPr>
                <w:color w:val="000000"/>
                <w:kern w:val="22"/>
                <w:sz w:val="17"/>
                <w:szCs w:val="17"/>
                <w:lang w:val="fr-CA" w:eastAsia="en-CA"/>
              </w:rPr>
              <w:t xml:space="preserve">I. </w:t>
            </w:r>
            <w:r w:rsidR="00043F0D">
              <w:rPr>
                <w:color w:val="000000"/>
                <w:kern w:val="22"/>
                <w:sz w:val="17"/>
                <w:szCs w:val="17"/>
                <w:lang w:val="fr-CA" w:eastAsia="en-CA"/>
              </w:rPr>
              <w:t>Réunions</w:t>
            </w:r>
            <w:r w:rsidR="00043F0D" w:rsidRPr="00043F0D">
              <w:rPr>
                <w:color w:val="000000"/>
                <w:kern w:val="22"/>
                <w:sz w:val="17"/>
                <w:szCs w:val="17"/>
                <w:vertAlign w:val="superscript"/>
                <w:lang w:val="fr-CA" w:eastAsia="en-CA"/>
              </w:rPr>
              <w:t>1</w:t>
            </w:r>
            <w:r w:rsidR="00A11FB8" w:rsidRPr="00E02578">
              <w:rPr>
                <w:color w:val="000000"/>
                <w:kern w:val="22"/>
                <w:sz w:val="17"/>
                <w:szCs w:val="17"/>
                <w:vertAlign w:val="superscript"/>
                <w:lang w:val="fr-CA" w:eastAsia="en-CA"/>
              </w:rPr>
              <w:t>/2/3</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w:t>
            </w:r>
            <w:r w:rsidR="005447DD" w:rsidRPr="00E02578">
              <w:rPr>
                <w:color w:val="000000"/>
                <w:kern w:val="22"/>
                <w:sz w:val="17"/>
                <w:szCs w:val="17"/>
                <w:lang w:val="fr-CA" w:eastAsia="en-CA"/>
              </w:rPr>
              <w:t xml:space="preserve"> </w:t>
            </w:r>
            <w:r w:rsidRPr="00E02578">
              <w:rPr>
                <w:color w:val="000000"/>
                <w:kern w:val="22"/>
                <w:sz w:val="17"/>
                <w:szCs w:val="17"/>
                <w:lang w:val="fr-CA" w:eastAsia="en-CA"/>
              </w:rPr>
              <w:t>569</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2</w:t>
            </w:r>
            <w:r w:rsidR="005447DD" w:rsidRPr="00E02578">
              <w:rPr>
                <w:color w:val="000000"/>
                <w:kern w:val="22"/>
                <w:sz w:val="17"/>
                <w:szCs w:val="17"/>
                <w:lang w:val="fr-CA" w:eastAsia="en-CA"/>
              </w:rPr>
              <w:t xml:space="preserve"> </w:t>
            </w:r>
            <w:r w:rsidRPr="00E02578">
              <w:rPr>
                <w:color w:val="000000"/>
                <w:kern w:val="22"/>
                <w:sz w:val="17"/>
                <w:szCs w:val="17"/>
                <w:lang w:val="fr-CA" w:eastAsia="en-CA"/>
              </w:rPr>
              <w:t>119</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3</w:t>
            </w:r>
            <w:r w:rsidR="005447DD" w:rsidRPr="00E02578">
              <w:rPr>
                <w:color w:val="000000"/>
                <w:kern w:val="22"/>
                <w:sz w:val="17"/>
                <w:szCs w:val="17"/>
                <w:lang w:val="fr-CA" w:eastAsia="en-CA"/>
              </w:rPr>
              <w:t xml:space="preserve"> </w:t>
            </w:r>
            <w:r w:rsidRPr="00E02578">
              <w:rPr>
                <w:color w:val="000000"/>
                <w:kern w:val="22"/>
                <w:sz w:val="17"/>
                <w:szCs w:val="17"/>
                <w:lang w:val="fr-CA" w:eastAsia="en-CA"/>
              </w:rPr>
              <w:t>688</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043F0D">
            <w:pPr>
              <w:rPr>
                <w:color w:val="000000"/>
                <w:kern w:val="22"/>
                <w:sz w:val="17"/>
                <w:szCs w:val="17"/>
                <w:lang w:val="fr-CA" w:eastAsia="en-CA"/>
              </w:rPr>
            </w:pPr>
            <w:r w:rsidRPr="00E02578">
              <w:rPr>
                <w:color w:val="000000"/>
                <w:kern w:val="22"/>
                <w:sz w:val="17"/>
                <w:szCs w:val="17"/>
                <w:lang w:val="fr-CA" w:eastAsia="en-CA"/>
              </w:rPr>
              <w:t xml:space="preserve">J. </w:t>
            </w:r>
            <w:r w:rsidR="00043F0D">
              <w:rPr>
                <w:color w:val="000000"/>
                <w:kern w:val="22"/>
                <w:sz w:val="17"/>
                <w:szCs w:val="17"/>
                <w:lang w:val="fr-CA" w:eastAsia="en-CA"/>
              </w:rPr>
              <w:t>Réunions d’experts</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170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150</w:t>
            </w:r>
            <w:r w:rsidR="000D3C0F">
              <w:rPr>
                <w:color w:val="000000"/>
                <w:kern w:val="22"/>
                <w:sz w:val="17"/>
                <w:szCs w:val="17"/>
                <w:lang w:val="fr-CA" w:eastAsia="en-CA"/>
              </w:rPr>
              <w:t>,</w:t>
            </w:r>
            <w:r w:rsidRPr="00E02578">
              <w:rPr>
                <w:color w:val="000000"/>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320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043F0D">
            <w:pPr>
              <w:rPr>
                <w:color w:val="000000"/>
                <w:kern w:val="22"/>
                <w:sz w:val="17"/>
                <w:szCs w:val="17"/>
                <w:lang w:val="fr-CA" w:eastAsia="en-CA"/>
              </w:rPr>
            </w:pPr>
            <w:r w:rsidRPr="00E02578">
              <w:rPr>
                <w:color w:val="000000"/>
                <w:kern w:val="22"/>
                <w:sz w:val="17"/>
                <w:szCs w:val="17"/>
                <w:lang w:val="fr-CA" w:eastAsia="en-CA"/>
              </w:rPr>
              <w:t xml:space="preserve">K. </w:t>
            </w:r>
            <w:r w:rsidR="00043F0D">
              <w:rPr>
                <w:color w:val="000000"/>
                <w:kern w:val="22"/>
                <w:sz w:val="17"/>
                <w:szCs w:val="17"/>
                <w:lang w:val="fr-CA" w:eastAsia="en-CA"/>
              </w:rPr>
              <w:t>Réunions d’experts sur l’après-</w:t>
            </w:r>
            <w:r w:rsidR="00A11FB8" w:rsidRPr="00E02578">
              <w:rPr>
                <w:color w:val="000000"/>
                <w:kern w:val="22"/>
                <w:sz w:val="17"/>
                <w:szCs w:val="17"/>
                <w:lang w:val="fr-CA" w:eastAsia="en-CA"/>
              </w:rPr>
              <w:t>2020</w:t>
            </w:r>
            <w:r w:rsidR="00A11FB8" w:rsidRPr="00E02578">
              <w:rPr>
                <w:color w:val="000000"/>
                <w:kern w:val="22"/>
                <w:sz w:val="17"/>
                <w:szCs w:val="17"/>
                <w:vertAlign w:val="superscript"/>
                <w:lang w:val="fr-CA" w:eastAsia="en-CA"/>
              </w:rPr>
              <w:t>4/</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750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560</w:t>
            </w:r>
            <w:r w:rsidR="000D3C0F">
              <w:rPr>
                <w:kern w:val="22"/>
                <w:sz w:val="17"/>
                <w:szCs w:val="17"/>
                <w:lang w:val="fr-CA" w:eastAsia="en-CA"/>
              </w:rPr>
              <w:t>,</w:t>
            </w:r>
            <w:r w:rsidRPr="00E02578">
              <w:rPr>
                <w:kern w:val="22"/>
                <w:sz w:val="17"/>
                <w:szCs w:val="17"/>
                <w:lang w:val="fr-CA" w:eastAsia="en-CA"/>
              </w:rPr>
              <w:t>0</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w:t>
            </w:r>
            <w:r w:rsidR="005447DD" w:rsidRPr="00E02578">
              <w:rPr>
                <w:color w:val="000000"/>
                <w:kern w:val="22"/>
                <w:sz w:val="17"/>
                <w:szCs w:val="17"/>
                <w:lang w:val="fr-CA" w:eastAsia="en-CA"/>
              </w:rPr>
              <w:t xml:space="preserve"> </w:t>
            </w:r>
            <w:r w:rsidRPr="00E02578">
              <w:rPr>
                <w:color w:val="000000"/>
                <w:kern w:val="22"/>
                <w:sz w:val="17"/>
                <w:szCs w:val="17"/>
                <w:lang w:val="fr-CA" w:eastAsia="en-CA"/>
              </w:rPr>
              <w:t>310</w:t>
            </w:r>
            <w:r w:rsidR="000D3C0F">
              <w:rPr>
                <w:color w:val="000000"/>
                <w:kern w:val="22"/>
                <w:sz w:val="17"/>
                <w:szCs w:val="17"/>
                <w:lang w:val="fr-CA" w:eastAsia="en-CA"/>
              </w:rPr>
              <w:t>,</w:t>
            </w:r>
            <w:r w:rsidRPr="00E02578">
              <w:rPr>
                <w:color w:val="000000"/>
                <w:kern w:val="22"/>
                <w:sz w:val="17"/>
                <w:szCs w:val="17"/>
                <w:lang w:val="fr-CA" w:eastAsia="en-CA"/>
              </w:rPr>
              <w:t>0</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250EF1" w:rsidP="00043F0D">
            <w:pPr>
              <w:rPr>
                <w:color w:val="000000"/>
                <w:kern w:val="22"/>
                <w:sz w:val="17"/>
                <w:szCs w:val="17"/>
                <w:lang w:val="fr-CA" w:eastAsia="en-CA"/>
              </w:rPr>
            </w:pPr>
            <w:r w:rsidRPr="00E02578">
              <w:rPr>
                <w:color w:val="000000"/>
                <w:kern w:val="22"/>
                <w:sz w:val="17"/>
                <w:szCs w:val="17"/>
                <w:lang w:val="fr-CA" w:eastAsia="en-CA"/>
              </w:rPr>
              <w:t xml:space="preserve">L. </w:t>
            </w:r>
            <w:r w:rsidR="00043F0D">
              <w:rPr>
                <w:color w:val="000000"/>
                <w:kern w:val="22"/>
                <w:sz w:val="17"/>
                <w:szCs w:val="17"/>
                <w:lang w:val="fr-CA" w:eastAsia="en-CA"/>
              </w:rPr>
              <w:t>Loyer et coûts connexes</w:t>
            </w:r>
            <w:r w:rsidR="00A11FB8" w:rsidRPr="00E02578">
              <w:rPr>
                <w:color w:val="000000"/>
                <w:kern w:val="22"/>
                <w:sz w:val="17"/>
                <w:szCs w:val="17"/>
                <w:vertAlign w:val="superscript"/>
                <w:lang w:val="fr-CA" w:eastAsia="en-CA"/>
              </w:rPr>
              <w:t>5/</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w:t>
            </w:r>
            <w:r w:rsidR="005447DD" w:rsidRPr="00E02578">
              <w:rPr>
                <w:color w:val="000000"/>
                <w:kern w:val="22"/>
                <w:sz w:val="17"/>
                <w:szCs w:val="17"/>
                <w:lang w:val="fr-CA" w:eastAsia="en-CA"/>
              </w:rPr>
              <w:t xml:space="preserve"> </w:t>
            </w:r>
            <w:r w:rsidRPr="00E02578">
              <w:rPr>
                <w:color w:val="000000"/>
                <w:kern w:val="22"/>
                <w:sz w:val="17"/>
                <w:szCs w:val="17"/>
                <w:lang w:val="fr-CA" w:eastAsia="en-CA"/>
              </w:rPr>
              <w:t>229</w:t>
            </w:r>
            <w:r w:rsidR="000D3C0F">
              <w:rPr>
                <w:color w:val="000000"/>
                <w:kern w:val="22"/>
                <w:sz w:val="17"/>
                <w:szCs w:val="17"/>
                <w:lang w:val="fr-CA" w:eastAsia="en-CA"/>
              </w:rPr>
              <w:t>,</w:t>
            </w:r>
            <w:r w:rsidRPr="00E02578">
              <w:rPr>
                <w:color w:val="000000"/>
                <w:kern w:val="22"/>
                <w:sz w:val="17"/>
                <w:szCs w:val="17"/>
                <w:lang w:val="fr-CA" w:eastAsia="en-CA"/>
              </w:rPr>
              <w:t>5</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w:t>
            </w:r>
            <w:r w:rsidR="005447DD" w:rsidRPr="00E02578">
              <w:rPr>
                <w:color w:val="000000"/>
                <w:kern w:val="22"/>
                <w:sz w:val="17"/>
                <w:szCs w:val="17"/>
                <w:lang w:val="fr-CA" w:eastAsia="en-CA"/>
              </w:rPr>
              <w:t xml:space="preserve"> </w:t>
            </w:r>
            <w:r w:rsidRPr="00E02578">
              <w:rPr>
                <w:color w:val="000000"/>
                <w:kern w:val="22"/>
                <w:sz w:val="17"/>
                <w:szCs w:val="17"/>
                <w:lang w:val="fr-CA" w:eastAsia="en-CA"/>
              </w:rPr>
              <w:t>423</w:t>
            </w:r>
            <w:r w:rsidR="000D3C0F">
              <w:rPr>
                <w:color w:val="000000"/>
                <w:kern w:val="22"/>
                <w:sz w:val="17"/>
                <w:szCs w:val="17"/>
                <w:lang w:val="fr-CA" w:eastAsia="en-CA"/>
              </w:rPr>
              <w:t>,</w:t>
            </w:r>
            <w:r w:rsidRPr="00E02578">
              <w:rPr>
                <w:color w:val="000000"/>
                <w:kern w:val="22"/>
                <w:sz w:val="17"/>
                <w:szCs w:val="17"/>
                <w:lang w:val="fr-CA" w:eastAsia="en-CA"/>
              </w:rPr>
              <w:t>4</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2</w:t>
            </w:r>
            <w:r w:rsidR="005447DD" w:rsidRPr="00E02578">
              <w:rPr>
                <w:color w:val="000000"/>
                <w:kern w:val="22"/>
                <w:sz w:val="17"/>
                <w:szCs w:val="17"/>
                <w:lang w:val="fr-CA" w:eastAsia="en-CA"/>
              </w:rPr>
              <w:t xml:space="preserve"> </w:t>
            </w:r>
            <w:r w:rsidRPr="00E02578">
              <w:rPr>
                <w:color w:val="000000"/>
                <w:kern w:val="22"/>
                <w:sz w:val="17"/>
                <w:szCs w:val="17"/>
                <w:lang w:val="fr-CA" w:eastAsia="en-CA"/>
              </w:rPr>
              <w:t>652</w:t>
            </w:r>
            <w:r w:rsidR="000D3C0F">
              <w:rPr>
                <w:color w:val="000000"/>
                <w:kern w:val="22"/>
                <w:sz w:val="17"/>
                <w:szCs w:val="17"/>
                <w:lang w:val="fr-CA" w:eastAsia="en-CA"/>
              </w:rPr>
              <w:t>,</w:t>
            </w:r>
            <w:r w:rsidRPr="00E02578">
              <w:rPr>
                <w:color w:val="000000"/>
                <w:kern w:val="22"/>
                <w:sz w:val="17"/>
                <w:szCs w:val="17"/>
                <w:lang w:val="fr-CA" w:eastAsia="en-CA"/>
              </w:rPr>
              <w:t>9</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single" w:sz="4" w:space="0" w:color="auto"/>
              <w:right w:val="nil"/>
            </w:tcBorders>
            <w:shd w:val="clear" w:color="auto" w:fill="auto"/>
            <w:vAlign w:val="center"/>
            <w:hideMark/>
          </w:tcPr>
          <w:p w:rsidR="00A11FB8" w:rsidRPr="00E02578" w:rsidRDefault="00250EF1" w:rsidP="0017200F">
            <w:pPr>
              <w:rPr>
                <w:color w:val="000000"/>
                <w:kern w:val="22"/>
                <w:sz w:val="17"/>
                <w:szCs w:val="17"/>
                <w:lang w:val="fr-CA" w:eastAsia="en-CA"/>
              </w:rPr>
            </w:pPr>
            <w:r w:rsidRPr="00E02578">
              <w:rPr>
                <w:color w:val="000000"/>
                <w:kern w:val="22"/>
                <w:sz w:val="17"/>
                <w:szCs w:val="17"/>
                <w:lang w:val="fr-CA" w:eastAsia="en-CA"/>
              </w:rPr>
              <w:t xml:space="preserve">M. </w:t>
            </w:r>
            <w:r w:rsidR="0017200F">
              <w:rPr>
                <w:color w:val="000000"/>
                <w:kern w:val="22"/>
                <w:sz w:val="17"/>
                <w:szCs w:val="17"/>
                <w:lang w:val="fr-CA" w:eastAsia="en-CA"/>
              </w:rPr>
              <w:t>Dépenses générales d’exploitation</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726</w:t>
            </w:r>
            <w:r w:rsidR="000D3C0F">
              <w:rPr>
                <w:color w:val="000000"/>
                <w:kern w:val="22"/>
                <w:sz w:val="17"/>
                <w:szCs w:val="17"/>
                <w:lang w:val="fr-CA" w:eastAsia="en-CA"/>
              </w:rPr>
              <w:t>,</w:t>
            </w:r>
            <w:r w:rsidRPr="00E02578">
              <w:rPr>
                <w:color w:val="000000"/>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726</w:t>
            </w:r>
            <w:r w:rsidR="000D3C0F">
              <w:rPr>
                <w:color w:val="000000"/>
                <w:kern w:val="22"/>
                <w:sz w:val="17"/>
                <w:szCs w:val="17"/>
                <w:lang w:val="fr-CA" w:eastAsia="en-CA"/>
              </w:rPr>
              <w:t>,</w:t>
            </w:r>
            <w:r w:rsidRPr="00E02578">
              <w:rPr>
                <w:color w:val="000000"/>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color w:val="000000"/>
                <w:kern w:val="22"/>
                <w:sz w:val="17"/>
                <w:szCs w:val="17"/>
                <w:lang w:val="fr-CA" w:eastAsia="en-CA"/>
              </w:rPr>
            </w:pPr>
            <w:r w:rsidRPr="00E02578">
              <w:rPr>
                <w:color w:val="000000"/>
                <w:kern w:val="22"/>
                <w:sz w:val="17"/>
                <w:szCs w:val="17"/>
                <w:lang w:val="fr-CA" w:eastAsia="en-CA"/>
              </w:rPr>
              <w:t>1</w:t>
            </w:r>
            <w:r w:rsidR="005447DD" w:rsidRPr="00E02578">
              <w:rPr>
                <w:color w:val="000000"/>
                <w:kern w:val="22"/>
                <w:sz w:val="17"/>
                <w:szCs w:val="17"/>
                <w:lang w:val="fr-CA" w:eastAsia="en-CA"/>
              </w:rPr>
              <w:t xml:space="preserve"> </w:t>
            </w:r>
            <w:r w:rsidRPr="00E02578">
              <w:rPr>
                <w:color w:val="000000"/>
                <w:kern w:val="22"/>
                <w:sz w:val="17"/>
                <w:szCs w:val="17"/>
                <w:lang w:val="fr-CA" w:eastAsia="en-CA"/>
              </w:rPr>
              <w:t>453</w:t>
            </w:r>
            <w:r w:rsidR="000D3C0F">
              <w:rPr>
                <w:color w:val="000000"/>
                <w:kern w:val="22"/>
                <w:sz w:val="17"/>
                <w:szCs w:val="17"/>
                <w:lang w:val="fr-CA" w:eastAsia="en-CA"/>
              </w:rPr>
              <w:t>,</w:t>
            </w:r>
            <w:r w:rsidRPr="00E02578">
              <w:rPr>
                <w:color w:val="000000"/>
                <w:kern w:val="22"/>
                <w:sz w:val="17"/>
                <w:szCs w:val="17"/>
                <w:lang w:val="fr-CA" w:eastAsia="en-CA"/>
              </w:rPr>
              <w:t>2</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b/>
                <w:bCs/>
                <w:color w:val="000000"/>
                <w:kern w:val="22"/>
                <w:sz w:val="17"/>
                <w:szCs w:val="17"/>
                <w:lang w:val="fr-CA" w:eastAsia="en-CA"/>
              </w:rPr>
            </w:pPr>
          </w:p>
        </w:tc>
        <w:tc>
          <w:tcPr>
            <w:tcW w:w="5649" w:type="dxa"/>
            <w:gridSpan w:val="2"/>
            <w:tcBorders>
              <w:top w:val="single" w:sz="4" w:space="0" w:color="auto"/>
              <w:left w:val="nil"/>
              <w:bottom w:val="single" w:sz="4" w:space="0" w:color="auto"/>
              <w:right w:val="nil"/>
            </w:tcBorders>
            <w:shd w:val="clear" w:color="auto" w:fill="auto"/>
            <w:vAlign w:val="center"/>
            <w:hideMark/>
          </w:tcPr>
          <w:p w:rsidR="00A11FB8" w:rsidRPr="00E02578" w:rsidRDefault="0017200F" w:rsidP="00136A43">
            <w:pPr>
              <w:rPr>
                <w:b/>
                <w:bCs/>
                <w:kern w:val="22"/>
                <w:sz w:val="17"/>
                <w:szCs w:val="17"/>
                <w:lang w:val="fr-CA" w:eastAsia="en-CA"/>
              </w:rPr>
            </w:pPr>
            <w:r>
              <w:rPr>
                <w:b/>
                <w:bCs/>
                <w:kern w:val="22"/>
                <w:sz w:val="17"/>
                <w:szCs w:val="17"/>
                <w:lang w:val="fr-CA" w:eastAsia="en-CA"/>
              </w:rPr>
              <w:t>Sous-total</w:t>
            </w:r>
            <w:r w:rsidR="00A11FB8" w:rsidRPr="00E02578">
              <w:rPr>
                <w:b/>
                <w:bCs/>
                <w:kern w:val="22"/>
                <w:sz w:val="17"/>
                <w:szCs w:val="17"/>
                <w:lang w:val="fr-CA" w:eastAsia="en-CA"/>
              </w:rPr>
              <w:t xml:space="preserve"> (I)</w:t>
            </w:r>
          </w:p>
        </w:tc>
        <w:tc>
          <w:tcPr>
            <w:tcW w:w="1121" w:type="dxa"/>
            <w:tcBorders>
              <w:top w:val="single" w:sz="4" w:space="0" w:color="auto"/>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16</w:t>
            </w:r>
            <w:r w:rsidR="005447DD" w:rsidRPr="00E02578">
              <w:rPr>
                <w:b/>
                <w:bCs/>
                <w:kern w:val="22"/>
                <w:sz w:val="17"/>
                <w:szCs w:val="17"/>
                <w:lang w:val="fr-CA" w:eastAsia="en-CA"/>
              </w:rPr>
              <w:t xml:space="preserve"> </w:t>
            </w:r>
            <w:r w:rsidRPr="00E02578">
              <w:rPr>
                <w:b/>
                <w:bCs/>
                <w:kern w:val="22"/>
                <w:sz w:val="17"/>
                <w:szCs w:val="17"/>
                <w:lang w:val="fr-CA" w:eastAsia="en-CA"/>
              </w:rPr>
              <w:t>719</w:t>
            </w:r>
            <w:r w:rsidR="000D3C0F">
              <w:rPr>
                <w:b/>
                <w:bCs/>
                <w:kern w:val="22"/>
                <w:sz w:val="17"/>
                <w:szCs w:val="17"/>
                <w:lang w:val="fr-CA" w:eastAsia="en-CA"/>
              </w:rPr>
              <w:t>,</w:t>
            </w:r>
            <w:r w:rsidRPr="00E02578">
              <w:rPr>
                <w:b/>
                <w:bCs/>
                <w:kern w:val="22"/>
                <w:sz w:val="17"/>
                <w:szCs w:val="17"/>
                <w:lang w:val="fr-CA" w:eastAsia="en-CA"/>
              </w:rPr>
              <w:t>0</w:t>
            </w:r>
          </w:p>
        </w:tc>
        <w:tc>
          <w:tcPr>
            <w:tcW w:w="1121" w:type="dxa"/>
            <w:tcBorders>
              <w:top w:val="single" w:sz="4" w:space="0" w:color="auto"/>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17</w:t>
            </w:r>
            <w:r w:rsidR="005447DD" w:rsidRPr="00E02578">
              <w:rPr>
                <w:b/>
                <w:bCs/>
                <w:kern w:val="22"/>
                <w:sz w:val="17"/>
                <w:szCs w:val="17"/>
                <w:lang w:val="fr-CA" w:eastAsia="en-CA"/>
              </w:rPr>
              <w:t xml:space="preserve"> </w:t>
            </w:r>
            <w:r w:rsidRPr="00E02578">
              <w:rPr>
                <w:b/>
                <w:bCs/>
                <w:kern w:val="22"/>
                <w:sz w:val="17"/>
                <w:szCs w:val="17"/>
                <w:lang w:val="fr-CA" w:eastAsia="en-CA"/>
              </w:rPr>
              <w:t>490</w:t>
            </w:r>
            <w:r w:rsidR="000D3C0F">
              <w:rPr>
                <w:b/>
                <w:bCs/>
                <w:kern w:val="22"/>
                <w:sz w:val="17"/>
                <w:szCs w:val="17"/>
                <w:lang w:val="fr-CA" w:eastAsia="en-CA"/>
              </w:rPr>
              <w:t>,</w:t>
            </w:r>
            <w:r w:rsidRPr="00E02578">
              <w:rPr>
                <w:b/>
                <w:bCs/>
                <w:kern w:val="22"/>
                <w:sz w:val="17"/>
                <w:szCs w:val="17"/>
                <w:lang w:val="fr-CA" w:eastAsia="en-CA"/>
              </w:rPr>
              <w:t>6</w:t>
            </w:r>
          </w:p>
        </w:tc>
        <w:tc>
          <w:tcPr>
            <w:tcW w:w="1121" w:type="dxa"/>
            <w:tcBorders>
              <w:top w:val="single" w:sz="4" w:space="0" w:color="auto"/>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34</w:t>
            </w:r>
            <w:r w:rsidR="005447DD" w:rsidRPr="00E02578">
              <w:rPr>
                <w:b/>
                <w:bCs/>
                <w:kern w:val="22"/>
                <w:sz w:val="17"/>
                <w:szCs w:val="17"/>
                <w:lang w:val="fr-CA" w:eastAsia="en-CA"/>
              </w:rPr>
              <w:t xml:space="preserve"> </w:t>
            </w:r>
            <w:r w:rsidRPr="00E02578">
              <w:rPr>
                <w:b/>
                <w:bCs/>
                <w:kern w:val="22"/>
                <w:sz w:val="17"/>
                <w:szCs w:val="17"/>
                <w:lang w:val="fr-CA" w:eastAsia="en-CA"/>
              </w:rPr>
              <w:t>209</w:t>
            </w:r>
            <w:r w:rsidR="000D3C0F">
              <w:rPr>
                <w:b/>
                <w:bCs/>
                <w:kern w:val="22"/>
                <w:sz w:val="17"/>
                <w:szCs w:val="17"/>
                <w:lang w:val="fr-CA" w:eastAsia="en-CA"/>
              </w:rPr>
              <w:t>,</w:t>
            </w:r>
            <w:r w:rsidRPr="00E02578">
              <w:rPr>
                <w:b/>
                <w:bCs/>
                <w:kern w:val="22"/>
                <w:sz w:val="17"/>
                <w:szCs w:val="17"/>
                <w:lang w:val="fr-CA" w:eastAsia="en-CA"/>
              </w:rPr>
              <w:t>6</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b/>
                <w:bCs/>
                <w:color w:val="000000"/>
                <w:kern w:val="22"/>
                <w:sz w:val="17"/>
                <w:szCs w:val="17"/>
                <w:lang w:val="fr-CA" w:eastAsia="en-CA"/>
              </w:rPr>
            </w:pPr>
            <w:r w:rsidRPr="00E02578">
              <w:rPr>
                <w:b/>
                <w:bCs/>
                <w:color w:val="000000"/>
                <w:kern w:val="22"/>
                <w:sz w:val="17"/>
                <w:szCs w:val="17"/>
                <w:lang w:val="fr-CA" w:eastAsia="en-CA"/>
              </w:rPr>
              <w:t>II</w:t>
            </w:r>
          </w:p>
        </w:tc>
        <w:tc>
          <w:tcPr>
            <w:tcW w:w="5649" w:type="dxa"/>
            <w:gridSpan w:val="2"/>
            <w:tcBorders>
              <w:top w:val="single" w:sz="4" w:space="0" w:color="auto"/>
              <w:left w:val="nil"/>
              <w:bottom w:val="nil"/>
              <w:right w:val="nil"/>
            </w:tcBorders>
            <w:shd w:val="clear" w:color="auto" w:fill="auto"/>
            <w:vAlign w:val="center"/>
            <w:hideMark/>
          </w:tcPr>
          <w:p w:rsidR="00A11FB8" w:rsidRPr="00E02578" w:rsidRDefault="0017200F" w:rsidP="00136A43">
            <w:pPr>
              <w:rPr>
                <w:b/>
                <w:bCs/>
                <w:kern w:val="22"/>
                <w:sz w:val="17"/>
                <w:szCs w:val="17"/>
                <w:lang w:val="fr-CA" w:eastAsia="en-CA"/>
              </w:rPr>
            </w:pPr>
            <w:r>
              <w:rPr>
                <w:b/>
                <w:bCs/>
                <w:kern w:val="22"/>
                <w:sz w:val="17"/>
                <w:szCs w:val="17"/>
                <w:lang w:val="fr-CA" w:eastAsia="en-CA"/>
              </w:rPr>
              <w:t>Coûts d’appui au programme</w:t>
            </w:r>
            <w:r w:rsidR="009A4007" w:rsidRPr="00E02578">
              <w:rPr>
                <w:b/>
                <w:bCs/>
                <w:kern w:val="22"/>
                <w:sz w:val="17"/>
                <w:szCs w:val="17"/>
                <w:lang w:val="fr-CA" w:eastAsia="en-CA"/>
              </w:rPr>
              <w:t xml:space="preserve"> </w:t>
            </w:r>
            <w:r w:rsidR="00A11FB8" w:rsidRPr="00E02578">
              <w:rPr>
                <w:b/>
                <w:bCs/>
                <w:kern w:val="22"/>
                <w:sz w:val="17"/>
                <w:szCs w:val="17"/>
                <w:lang w:val="fr-CA" w:eastAsia="en-CA"/>
              </w:rPr>
              <w:t>(13</w:t>
            </w:r>
            <w:r>
              <w:rPr>
                <w:b/>
                <w:bCs/>
                <w:kern w:val="22"/>
                <w:sz w:val="17"/>
                <w:szCs w:val="17"/>
                <w:lang w:val="fr-CA" w:eastAsia="en-CA"/>
              </w:rPr>
              <w:t xml:space="preserve"> </w:t>
            </w:r>
            <w:r w:rsidR="00A11FB8" w:rsidRPr="00E02578">
              <w:rPr>
                <w:b/>
                <w:bCs/>
                <w:kern w:val="22"/>
                <w:sz w:val="17"/>
                <w:szCs w:val="17"/>
                <w:lang w:val="fr-CA" w:eastAsia="en-CA"/>
              </w:rPr>
              <w:t>%)</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2</w:t>
            </w:r>
            <w:r w:rsidR="005447DD" w:rsidRPr="00E02578">
              <w:rPr>
                <w:kern w:val="22"/>
                <w:sz w:val="17"/>
                <w:szCs w:val="17"/>
                <w:lang w:val="fr-CA" w:eastAsia="en-CA"/>
              </w:rPr>
              <w:t xml:space="preserve"> </w:t>
            </w:r>
            <w:r w:rsidRPr="00E02578">
              <w:rPr>
                <w:kern w:val="22"/>
                <w:sz w:val="17"/>
                <w:szCs w:val="17"/>
                <w:lang w:val="fr-CA" w:eastAsia="en-CA"/>
              </w:rPr>
              <w:t>173</w:t>
            </w:r>
            <w:r w:rsidR="000D3C0F">
              <w:rPr>
                <w:kern w:val="22"/>
                <w:sz w:val="17"/>
                <w:szCs w:val="17"/>
                <w:lang w:val="fr-CA" w:eastAsia="en-CA"/>
              </w:rPr>
              <w:t>,</w:t>
            </w:r>
            <w:r w:rsidRPr="00E02578">
              <w:rPr>
                <w:kern w:val="22"/>
                <w:sz w:val="17"/>
                <w:szCs w:val="17"/>
                <w:lang w:val="fr-CA" w:eastAsia="en-CA"/>
              </w:rPr>
              <w:t>5</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2</w:t>
            </w:r>
            <w:r w:rsidR="005447DD" w:rsidRPr="00E02578">
              <w:rPr>
                <w:kern w:val="22"/>
                <w:sz w:val="17"/>
                <w:szCs w:val="17"/>
                <w:lang w:val="fr-CA" w:eastAsia="en-CA"/>
              </w:rPr>
              <w:t xml:space="preserve"> </w:t>
            </w:r>
            <w:r w:rsidRPr="00E02578">
              <w:rPr>
                <w:kern w:val="22"/>
                <w:sz w:val="17"/>
                <w:szCs w:val="17"/>
                <w:lang w:val="fr-CA" w:eastAsia="en-CA"/>
              </w:rPr>
              <w:t>273</w:t>
            </w:r>
            <w:r w:rsidR="000D3C0F">
              <w:rPr>
                <w:kern w:val="22"/>
                <w:sz w:val="17"/>
                <w:szCs w:val="17"/>
                <w:lang w:val="fr-CA" w:eastAsia="en-CA"/>
              </w:rPr>
              <w:t>,</w:t>
            </w:r>
            <w:r w:rsidRPr="00E02578">
              <w:rPr>
                <w:kern w:val="22"/>
                <w:sz w:val="17"/>
                <w:szCs w:val="17"/>
                <w:lang w:val="fr-CA" w:eastAsia="en-CA"/>
              </w:rPr>
              <w:t>8</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4</w:t>
            </w:r>
            <w:r w:rsidR="005447DD" w:rsidRPr="00E02578">
              <w:rPr>
                <w:kern w:val="22"/>
                <w:sz w:val="17"/>
                <w:szCs w:val="17"/>
                <w:lang w:val="fr-CA" w:eastAsia="en-CA"/>
              </w:rPr>
              <w:t xml:space="preserve"> </w:t>
            </w:r>
            <w:r w:rsidRPr="00E02578">
              <w:rPr>
                <w:kern w:val="22"/>
                <w:sz w:val="17"/>
                <w:szCs w:val="17"/>
                <w:lang w:val="fr-CA" w:eastAsia="en-CA"/>
              </w:rPr>
              <w:t>447</w:t>
            </w:r>
            <w:r w:rsidR="000D3C0F">
              <w:rPr>
                <w:kern w:val="22"/>
                <w:sz w:val="17"/>
                <w:szCs w:val="17"/>
                <w:lang w:val="fr-CA" w:eastAsia="en-CA"/>
              </w:rPr>
              <w:t>,</w:t>
            </w:r>
            <w:r w:rsidRPr="00E02578">
              <w:rPr>
                <w:kern w:val="22"/>
                <w:sz w:val="17"/>
                <w:szCs w:val="17"/>
                <w:lang w:val="fr-CA" w:eastAsia="en-CA"/>
              </w:rPr>
              <w:t>2</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b/>
                <w:bCs/>
                <w:color w:val="000000"/>
                <w:kern w:val="22"/>
                <w:sz w:val="17"/>
                <w:szCs w:val="17"/>
                <w:lang w:val="fr-CA" w:eastAsia="en-CA"/>
              </w:rPr>
            </w:pPr>
          </w:p>
        </w:tc>
        <w:tc>
          <w:tcPr>
            <w:tcW w:w="5649" w:type="dxa"/>
            <w:gridSpan w:val="2"/>
            <w:tcBorders>
              <w:top w:val="nil"/>
              <w:left w:val="nil"/>
              <w:bottom w:val="single" w:sz="4" w:space="0" w:color="auto"/>
              <w:right w:val="nil"/>
            </w:tcBorders>
            <w:shd w:val="clear" w:color="auto" w:fill="auto"/>
            <w:vAlign w:val="center"/>
            <w:hideMark/>
          </w:tcPr>
          <w:p w:rsidR="00A11FB8" w:rsidRPr="00E02578" w:rsidRDefault="0017200F" w:rsidP="00136A43">
            <w:pPr>
              <w:rPr>
                <w:b/>
                <w:bCs/>
                <w:kern w:val="22"/>
                <w:sz w:val="17"/>
                <w:szCs w:val="17"/>
                <w:lang w:val="fr-CA" w:eastAsia="en-CA"/>
              </w:rPr>
            </w:pPr>
            <w:r>
              <w:rPr>
                <w:b/>
                <w:bCs/>
                <w:kern w:val="22"/>
                <w:sz w:val="17"/>
                <w:szCs w:val="17"/>
                <w:lang w:val="fr-CA" w:eastAsia="en-CA"/>
              </w:rPr>
              <w:t>Sous-total</w:t>
            </w:r>
            <w:r w:rsidR="00A11FB8" w:rsidRPr="00E02578">
              <w:rPr>
                <w:b/>
                <w:bCs/>
                <w:kern w:val="22"/>
                <w:sz w:val="17"/>
                <w:szCs w:val="17"/>
                <w:lang w:val="fr-CA" w:eastAsia="en-CA"/>
              </w:rPr>
              <w:t xml:space="preserve"> (I + II)</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18</w:t>
            </w:r>
            <w:r w:rsidR="005447DD" w:rsidRPr="00E02578">
              <w:rPr>
                <w:b/>
                <w:bCs/>
                <w:kern w:val="22"/>
                <w:sz w:val="17"/>
                <w:szCs w:val="17"/>
                <w:lang w:val="fr-CA" w:eastAsia="en-CA"/>
              </w:rPr>
              <w:t xml:space="preserve"> </w:t>
            </w:r>
            <w:r w:rsidRPr="00E02578">
              <w:rPr>
                <w:b/>
                <w:bCs/>
                <w:kern w:val="22"/>
                <w:sz w:val="17"/>
                <w:szCs w:val="17"/>
                <w:lang w:val="fr-CA" w:eastAsia="en-CA"/>
              </w:rPr>
              <w:t>892</w:t>
            </w:r>
            <w:r w:rsidR="000D3C0F">
              <w:rPr>
                <w:b/>
                <w:bCs/>
                <w:kern w:val="22"/>
                <w:sz w:val="17"/>
                <w:szCs w:val="17"/>
                <w:lang w:val="fr-CA" w:eastAsia="en-CA"/>
              </w:rPr>
              <w:t>,</w:t>
            </w:r>
            <w:r w:rsidRPr="00E02578">
              <w:rPr>
                <w:b/>
                <w:bCs/>
                <w:kern w:val="22"/>
                <w:sz w:val="17"/>
                <w:szCs w:val="17"/>
                <w:lang w:val="fr-CA" w:eastAsia="en-CA"/>
              </w:rPr>
              <w:t>4</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19</w:t>
            </w:r>
            <w:r w:rsidR="005447DD" w:rsidRPr="00E02578">
              <w:rPr>
                <w:b/>
                <w:bCs/>
                <w:kern w:val="22"/>
                <w:sz w:val="17"/>
                <w:szCs w:val="17"/>
                <w:lang w:val="fr-CA" w:eastAsia="en-CA"/>
              </w:rPr>
              <w:t xml:space="preserve"> </w:t>
            </w:r>
            <w:r w:rsidRPr="00E02578">
              <w:rPr>
                <w:b/>
                <w:bCs/>
                <w:kern w:val="22"/>
                <w:sz w:val="17"/>
                <w:szCs w:val="17"/>
                <w:lang w:val="fr-CA" w:eastAsia="en-CA"/>
              </w:rPr>
              <w:t>764</w:t>
            </w:r>
            <w:r w:rsidR="000D3C0F">
              <w:rPr>
                <w:b/>
                <w:bCs/>
                <w:kern w:val="22"/>
                <w:sz w:val="17"/>
                <w:szCs w:val="17"/>
                <w:lang w:val="fr-CA" w:eastAsia="en-CA"/>
              </w:rPr>
              <w:t>,</w:t>
            </w:r>
            <w:r w:rsidRPr="00E02578">
              <w:rPr>
                <w:b/>
                <w:bCs/>
                <w:kern w:val="22"/>
                <w:sz w:val="17"/>
                <w:szCs w:val="17"/>
                <w:lang w:val="fr-CA" w:eastAsia="en-CA"/>
              </w:rPr>
              <w:t>4</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38</w:t>
            </w:r>
            <w:r w:rsidR="005447DD" w:rsidRPr="00E02578">
              <w:rPr>
                <w:b/>
                <w:bCs/>
                <w:kern w:val="22"/>
                <w:sz w:val="17"/>
                <w:szCs w:val="17"/>
                <w:lang w:val="fr-CA" w:eastAsia="en-CA"/>
              </w:rPr>
              <w:t xml:space="preserve"> </w:t>
            </w:r>
            <w:r w:rsidRPr="00E02578">
              <w:rPr>
                <w:b/>
                <w:bCs/>
                <w:kern w:val="22"/>
                <w:sz w:val="17"/>
                <w:szCs w:val="17"/>
                <w:lang w:val="fr-CA" w:eastAsia="en-CA"/>
              </w:rPr>
              <w:t>656</w:t>
            </w:r>
            <w:r w:rsidR="000D3C0F">
              <w:rPr>
                <w:b/>
                <w:bCs/>
                <w:kern w:val="22"/>
                <w:sz w:val="17"/>
                <w:szCs w:val="17"/>
                <w:lang w:val="fr-CA" w:eastAsia="en-CA"/>
              </w:rPr>
              <w:t>,</w:t>
            </w:r>
            <w:r w:rsidRPr="00E02578">
              <w:rPr>
                <w:b/>
                <w:bCs/>
                <w:kern w:val="22"/>
                <w:sz w:val="17"/>
                <w:szCs w:val="17"/>
                <w:lang w:val="fr-CA" w:eastAsia="en-CA"/>
              </w:rPr>
              <w:t>8</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b/>
                <w:bCs/>
                <w:color w:val="000000"/>
                <w:kern w:val="22"/>
                <w:sz w:val="17"/>
                <w:szCs w:val="17"/>
                <w:lang w:val="fr-CA" w:eastAsia="en-CA"/>
              </w:rPr>
            </w:pPr>
            <w:r w:rsidRPr="00E02578">
              <w:rPr>
                <w:b/>
                <w:bCs/>
                <w:color w:val="000000"/>
                <w:kern w:val="22"/>
                <w:sz w:val="17"/>
                <w:szCs w:val="17"/>
                <w:lang w:val="fr-CA" w:eastAsia="en-CA"/>
              </w:rPr>
              <w:t>III</w:t>
            </w:r>
          </w:p>
        </w:tc>
        <w:tc>
          <w:tcPr>
            <w:tcW w:w="5649" w:type="dxa"/>
            <w:gridSpan w:val="2"/>
            <w:tcBorders>
              <w:top w:val="single" w:sz="4" w:space="0" w:color="auto"/>
              <w:left w:val="nil"/>
              <w:bottom w:val="nil"/>
              <w:right w:val="nil"/>
            </w:tcBorders>
            <w:shd w:val="clear" w:color="auto" w:fill="auto"/>
            <w:vAlign w:val="center"/>
            <w:hideMark/>
          </w:tcPr>
          <w:p w:rsidR="00A11FB8" w:rsidRPr="00E02578" w:rsidRDefault="0017200F" w:rsidP="00136A43">
            <w:pPr>
              <w:rPr>
                <w:kern w:val="22"/>
                <w:sz w:val="17"/>
                <w:szCs w:val="17"/>
                <w:lang w:val="fr-CA" w:eastAsia="en-CA"/>
              </w:rPr>
            </w:pPr>
            <w:r>
              <w:rPr>
                <w:kern w:val="22"/>
                <w:sz w:val="17"/>
                <w:szCs w:val="17"/>
                <w:lang w:val="fr-CA" w:eastAsia="en-CA"/>
              </w:rPr>
              <w:t>Réserve du Fonds de roulement</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56</w:t>
            </w:r>
            <w:r w:rsidR="000D3C0F">
              <w:rPr>
                <w:kern w:val="22"/>
                <w:sz w:val="17"/>
                <w:szCs w:val="17"/>
                <w:lang w:val="fr-CA" w:eastAsia="en-CA"/>
              </w:rPr>
              <w:t>,</w:t>
            </w:r>
            <w:r w:rsidRPr="00E02578">
              <w:rPr>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130</w:t>
            </w:r>
            <w:r w:rsidR="000D3C0F">
              <w:rPr>
                <w:kern w:val="22"/>
                <w:sz w:val="17"/>
                <w:szCs w:val="17"/>
                <w:lang w:val="fr-CA" w:eastAsia="en-CA"/>
              </w:rPr>
              <w:t>,</w:t>
            </w:r>
            <w:r w:rsidRPr="00E02578">
              <w:rPr>
                <w:kern w:val="22"/>
                <w:sz w:val="17"/>
                <w:szCs w:val="17"/>
                <w:lang w:val="fr-CA" w:eastAsia="en-CA"/>
              </w:rPr>
              <w:t>8</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187</w:t>
            </w:r>
            <w:r w:rsidR="000D3C0F">
              <w:rPr>
                <w:kern w:val="22"/>
                <w:sz w:val="17"/>
                <w:szCs w:val="17"/>
                <w:lang w:val="fr-CA" w:eastAsia="en-CA"/>
              </w:rPr>
              <w:t>,</w:t>
            </w:r>
            <w:r w:rsidRPr="00E02578">
              <w:rPr>
                <w:kern w:val="22"/>
                <w:sz w:val="17"/>
                <w:szCs w:val="17"/>
                <w:lang w:val="fr-CA" w:eastAsia="en-CA"/>
              </w:rPr>
              <w:t>3</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b/>
                <w:bCs/>
                <w:color w:val="000000"/>
                <w:kern w:val="22"/>
                <w:sz w:val="17"/>
                <w:szCs w:val="17"/>
                <w:lang w:val="fr-CA" w:eastAsia="en-CA"/>
              </w:rPr>
            </w:pPr>
          </w:p>
        </w:tc>
        <w:tc>
          <w:tcPr>
            <w:tcW w:w="5649" w:type="dxa"/>
            <w:gridSpan w:val="2"/>
            <w:tcBorders>
              <w:top w:val="nil"/>
              <w:left w:val="nil"/>
              <w:bottom w:val="single" w:sz="8" w:space="0" w:color="auto"/>
              <w:right w:val="nil"/>
            </w:tcBorders>
            <w:shd w:val="clear" w:color="auto" w:fill="auto"/>
            <w:vAlign w:val="center"/>
            <w:hideMark/>
          </w:tcPr>
          <w:p w:rsidR="00A11FB8" w:rsidRPr="00E02578" w:rsidRDefault="0017200F" w:rsidP="00136A43">
            <w:pPr>
              <w:rPr>
                <w:b/>
                <w:bCs/>
                <w:color w:val="000000"/>
                <w:kern w:val="22"/>
                <w:sz w:val="17"/>
                <w:szCs w:val="17"/>
                <w:lang w:val="fr-CA" w:eastAsia="en-CA"/>
              </w:rPr>
            </w:pPr>
            <w:r>
              <w:rPr>
                <w:b/>
                <w:bCs/>
                <w:color w:val="000000"/>
                <w:kern w:val="22"/>
                <w:sz w:val="17"/>
                <w:szCs w:val="17"/>
                <w:lang w:val="fr-CA" w:eastAsia="en-CA"/>
              </w:rPr>
              <w:t>Total global</w:t>
            </w:r>
            <w:r w:rsidR="00A11FB8" w:rsidRPr="00E02578">
              <w:rPr>
                <w:b/>
                <w:bCs/>
                <w:color w:val="000000"/>
                <w:kern w:val="22"/>
                <w:sz w:val="17"/>
                <w:szCs w:val="17"/>
                <w:lang w:val="fr-CA" w:eastAsia="en-CA"/>
              </w:rPr>
              <w:t xml:space="preserve"> (II + III)</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b/>
                <w:bCs/>
                <w:color w:val="000000"/>
                <w:kern w:val="22"/>
                <w:sz w:val="17"/>
                <w:szCs w:val="17"/>
                <w:lang w:val="fr-CA" w:eastAsia="en-CA"/>
              </w:rPr>
            </w:pPr>
            <w:r w:rsidRPr="00E02578">
              <w:rPr>
                <w:b/>
                <w:bCs/>
                <w:color w:val="000000"/>
                <w:kern w:val="22"/>
                <w:sz w:val="17"/>
                <w:szCs w:val="17"/>
                <w:lang w:val="fr-CA" w:eastAsia="en-CA"/>
              </w:rPr>
              <w:t>18</w:t>
            </w:r>
            <w:r w:rsidR="005447DD" w:rsidRPr="00E02578">
              <w:rPr>
                <w:b/>
                <w:bCs/>
                <w:color w:val="000000"/>
                <w:kern w:val="22"/>
                <w:sz w:val="17"/>
                <w:szCs w:val="17"/>
                <w:lang w:val="fr-CA" w:eastAsia="en-CA"/>
              </w:rPr>
              <w:t xml:space="preserve"> </w:t>
            </w:r>
            <w:r w:rsidRPr="00E02578">
              <w:rPr>
                <w:b/>
                <w:bCs/>
                <w:color w:val="000000"/>
                <w:kern w:val="22"/>
                <w:sz w:val="17"/>
                <w:szCs w:val="17"/>
                <w:lang w:val="fr-CA" w:eastAsia="en-CA"/>
              </w:rPr>
              <w:t>949</w:t>
            </w:r>
            <w:r w:rsidR="000D3C0F">
              <w:rPr>
                <w:b/>
                <w:bCs/>
                <w:color w:val="000000"/>
                <w:kern w:val="22"/>
                <w:sz w:val="17"/>
                <w:szCs w:val="17"/>
                <w:lang w:val="fr-CA" w:eastAsia="en-CA"/>
              </w:rPr>
              <w:t>,</w:t>
            </w:r>
            <w:r w:rsidRPr="00E02578">
              <w:rPr>
                <w:b/>
                <w:bCs/>
                <w:color w:val="000000"/>
                <w:kern w:val="22"/>
                <w:sz w:val="17"/>
                <w:szCs w:val="17"/>
                <w:lang w:val="fr-CA" w:eastAsia="en-CA"/>
              </w:rPr>
              <w:t>0</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b/>
                <w:bCs/>
                <w:color w:val="000000"/>
                <w:kern w:val="22"/>
                <w:sz w:val="17"/>
                <w:szCs w:val="17"/>
                <w:lang w:val="fr-CA" w:eastAsia="en-CA"/>
              </w:rPr>
            </w:pPr>
            <w:r w:rsidRPr="00E02578">
              <w:rPr>
                <w:b/>
                <w:bCs/>
                <w:color w:val="000000"/>
                <w:kern w:val="22"/>
                <w:sz w:val="17"/>
                <w:szCs w:val="17"/>
                <w:lang w:val="fr-CA" w:eastAsia="en-CA"/>
              </w:rPr>
              <w:t>19</w:t>
            </w:r>
            <w:r w:rsidR="005447DD" w:rsidRPr="00E02578">
              <w:rPr>
                <w:b/>
                <w:bCs/>
                <w:color w:val="000000"/>
                <w:kern w:val="22"/>
                <w:sz w:val="17"/>
                <w:szCs w:val="17"/>
                <w:lang w:val="fr-CA" w:eastAsia="en-CA"/>
              </w:rPr>
              <w:t xml:space="preserve"> </w:t>
            </w:r>
            <w:r w:rsidRPr="00E02578">
              <w:rPr>
                <w:b/>
                <w:bCs/>
                <w:color w:val="000000"/>
                <w:kern w:val="22"/>
                <w:sz w:val="17"/>
                <w:szCs w:val="17"/>
                <w:lang w:val="fr-CA" w:eastAsia="en-CA"/>
              </w:rPr>
              <w:t>895</w:t>
            </w:r>
            <w:r w:rsidR="000D3C0F">
              <w:rPr>
                <w:b/>
                <w:bCs/>
                <w:color w:val="000000"/>
                <w:kern w:val="22"/>
                <w:sz w:val="17"/>
                <w:szCs w:val="17"/>
                <w:lang w:val="fr-CA" w:eastAsia="en-CA"/>
              </w:rPr>
              <w:t>,</w:t>
            </w:r>
            <w:r w:rsidRPr="00E02578">
              <w:rPr>
                <w:b/>
                <w:bCs/>
                <w:color w:val="000000"/>
                <w:kern w:val="22"/>
                <w:sz w:val="17"/>
                <w:szCs w:val="17"/>
                <w:lang w:val="fr-CA" w:eastAsia="en-CA"/>
              </w:rPr>
              <w:t>1</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b/>
                <w:bCs/>
                <w:color w:val="000000"/>
                <w:kern w:val="22"/>
                <w:sz w:val="17"/>
                <w:szCs w:val="17"/>
                <w:lang w:val="fr-CA" w:eastAsia="en-CA"/>
              </w:rPr>
            </w:pPr>
            <w:r w:rsidRPr="00E02578">
              <w:rPr>
                <w:b/>
                <w:bCs/>
                <w:color w:val="000000"/>
                <w:kern w:val="22"/>
                <w:sz w:val="17"/>
                <w:szCs w:val="17"/>
                <w:lang w:val="fr-CA" w:eastAsia="en-CA"/>
              </w:rPr>
              <w:t>38</w:t>
            </w:r>
            <w:r w:rsidR="005447DD" w:rsidRPr="00E02578">
              <w:rPr>
                <w:b/>
                <w:bCs/>
                <w:color w:val="000000"/>
                <w:kern w:val="22"/>
                <w:sz w:val="17"/>
                <w:szCs w:val="17"/>
                <w:lang w:val="fr-CA" w:eastAsia="en-CA"/>
              </w:rPr>
              <w:t xml:space="preserve"> </w:t>
            </w:r>
            <w:r w:rsidRPr="00E02578">
              <w:rPr>
                <w:b/>
                <w:bCs/>
                <w:color w:val="000000"/>
                <w:kern w:val="22"/>
                <w:sz w:val="17"/>
                <w:szCs w:val="17"/>
                <w:lang w:val="fr-CA" w:eastAsia="en-CA"/>
              </w:rPr>
              <w:t>844</w:t>
            </w:r>
            <w:r w:rsidR="000D3C0F">
              <w:rPr>
                <w:b/>
                <w:bCs/>
                <w:color w:val="000000"/>
                <w:kern w:val="22"/>
                <w:sz w:val="17"/>
                <w:szCs w:val="17"/>
                <w:lang w:val="fr-CA" w:eastAsia="en-CA"/>
              </w:rPr>
              <w:t>,</w:t>
            </w:r>
            <w:r w:rsidRPr="00E02578">
              <w:rPr>
                <w:b/>
                <w:bCs/>
                <w:color w:val="000000"/>
                <w:kern w:val="22"/>
                <w:sz w:val="17"/>
                <w:szCs w:val="17"/>
                <w:lang w:val="fr-CA" w:eastAsia="en-CA"/>
              </w:rPr>
              <w:t>1</w:t>
            </w:r>
          </w:p>
        </w:tc>
      </w:tr>
      <w:tr w:rsidR="00043F0D" w:rsidRPr="00E02578" w:rsidTr="0017200F">
        <w:trPr>
          <w:trHeight w:val="432"/>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tcBorders>
              <w:top w:val="single" w:sz="8" w:space="0" w:color="auto"/>
              <w:left w:val="nil"/>
              <w:bottom w:val="single" w:sz="8" w:space="0" w:color="auto"/>
              <w:right w:val="nil"/>
            </w:tcBorders>
            <w:shd w:val="clear" w:color="auto" w:fill="auto"/>
            <w:vAlign w:val="center"/>
            <w:hideMark/>
          </w:tcPr>
          <w:p w:rsidR="00A11FB8" w:rsidRPr="00E02578" w:rsidRDefault="0017200F" w:rsidP="0069295C">
            <w:pPr>
              <w:jc w:val="left"/>
              <w:rPr>
                <w:kern w:val="22"/>
                <w:sz w:val="17"/>
                <w:szCs w:val="17"/>
                <w:lang w:val="fr-CA" w:eastAsia="en-CA"/>
              </w:rPr>
            </w:pPr>
            <w:r>
              <w:rPr>
                <w:kern w:val="22"/>
                <w:sz w:val="17"/>
                <w:szCs w:val="17"/>
                <w:lang w:val="fr-CA" w:eastAsia="en-CA"/>
              </w:rPr>
              <w:t>Part du Protocole de Nagoya du budget intégré</w:t>
            </w:r>
            <w:r w:rsidR="00A11FB8" w:rsidRPr="00E02578">
              <w:rPr>
                <w:kern w:val="22"/>
                <w:sz w:val="17"/>
                <w:szCs w:val="17"/>
                <w:lang w:val="fr-CA" w:eastAsia="en-CA"/>
              </w:rPr>
              <w:t xml:space="preserve"> (11</w:t>
            </w:r>
            <w:r>
              <w:rPr>
                <w:kern w:val="22"/>
                <w:sz w:val="17"/>
                <w:szCs w:val="17"/>
                <w:lang w:val="fr-CA" w:eastAsia="en-CA"/>
              </w:rPr>
              <w:t xml:space="preserve"> </w:t>
            </w:r>
            <w:r w:rsidR="00A11FB8" w:rsidRPr="00E02578">
              <w:rPr>
                <w:kern w:val="22"/>
                <w:sz w:val="17"/>
                <w:szCs w:val="17"/>
                <w:lang w:val="fr-CA" w:eastAsia="en-CA"/>
              </w:rPr>
              <w:t>%)</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2</w:t>
            </w:r>
            <w:r w:rsidR="005447DD" w:rsidRPr="00E02578">
              <w:rPr>
                <w:kern w:val="22"/>
                <w:sz w:val="17"/>
                <w:szCs w:val="17"/>
                <w:lang w:val="fr-CA" w:eastAsia="en-CA"/>
              </w:rPr>
              <w:t xml:space="preserve"> </w:t>
            </w:r>
            <w:r w:rsidRPr="00E02578">
              <w:rPr>
                <w:kern w:val="22"/>
                <w:sz w:val="17"/>
                <w:szCs w:val="17"/>
                <w:lang w:val="fr-CA" w:eastAsia="en-CA"/>
              </w:rPr>
              <w:t>084</w:t>
            </w:r>
            <w:r w:rsidR="000D3C0F">
              <w:rPr>
                <w:kern w:val="22"/>
                <w:sz w:val="17"/>
                <w:szCs w:val="17"/>
                <w:lang w:val="fr-CA" w:eastAsia="en-CA"/>
              </w:rPr>
              <w:t>,</w:t>
            </w:r>
            <w:r w:rsidRPr="00E02578">
              <w:rPr>
                <w:kern w:val="22"/>
                <w:sz w:val="17"/>
                <w:szCs w:val="17"/>
                <w:lang w:val="fr-CA" w:eastAsia="en-CA"/>
              </w:rPr>
              <w:t xml:space="preserve">4 </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2</w:t>
            </w:r>
            <w:r w:rsidR="005447DD" w:rsidRPr="00E02578">
              <w:rPr>
                <w:kern w:val="22"/>
                <w:sz w:val="17"/>
                <w:szCs w:val="17"/>
                <w:lang w:val="fr-CA" w:eastAsia="en-CA"/>
              </w:rPr>
              <w:t xml:space="preserve"> </w:t>
            </w:r>
            <w:r w:rsidRPr="00E02578">
              <w:rPr>
                <w:kern w:val="22"/>
                <w:sz w:val="17"/>
                <w:szCs w:val="17"/>
                <w:lang w:val="fr-CA" w:eastAsia="en-CA"/>
              </w:rPr>
              <w:t>188</w:t>
            </w:r>
            <w:r w:rsidR="000D3C0F">
              <w:rPr>
                <w:kern w:val="22"/>
                <w:sz w:val="17"/>
                <w:szCs w:val="17"/>
                <w:lang w:val="fr-CA" w:eastAsia="en-CA"/>
              </w:rPr>
              <w:t>,</w:t>
            </w:r>
            <w:r w:rsidRPr="00E02578">
              <w:rPr>
                <w:kern w:val="22"/>
                <w:sz w:val="17"/>
                <w:szCs w:val="17"/>
                <w:lang w:val="fr-CA" w:eastAsia="en-CA"/>
              </w:rPr>
              <w:t xml:space="preserve">5 </w:t>
            </w:r>
          </w:p>
        </w:tc>
        <w:tc>
          <w:tcPr>
            <w:tcW w:w="1121" w:type="dxa"/>
            <w:tcBorders>
              <w:top w:val="nil"/>
              <w:left w:val="nil"/>
              <w:bottom w:val="single" w:sz="8" w:space="0" w:color="auto"/>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4</w:t>
            </w:r>
            <w:r w:rsidR="005447DD" w:rsidRPr="00E02578">
              <w:rPr>
                <w:kern w:val="22"/>
                <w:sz w:val="17"/>
                <w:szCs w:val="17"/>
                <w:lang w:val="fr-CA" w:eastAsia="en-CA"/>
              </w:rPr>
              <w:t xml:space="preserve"> </w:t>
            </w:r>
            <w:r w:rsidRPr="00E02578">
              <w:rPr>
                <w:kern w:val="22"/>
                <w:sz w:val="17"/>
                <w:szCs w:val="17"/>
                <w:lang w:val="fr-CA" w:eastAsia="en-CA"/>
              </w:rPr>
              <w:t>272</w:t>
            </w:r>
            <w:r w:rsidR="000D3C0F">
              <w:rPr>
                <w:kern w:val="22"/>
                <w:sz w:val="17"/>
                <w:szCs w:val="17"/>
                <w:lang w:val="fr-CA" w:eastAsia="en-CA"/>
              </w:rPr>
              <w:t>,</w:t>
            </w:r>
            <w:r w:rsidRPr="00E02578">
              <w:rPr>
                <w:kern w:val="22"/>
                <w:sz w:val="17"/>
                <w:szCs w:val="17"/>
                <w:lang w:val="fr-CA" w:eastAsia="en-CA"/>
              </w:rPr>
              <w:t xml:space="preserve">9 </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17200F" w:rsidP="000D3C0F">
            <w:pPr>
              <w:rPr>
                <w:kern w:val="22"/>
                <w:sz w:val="17"/>
                <w:szCs w:val="17"/>
                <w:lang w:val="fr-CA" w:eastAsia="en-CA"/>
              </w:rPr>
            </w:pPr>
            <w:r w:rsidRPr="000D3C0F">
              <w:rPr>
                <w:kern w:val="22"/>
                <w:sz w:val="17"/>
                <w:szCs w:val="17"/>
                <w:u w:val="single"/>
                <w:lang w:val="fr-CA" w:eastAsia="en-CA"/>
              </w:rPr>
              <w:t>Moins</w:t>
            </w:r>
            <w:r w:rsidR="000D3C0F">
              <w:rPr>
                <w:kern w:val="22"/>
                <w:sz w:val="17"/>
                <w:szCs w:val="17"/>
                <w:lang w:val="fr-CA" w:eastAsia="en-CA"/>
              </w:rPr>
              <w:t> : C</w:t>
            </w:r>
            <w:r>
              <w:rPr>
                <w:kern w:val="22"/>
                <w:sz w:val="17"/>
                <w:szCs w:val="17"/>
                <w:lang w:val="fr-CA" w:eastAsia="en-CA"/>
              </w:rPr>
              <w:t>ontribution du pays hôte</w:t>
            </w:r>
            <w:r w:rsidR="00DD1A16" w:rsidRPr="0017200F">
              <w:rPr>
                <w:kern w:val="22"/>
                <w:sz w:val="17"/>
                <w:szCs w:val="17"/>
                <w:vertAlign w:val="superscript"/>
                <w:lang w:val="fr-CA" w:eastAsia="en-CA"/>
              </w:rPr>
              <w:t>5</w:t>
            </w:r>
            <w:r w:rsidR="00DD1A16" w:rsidRPr="00E02578">
              <w:rPr>
                <w:kern w:val="22"/>
                <w:sz w:val="17"/>
                <w:szCs w:val="17"/>
                <w:vertAlign w:val="superscript"/>
                <w:lang w:val="fr-CA" w:eastAsia="en-CA"/>
              </w:rPr>
              <w:t>/</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(135</w:t>
            </w:r>
            <w:r w:rsidR="000D3C0F">
              <w:rPr>
                <w:kern w:val="22"/>
                <w:sz w:val="17"/>
                <w:szCs w:val="17"/>
                <w:lang w:val="fr-CA" w:eastAsia="en-CA"/>
              </w:rPr>
              <w:t>,</w:t>
            </w:r>
            <w:r w:rsidRPr="00E02578">
              <w:rPr>
                <w:kern w:val="22"/>
                <w:sz w:val="17"/>
                <w:szCs w:val="17"/>
                <w:lang w:val="fr-CA" w:eastAsia="en-CA"/>
              </w:rPr>
              <w:t>2)</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(156</w:t>
            </w:r>
            <w:r w:rsidR="000D3C0F">
              <w:rPr>
                <w:kern w:val="22"/>
                <w:sz w:val="17"/>
                <w:szCs w:val="17"/>
                <w:lang w:val="fr-CA" w:eastAsia="en-CA"/>
              </w:rPr>
              <w:t>,</w:t>
            </w:r>
            <w:r w:rsidRPr="00E02578">
              <w:rPr>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(291</w:t>
            </w:r>
            <w:r w:rsidR="000D3C0F">
              <w:rPr>
                <w:kern w:val="22"/>
                <w:sz w:val="17"/>
                <w:szCs w:val="17"/>
                <w:lang w:val="fr-CA" w:eastAsia="en-CA"/>
              </w:rPr>
              <w:t>,</w:t>
            </w:r>
            <w:r w:rsidRPr="00E02578">
              <w:rPr>
                <w:kern w:val="22"/>
                <w:sz w:val="17"/>
                <w:szCs w:val="17"/>
                <w:lang w:val="fr-CA" w:eastAsia="en-CA"/>
              </w:rPr>
              <w:t>8)</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AF78A1" w:rsidP="00136A43">
            <w:pPr>
              <w:rPr>
                <w:kern w:val="22"/>
                <w:sz w:val="17"/>
                <w:szCs w:val="17"/>
                <w:lang w:val="fr-CA" w:eastAsia="en-CA"/>
              </w:rPr>
            </w:pPr>
            <w:r w:rsidRPr="00F24602">
              <w:rPr>
                <w:color w:val="000000"/>
                <w:kern w:val="22"/>
                <w:sz w:val="17"/>
                <w:szCs w:val="17"/>
                <w:u w:val="single"/>
                <w:lang w:val="fr-CA" w:eastAsia="en-CA"/>
              </w:rPr>
              <w:t xml:space="preserve">Moins </w:t>
            </w:r>
            <w:r w:rsidRPr="00F24602">
              <w:rPr>
                <w:color w:val="000000"/>
                <w:kern w:val="22"/>
                <w:sz w:val="17"/>
                <w:szCs w:val="17"/>
                <w:lang w:val="fr-CA" w:eastAsia="en-CA"/>
              </w:rPr>
              <w:t xml:space="preserve">:  Utilisation des </w:t>
            </w:r>
            <w:r>
              <w:rPr>
                <w:color w:val="000000"/>
                <w:kern w:val="22"/>
                <w:sz w:val="17"/>
                <w:szCs w:val="17"/>
                <w:lang w:val="fr-CA" w:eastAsia="en-CA"/>
              </w:rPr>
              <w:t>ré</w:t>
            </w:r>
            <w:r w:rsidRPr="00F24602">
              <w:rPr>
                <w:color w:val="000000"/>
                <w:kern w:val="22"/>
                <w:sz w:val="17"/>
                <w:szCs w:val="17"/>
                <w:lang w:val="fr-CA" w:eastAsia="en-CA"/>
              </w:rPr>
              <w:t>serves pour les ré</w:t>
            </w:r>
            <w:r>
              <w:rPr>
                <w:color w:val="000000"/>
                <w:kern w:val="22"/>
                <w:sz w:val="17"/>
                <w:szCs w:val="17"/>
                <w:lang w:val="fr-CA" w:eastAsia="en-CA"/>
              </w:rPr>
              <w:t>unions extraordinaires</w:t>
            </w:r>
            <w:r w:rsidR="00A11FB8" w:rsidRPr="00E02578">
              <w:rPr>
                <w:kern w:val="22"/>
                <w:sz w:val="17"/>
                <w:szCs w:val="17"/>
                <w:vertAlign w:val="superscript"/>
                <w:lang w:val="fr-CA" w:eastAsia="en-CA"/>
              </w:rPr>
              <w:t>/4</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(93</w:t>
            </w:r>
            <w:r w:rsidR="000D3C0F">
              <w:rPr>
                <w:kern w:val="22"/>
                <w:sz w:val="17"/>
                <w:szCs w:val="17"/>
                <w:lang w:val="fr-CA" w:eastAsia="en-CA"/>
              </w:rPr>
              <w:t>,</w:t>
            </w:r>
            <w:r w:rsidRPr="00E02578">
              <w:rPr>
                <w:kern w:val="22"/>
                <w:sz w:val="17"/>
                <w:szCs w:val="17"/>
                <w:lang w:val="fr-CA" w:eastAsia="en-CA"/>
              </w:rPr>
              <w:t>2)</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(69</w:t>
            </w:r>
            <w:r w:rsidR="000D3C0F">
              <w:rPr>
                <w:kern w:val="22"/>
                <w:sz w:val="17"/>
                <w:szCs w:val="17"/>
                <w:lang w:val="fr-CA" w:eastAsia="en-CA"/>
              </w:rPr>
              <w:t>,</w:t>
            </w:r>
            <w:r w:rsidRPr="00E02578">
              <w:rPr>
                <w:kern w:val="22"/>
                <w:sz w:val="17"/>
                <w:szCs w:val="17"/>
                <w:lang w:val="fr-CA" w:eastAsia="en-CA"/>
              </w:rPr>
              <w:t>6)</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(162</w:t>
            </w:r>
            <w:r w:rsidR="000D3C0F">
              <w:rPr>
                <w:kern w:val="22"/>
                <w:sz w:val="17"/>
                <w:szCs w:val="17"/>
                <w:lang w:val="fr-CA" w:eastAsia="en-CA"/>
              </w:rPr>
              <w:t>,</w:t>
            </w:r>
            <w:r w:rsidRPr="00E02578">
              <w:rPr>
                <w:kern w:val="22"/>
                <w:sz w:val="17"/>
                <w:szCs w:val="17"/>
                <w:lang w:val="fr-CA" w:eastAsia="en-CA"/>
              </w:rPr>
              <w:t>8)</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nil"/>
              <w:right w:val="nil"/>
            </w:tcBorders>
            <w:shd w:val="clear" w:color="auto" w:fill="auto"/>
            <w:vAlign w:val="center"/>
            <w:hideMark/>
          </w:tcPr>
          <w:p w:rsidR="00A11FB8" w:rsidRPr="00E02578" w:rsidRDefault="00AF78A1" w:rsidP="00136A43">
            <w:pPr>
              <w:rPr>
                <w:kern w:val="22"/>
                <w:sz w:val="17"/>
                <w:szCs w:val="17"/>
                <w:lang w:val="fr-CA" w:eastAsia="en-CA"/>
              </w:rPr>
            </w:pPr>
            <w:r w:rsidRPr="00F24602">
              <w:rPr>
                <w:color w:val="000000"/>
                <w:kern w:val="22"/>
                <w:sz w:val="17"/>
                <w:szCs w:val="17"/>
                <w:u w:val="single"/>
                <w:lang w:val="fr-CA" w:eastAsia="en-CA"/>
              </w:rPr>
              <w:t xml:space="preserve">Moins </w:t>
            </w:r>
            <w:r w:rsidRPr="00F24602">
              <w:rPr>
                <w:color w:val="000000"/>
                <w:kern w:val="22"/>
                <w:sz w:val="17"/>
                <w:szCs w:val="17"/>
                <w:lang w:val="fr-CA" w:eastAsia="en-CA"/>
              </w:rPr>
              <w:t xml:space="preserve">:  Utilisation des </w:t>
            </w:r>
            <w:r>
              <w:rPr>
                <w:color w:val="000000"/>
                <w:kern w:val="22"/>
                <w:sz w:val="17"/>
                <w:szCs w:val="17"/>
                <w:lang w:val="fr-CA" w:eastAsia="en-CA"/>
              </w:rPr>
              <w:t>ré</w:t>
            </w:r>
            <w:r w:rsidRPr="00F24602">
              <w:rPr>
                <w:color w:val="000000"/>
                <w:kern w:val="22"/>
                <w:sz w:val="17"/>
                <w:szCs w:val="17"/>
                <w:lang w:val="fr-CA" w:eastAsia="en-CA"/>
              </w:rPr>
              <w:t xml:space="preserve">serves des années </w:t>
            </w:r>
            <w:r>
              <w:rPr>
                <w:color w:val="000000"/>
                <w:kern w:val="22"/>
                <w:sz w:val="17"/>
                <w:szCs w:val="17"/>
                <w:lang w:val="fr-CA" w:eastAsia="en-CA"/>
              </w:rPr>
              <w:t>précédentes</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(94</w:t>
            </w:r>
            <w:r w:rsidR="000D3C0F">
              <w:rPr>
                <w:kern w:val="22"/>
                <w:sz w:val="17"/>
                <w:szCs w:val="17"/>
                <w:lang w:val="fr-CA" w:eastAsia="en-CA"/>
              </w:rPr>
              <w:t>,</w:t>
            </w:r>
            <w:r w:rsidRPr="00E02578">
              <w:rPr>
                <w:kern w:val="22"/>
                <w:sz w:val="17"/>
                <w:szCs w:val="17"/>
                <w:lang w:val="fr-CA" w:eastAsia="en-CA"/>
              </w:rPr>
              <w:t>9)</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(94</w:t>
            </w:r>
            <w:r w:rsidR="000D3C0F">
              <w:rPr>
                <w:kern w:val="22"/>
                <w:sz w:val="17"/>
                <w:szCs w:val="17"/>
                <w:lang w:val="fr-CA" w:eastAsia="en-CA"/>
              </w:rPr>
              <w:t>,</w:t>
            </w:r>
            <w:r w:rsidRPr="00E02578">
              <w:rPr>
                <w:kern w:val="22"/>
                <w:sz w:val="17"/>
                <w:szCs w:val="17"/>
                <w:lang w:val="fr-CA" w:eastAsia="en-CA"/>
              </w:rPr>
              <w:t>9)</w:t>
            </w:r>
          </w:p>
        </w:tc>
        <w:tc>
          <w:tcPr>
            <w:tcW w:w="1121" w:type="dxa"/>
            <w:tcBorders>
              <w:top w:val="nil"/>
              <w:left w:val="nil"/>
              <w:bottom w:val="nil"/>
              <w:right w:val="nil"/>
            </w:tcBorders>
            <w:shd w:val="clear" w:color="auto" w:fill="auto"/>
            <w:vAlign w:val="center"/>
            <w:hideMark/>
          </w:tcPr>
          <w:p w:rsidR="00A11FB8" w:rsidRPr="00E02578" w:rsidRDefault="00A11FB8" w:rsidP="00136A43">
            <w:pPr>
              <w:jc w:val="right"/>
              <w:rPr>
                <w:kern w:val="22"/>
                <w:sz w:val="17"/>
                <w:szCs w:val="17"/>
                <w:lang w:val="fr-CA" w:eastAsia="en-CA"/>
              </w:rPr>
            </w:pPr>
            <w:r w:rsidRPr="00E02578">
              <w:rPr>
                <w:kern w:val="22"/>
                <w:sz w:val="17"/>
                <w:szCs w:val="17"/>
                <w:lang w:val="fr-CA" w:eastAsia="en-CA"/>
              </w:rPr>
              <w:t>(189</w:t>
            </w:r>
            <w:r w:rsidR="000D3C0F">
              <w:rPr>
                <w:kern w:val="22"/>
                <w:sz w:val="17"/>
                <w:szCs w:val="17"/>
                <w:lang w:val="fr-CA" w:eastAsia="en-CA"/>
              </w:rPr>
              <w:t>,</w:t>
            </w:r>
            <w:r w:rsidRPr="00E02578">
              <w:rPr>
                <w:kern w:val="22"/>
                <w:sz w:val="17"/>
                <w:szCs w:val="17"/>
                <w:lang w:val="fr-CA" w:eastAsia="en-CA"/>
              </w:rPr>
              <w:t>9)</w:t>
            </w:r>
          </w:p>
        </w:tc>
      </w:tr>
      <w:tr w:rsidR="00043F0D" w:rsidRPr="00E02578" w:rsidTr="0017200F">
        <w:trPr>
          <w:trHeight w:val="261"/>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7"/>
                <w:szCs w:val="17"/>
                <w:lang w:val="fr-CA" w:eastAsia="en-CA"/>
              </w:rPr>
            </w:pPr>
          </w:p>
        </w:tc>
        <w:tc>
          <w:tcPr>
            <w:tcW w:w="5649" w:type="dxa"/>
            <w:gridSpan w:val="2"/>
            <w:tcBorders>
              <w:top w:val="nil"/>
              <w:left w:val="nil"/>
              <w:bottom w:val="single" w:sz="4" w:space="0" w:color="auto"/>
              <w:right w:val="nil"/>
            </w:tcBorders>
            <w:shd w:val="clear" w:color="auto" w:fill="auto"/>
            <w:vAlign w:val="center"/>
            <w:hideMark/>
          </w:tcPr>
          <w:p w:rsidR="00A11FB8" w:rsidRPr="00AF78A1" w:rsidRDefault="00AF78A1" w:rsidP="00136A43">
            <w:pPr>
              <w:rPr>
                <w:b/>
                <w:bCs/>
                <w:kern w:val="22"/>
                <w:sz w:val="17"/>
                <w:szCs w:val="17"/>
                <w:lang w:val="fr-CA" w:eastAsia="en-CA"/>
              </w:rPr>
            </w:pPr>
            <w:r w:rsidRPr="00AF78A1">
              <w:rPr>
                <w:b/>
                <w:color w:val="000000"/>
                <w:kern w:val="22"/>
                <w:sz w:val="17"/>
                <w:szCs w:val="17"/>
                <w:lang w:val="fr-CA" w:eastAsia="en-CA"/>
              </w:rPr>
              <w:t>Total net (montant à répartir entre les Parties)</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w:t>
            </w:r>
            <w:r w:rsidR="005447DD" w:rsidRPr="00E02578">
              <w:rPr>
                <w:b/>
                <w:bCs/>
                <w:kern w:val="22"/>
                <w:sz w:val="17"/>
                <w:szCs w:val="17"/>
                <w:lang w:val="fr-CA" w:eastAsia="en-CA"/>
              </w:rPr>
              <w:t xml:space="preserve"> </w:t>
            </w:r>
            <w:r w:rsidRPr="00E02578">
              <w:rPr>
                <w:b/>
                <w:bCs/>
                <w:kern w:val="22"/>
                <w:sz w:val="17"/>
                <w:szCs w:val="17"/>
                <w:lang w:val="fr-CA" w:eastAsia="en-CA"/>
              </w:rPr>
              <w:t>761</w:t>
            </w:r>
            <w:r w:rsidR="000D3C0F">
              <w:rPr>
                <w:b/>
                <w:bCs/>
                <w:kern w:val="22"/>
                <w:sz w:val="17"/>
                <w:szCs w:val="17"/>
                <w:lang w:val="fr-CA" w:eastAsia="en-CA"/>
              </w:rPr>
              <w:t>,</w:t>
            </w:r>
            <w:r w:rsidRPr="00E02578">
              <w:rPr>
                <w:b/>
                <w:bCs/>
                <w:kern w:val="22"/>
                <w:sz w:val="17"/>
                <w:szCs w:val="17"/>
                <w:lang w:val="fr-CA" w:eastAsia="en-CA"/>
              </w:rPr>
              <w:t>0</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1</w:t>
            </w:r>
            <w:r w:rsidR="005447DD" w:rsidRPr="00E02578">
              <w:rPr>
                <w:b/>
                <w:bCs/>
                <w:kern w:val="22"/>
                <w:sz w:val="17"/>
                <w:szCs w:val="17"/>
                <w:lang w:val="fr-CA" w:eastAsia="en-CA"/>
              </w:rPr>
              <w:t xml:space="preserve"> </w:t>
            </w:r>
            <w:r w:rsidRPr="00E02578">
              <w:rPr>
                <w:b/>
                <w:bCs/>
                <w:kern w:val="22"/>
                <w:sz w:val="17"/>
                <w:szCs w:val="17"/>
                <w:lang w:val="fr-CA" w:eastAsia="en-CA"/>
              </w:rPr>
              <w:t>867</w:t>
            </w:r>
            <w:r w:rsidR="000D3C0F">
              <w:rPr>
                <w:b/>
                <w:bCs/>
                <w:kern w:val="22"/>
                <w:sz w:val="17"/>
                <w:szCs w:val="17"/>
                <w:lang w:val="fr-CA" w:eastAsia="en-CA"/>
              </w:rPr>
              <w:t>,</w:t>
            </w:r>
            <w:r w:rsidRPr="00E02578">
              <w:rPr>
                <w:b/>
                <w:bCs/>
                <w:kern w:val="22"/>
                <w:sz w:val="17"/>
                <w:szCs w:val="17"/>
                <w:lang w:val="fr-CA" w:eastAsia="en-CA"/>
              </w:rPr>
              <w:t>3</w:t>
            </w:r>
          </w:p>
        </w:tc>
        <w:tc>
          <w:tcPr>
            <w:tcW w:w="1121" w:type="dxa"/>
            <w:tcBorders>
              <w:top w:val="nil"/>
              <w:left w:val="nil"/>
              <w:bottom w:val="single" w:sz="4" w:space="0" w:color="auto"/>
              <w:right w:val="nil"/>
            </w:tcBorders>
            <w:shd w:val="clear" w:color="auto" w:fill="auto"/>
            <w:vAlign w:val="center"/>
            <w:hideMark/>
          </w:tcPr>
          <w:p w:rsidR="00A11FB8" w:rsidRPr="00E02578" w:rsidRDefault="00A11FB8" w:rsidP="00136A43">
            <w:pPr>
              <w:jc w:val="right"/>
              <w:rPr>
                <w:b/>
                <w:bCs/>
                <w:kern w:val="22"/>
                <w:sz w:val="17"/>
                <w:szCs w:val="17"/>
                <w:lang w:val="fr-CA" w:eastAsia="en-CA"/>
              </w:rPr>
            </w:pPr>
            <w:r w:rsidRPr="00E02578">
              <w:rPr>
                <w:b/>
                <w:bCs/>
                <w:kern w:val="22"/>
                <w:sz w:val="17"/>
                <w:szCs w:val="17"/>
                <w:lang w:val="fr-CA" w:eastAsia="en-CA"/>
              </w:rPr>
              <w:t>3</w:t>
            </w:r>
            <w:r w:rsidR="005447DD" w:rsidRPr="00E02578">
              <w:rPr>
                <w:b/>
                <w:bCs/>
                <w:kern w:val="22"/>
                <w:sz w:val="17"/>
                <w:szCs w:val="17"/>
                <w:lang w:val="fr-CA" w:eastAsia="en-CA"/>
              </w:rPr>
              <w:t xml:space="preserve"> </w:t>
            </w:r>
            <w:r w:rsidRPr="00E02578">
              <w:rPr>
                <w:b/>
                <w:bCs/>
                <w:kern w:val="22"/>
                <w:sz w:val="17"/>
                <w:szCs w:val="17"/>
                <w:lang w:val="fr-CA" w:eastAsia="en-CA"/>
              </w:rPr>
              <w:t>628</w:t>
            </w:r>
            <w:r w:rsidR="000D3C0F">
              <w:rPr>
                <w:b/>
                <w:bCs/>
                <w:kern w:val="22"/>
                <w:sz w:val="17"/>
                <w:szCs w:val="17"/>
                <w:lang w:val="fr-CA" w:eastAsia="en-CA"/>
              </w:rPr>
              <w:t>,</w:t>
            </w:r>
            <w:r w:rsidRPr="00E02578">
              <w:rPr>
                <w:b/>
                <w:bCs/>
                <w:kern w:val="22"/>
                <w:sz w:val="17"/>
                <w:szCs w:val="17"/>
                <w:lang w:val="fr-CA" w:eastAsia="en-CA"/>
              </w:rPr>
              <w:t>3</w:t>
            </w:r>
          </w:p>
        </w:tc>
      </w:tr>
      <w:tr w:rsidR="00043F0D" w:rsidRPr="00E02578" w:rsidTr="0017200F">
        <w:trPr>
          <w:trHeight w:val="288"/>
          <w:jc w:val="center"/>
        </w:trPr>
        <w:tc>
          <w:tcPr>
            <w:tcW w:w="450" w:type="dxa"/>
            <w:tcBorders>
              <w:top w:val="nil"/>
              <w:left w:val="nil"/>
              <w:bottom w:val="nil"/>
              <w:right w:val="nil"/>
            </w:tcBorders>
            <w:shd w:val="clear" w:color="auto" w:fill="auto"/>
            <w:noWrap/>
            <w:vAlign w:val="center"/>
            <w:hideMark/>
          </w:tcPr>
          <w:p w:rsidR="00A11FB8" w:rsidRPr="00E02578" w:rsidRDefault="00A11FB8" w:rsidP="00136A43">
            <w:pPr>
              <w:jc w:val="right"/>
              <w:rPr>
                <w:color w:val="000000"/>
                <w:kern w:val="22"/>
                <w:sz w:val="16"/>
                <w:szCs w:val="16"/>
                <w:lang w:val="fr-CA" w:eastAsia="en-CA"/>
              </w:rPr>
            </w:pPr>
          </w:p>
        </w:tc>
        <w:tc>
          <w:tcPr>
            <w:tcW w:w="2948" w:type="dxa"/>
            <w:tcBorders>
              <w:top w:val="nil"/>
              <w:left w:val="nil"/>
              <w:bottom w:val="nil"/>
              <w:right w:val="nil"/>
            </w:tcBorders>
            <w:shd w:val="clear" w:color="auto" w:fill="auto"/>
            <w:noWrap/>
            <w:vAlign w:val="center"/>
            <w:hideMark/>
          </w:tcPr>
          <w:p w:rsidR="00A11FB8" w:rsidRPr="00E02578" w:rsidRDefault="00A11FB8" w:rsidP="00136A43">
            <w:pPr>
              <w:rPr>
                <w:color w:val="000000"/>
                <w:kern w:val="22"/>
                <w:sz w:val="16"/>
                <w:szCs w:val="16"/>
                <w:lang w:val="fr-CA" w:eastAsia="en-CA"/>
              </w:rPr>
            </w:pPr>
          </w:p>
        </w:tc>
        <w:tc>
          <w:tcPr>
            <w:tcW w:w="2701" w:type="dxa"/>
            <w:tcBorders>
              <w:top w:val="nil"/>
              <w:left w:val="nil"/>
              <w:bottom w:val="nil"/>
              <w:right w:val="nil"/>
            </w:tcBorders>
            <w:shd w:val="clear" w:color="auto" w:fill="auto"/>
            <w:noWrap/>
            <w:vAlign w:val="center"/>
            <w:hideMark/>
          </w:tcPr>
          <w:p w:rsidR="00A11FB8" w:rsidRPr="00E02578" w:rsidRDefault="00A11FB8" w:rsidP="00136A43">
            <w:pPr>
              <w:rPr>
                <w:color w:val="000000"/>
                <w:kern w:val="22"/>
                <w:sz w:val="16"/>
                <w:szCs w:val="16"/>
                <w:lang w:val="fr-CA" w:eastAsia="en-CA"/>
              </w:rPr>
            </w:pPr>
          </w:p>
        </w:tc>
        <w:tc>
          <w:tcPr>
            <w:tcW w:w="1121" w:type="dxa"/>
            <w:tcBorders>
              <w:top w:val="nil"/>
              <w:left w:val="nil"/>
              <w:bottom w:val="nil"/>
              <w:right w:val="nil"/>
            </w:tcBorders>
            <w:shd w:val="clear" w:color="auto" w:fill="auto"/>
            <w:noWrap/>
            <w:vAlign w:val="center"/>
            <w:hideMark/>
          </w:tcPr>
          <w:p w:rsidR="00A11FB8" w:rsidRPr="00E02578" w:rsidRDefault="00A11FB8" w:rsidP="00136A43">
            <w:pPr>
              <w:rPr>
                <w:color w:val="000000"/>
                <w:kern w:val="22"/>
                <w:sz w:val="16"/>
                <w:szCs w:val="16"/>
                <w:lang w:val="fr-CA" w:eastAsia="en-CA"/>
              </w:rPr>
            </w:pPr>
          </w:p>
        </w:tc>
        <w:tc>
          <w:tcPr>
            <w:tcW w:w="1121" w:type="dxa"/>
            <w:tcBorders>
              <w:top w:val="nil"/>
              <w:left w:val="nil"/>
              <w:bottom w:val="nil"/>
              <w:right w:val="nil"/>
            </w:tcBorders>
            <w:shd w:val="clear" w:color="auto" w:fill="auto"/>
            <w:noWrap/>
            <w:vAlign w:val="center"/>
            <w:hideMark/>
          </w:tcPr>
          <w:p w:rsidR="00A11FB8" w:rsidRPr="00E02578" w:rsidRDefault="00A11FB8" w:rsidP="00136A43">
            <w:pPr>
              <w:rPr>
                <w:color w:val="000000"/>
                <w:kern w:val="22"/>
                <w:sz w:val="16"/>
                <w:szCs w:val="16"/>
                <w:lang w:val="fr-CA" w:eastAsia="en-CA"/>
              </w:rPr>
            </w:pPr>
          </w:p>
        </w:tc>
        <w:tc>
          <w:tcPr>
            <w:tcW w:w="1121" w:type="dxa"/>
            <w:tcBorders>
              <w:top w:val="nil"/>
              <w:left w:val="nil"/>
              <w:bottom w:val="nil"/>
              <w:right w:val="nil"/>
            </w:tcBorders>
            <w:shd w:val="clear" w:color="auto" w:fill="auto"/>
            <w:noWrap/>
            <w:vAlign w:val="center"/>
            <w:hideMark/>
          </w:tcPr>
          <w:p w:rsidR="00A11FB8" w:rsidRPr="00E02578" w:rsidRDefault="00A11FB8" w:rsidP="00136A43">
            <w:pPr>
              <w:rPr>
                <w:color w:val="000000"/>
                <w:kern w:val="22"/>
                <w:sz w:val="16"/>
                <w:szCs w:val="16"/>
                <w:lang w:val="fr-CA" w:eastAsia="en-CA"/>
              </w:rPr>
            </w:pPr>
          </w:p>
        </w:tc>
      </w:tr>
      <w:tr w:rsidR="00A11FB8" w:rsidRPr="00E02578" w:rsidTr="0017200F">
        <w:trPr>
          <w:cantSplit/>
          <w:jc w:val="center"/>
        </w:trPr>
        <w:tc>
          <w:tcPr>
            <w:tcW w:w="450" w:type="dxa"/>
            <w:tcBorders>
              <w:top w:val="nil"/>
              <w:left w:val="nil"/>
              <w:bottom w:val="nil"/>
              <w:right w:val="nil"/>
            </w:tcBorders>
            <w:shd w:val="clear" w:color="auto" w:fill="auto"/>
            <w:noWrap/>
            <w:vAlign w:val="center"/>
            <w:hideMark/>
          </w:tcPr>
          <w:p w:rsidR="00A11FB8" w:rsidRPr="00E02578" w:rsidRDefault="00A11FB8"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vAlign w:val="center"/>
            <w:hideMark/>
          </w:tcPr>
          <w:p w:rsidR="00A11FB8" w:rsidRPr="00E02578" w:rsidRDefault="00A11FB8" w:rsidP="00AF78A1">
            <w:pPr>
              <w:spacing w:before="20" w:after="20"/>
              <w:rPr>
                <w:color w:val="000000"/>
                <w:kern w:val="22"/>
                <w:sz w:val="16"/>
                <w:szCs w:val="16"/>
                <w:lang w:val="fr-CA" w:eastAsia="en-CA"/>
              </w:rPr>
            </w:pPr>
            <w:r w:rsidRPr="00E02578">
              <w:rPr>
                <w:color w:val="000000"/>
                <w:kern w:val="22"/>
                <w:sz w:val="16"/>
                <w:szCs w:val="16"/>
                <w:lang w:val="fr-CA" w:eastAsia="en-CA"/>
              </w:rPr>
              <w:t xml:space="preserve">1/ </w:t>
            </w:r>
            <w:r w:rsidR="00AF78A1">
              <w:rPr>
                <w:color w:val="000000"/>
                <w:kern w:val="22"/>
                <w:sz w:val="16"/>
                <w:szCs w:val="16"/>
                <w:lang w:val="fr-CA" w:eastAsia="en-CA"/>
              </w:rPr>
              <w:t xml:space="preserve">Réunions ordinaires financées par le budget de base </w:t>
            </w:r>
            <w:r w:rsidRPr="00E02578">
              <w:rPr>
                <w:color w:val="000000"/>
                <w:kern w:val="22"/>
                <w:sz w:val="16"/>
                <w:szCs w:val="16"/>
                <w:lang w:val="fr-CA" w:eastAsia="en-CA"/>
              </w:rPr>
              <w:t>:</w:t>
            </w:r>
          </w:p>
        </w:tc>
      </w:tr>
      <w:tr w:rsidR="00D96801" w:rsidRPr="00E02578" w:rsidTr="0017200F">
        <w:trPr>
          <w:cantSplit/>
          <w:jc w:val="center"/>
        </w:trPr>
        <w:tc>
          <w:tcPr>
            <w:tcW w:w="450" w:type="dxa"/>
            <w:tcBorders>
              <w:top w:val="nil"/>
              <w:left w:val="nil"/>
              <w:bottom w:val="nil"/>
              <w:right w:val="nil"/>
            </w:tcBorders>
            <w:shd w:val="clear" w:color="auto" w:fill="auto"/>
            <w:noWrap/>
            <w:vAlign w:val="center"/>
            <w:hideMark/>
          </w:tcPr>
          <w:p w:rsidR="00D96801" w:rsidRPr="00E02578" w:rsidRDefault="00D96801"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noWrap/>
            <w:hideMark/>
          </w:tcPr>
          <w:p w:rsidR="00D96801" w:rsidRPr="00E02578" w:rsidRDefault="00D96801" w:rsidP="0069295C">
            <w:pPr>
              <w:spacing w:before="20" w:after="20"/>
              <w:jc w:val="left"/>
              <w:rPr>
                <w:color w:val="000000"/>
                <w:kern w:val="22"/>
                <w:sz w:val="16"/>
                <w:szCs w:val="16"/>
                <w:lang w:val="fr-CA" w:eastAsia="en-CA"/>
              </w:rPr>
            </w:pPr>
            <w:r w:rsidRPr="00E02578">
              <w:rPr>
                <w:color w:val="000000"/>
                <w:kern w:val="22"/>
                <w:sz w:val="16"/>
                <w:szCs w:val="16"/>
                <w:lang w:val="fr-CA" w:eastAsia="en-CA"/>
              </w:rPr>
              <w:t>-</w:t>
            </w:r>
            <w:r w:rsidR="004D01E8" w:rsidRPr="00E02578">
              <w:rPr>
                <w:color w:val="000000"/>
                <w:kern w:val="22"/>
                <w:sz w:val="16"/>
                <w:szCs w:val="16"/>
                <w:lang w:val="fr-CA" w:eastAsia="en-CA"/>
              </w:rPr>
              <w:t xml:space="preserve"> </w:t>
            </w:r>
            <w:r w:rsidR="00AF78A1" w:rsidRPr="00BF7F7B">
              <w:rPr>
                <w:color w:val="000000"/>
                <w:kern w:val="18"/>
                <w:sz w:val="16"/>
                <w:szCs w:val="16"/>
                <w:lang w:val="fr-FR"/>
              </w:rPr>
              <w:t>Onzième réunion du Groupe de travail spécial sur l’article 8j) et les dispositions connexes</w:t>
            </w:r>
            <w:r w:rsidRPr="00E02578">
              <w:rPr>
                <w:color w:val="000000"/>
                <w:kern w:val="22"/>
                <w:sz w:val="16"/>
                <w:szCs w:val="16"/>
                <w:lang w:val="fr-CA" w:eastAsia="en-CA"/>
              </w:rPr>
              <w:t>.</w:t>
            </w:r>
          </w:p>
        </w:tc>
      </w:tr>
      <w:tr w:rsidR="00D96801" w:rsidRPr="00E02578" w:rsidTr="0017200F">
        <w:trPr>
          <w:cantSplit/>
          <w:jc w:val="center"/>
        </w:trPr>
        <w:tc>
          <w:tcPr>
            <w:tcW w:w="450" w:type="dxa"/>
            <w:tcBorders>
              <w:top w:val="nil"/>
              <w:left w:val="nil"/>
              <w:bottom w:val="nil"/>
              <w:right w:val="nil"/>
            </w:tcBorders>
            <w:shd w:val="clear" w:color="auto" w:fill="auto"/>
            <w:noWrap/>
            <w:vAlign w:val="center"/>
            <w:hideMark/>
          </w:tcPr>
          <w:p w:rsidR="00D96801" w:rsidRPr="00E02578" w:rsidRDefault="00D96801"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noWrap/>
            <w:hideMark/>
          </w:tcPr>
          <w:p w:rsidR="00D96801" w:rsidRPr="00E02578" w:rsidRDefault="00D96801" w:rsidP="0069295C">
            <w:pPr>
              <w:spacing w:before="20" w:after="20"/>
              <w:jc w:val="left"/>
              <w:rPr>
                <w:color w:val="000000"/>
                <w:kern w:val="22"/>
                <w:sz w:val="16"/>
                <w:szCs w:val="16"/>
                <w:lang w:val="fr-CA" w:eastAsia="en-CA"/>
              </w:rPr>
            </w:pPr>
            <w:r w:rsidRPr="00E02578">
              <w:rPr>
                <w:color w:val="000000"/>
                <w:kern w:val="22"/>
                <w:sz w:val="16"/>
                <w:szCs w:val="16"/>
                <w:lang w:val="fr-CA" w:eastAsia="en-CA"/>
              </w:rPr>
              <w:t>-</w:t>
            </w:r>
            <w:r w:rsidR="004D01E8" w:rsidRPr="00E02578">
              <w:rPr>
                <w:color w:val="000000"/>
                <w:kern w:val="22"/>
                <w:sz w:val="16"/>
                <w:szCs w:val="16"/>
                <w:lang w:val="fr-CA" w:eastAsia="en-CA"/>
              </w:rPr>
              <w:t xml:space="preserve"> </w:t>
            </w:r>
            <w:r w:rsidR="00AF78A1" w:rsidRPr="00BF7F7B">
              <w:rPr>
                <w:color w:val="000000"/>
                <w:kern w:val="18"/>
                <w:sz w:val="16"/>
                <w:szCs w:val="16"/>
                <w:lang w:val="fr-FR"/>
              </w:rPr>
              <w:t>Vingt-</w:t>
            </w:r>
            <w:r w:rsidR="00AF78A1">
              <w:rPr>
                <w:color w:val="000000"/>
                <w:kern w:val="18"/>
                <w:sz w:val="16"/>
                <w:szCs w:val="16"/>
                <w:lang w:val="fr-FR"/>
              </w:rPr>
              <w:t>troisième et vingt-</w:t>
            </w:r>
            <w:r w:rsidR="00AF78A1" w:rsidRPr="00BF7F7B">
              <w:rPr>
                <w:color w:val="000000"/>
                <w:kern w:val="18"/>
                <w:sz w:val="16"/>
                <w:szCs w:val="16"/>
                <w:lang w:val="fr-FR"/>
              </w:rPr>
              <w:t>quatrième</w:t>
            </w:r>
            <w:r w:rsidR="00AF78A1">
              <w:rPr>
                <w:color w:val="000000"/>
                <w:kern w:val="18"/>
                <w:sz w:val="16"/>
                <w:szCs w:val="16"/>
                <w:lang w:val="fr-FR"/>
              </w:rPr>
              <w:t xml:space="preserve"> réunions</w:t>
            </w:r>
            <w:r w:rsidR="00AF78A1" w:rsidRPr="00BF7F7B">
              <w:rPr>
                <w:color w:val="000000"/>
                <w:kern w:val="18"/>
                <w:sz w:val="16"/>
                <w:szCs w:val="16"/>
                <w:lang w:val="fr-FR"/>
              </w:rPr>
              <w:t xml:space="preserve"> de l’Organe subsidiaire chargé de fournir des avis scientifiques, techniques et technologiques</w:t>
            </w:r>
            <w:r w:rsidRPr="00E02578">
              <w:rPr>
                <w:color w:val="000000"/>
                <w:kern w:val="22"/>
                <w:sz w:val="16"/>
                <w:szCs w:val="16"/>
                <w:lang w:val="fr-CA" w:eastAsia="en-CA"/>
              </w:rPr>
              <w:t>.</w:t>
            </w:r>
          </w:p>
        </w:tc>
      </w:tr>
      <w:tr w:rsidR="00D96801" w:rsidRPr="00E02578" w:rsidTr="0017200F">
        <w:trPr>
          <w:cantSplit/>
          <w:jc w:val="center"/>
        </w:trPr>
        <w:tc>
          <w:tcPr>
            <w:tcW w:w="450" w:type="dxa"/>
            <w:tcBorders>
              <w:top w:val="nil"/>
              <w:left w:val="nil"/>
              <w:bottom w:val="nil"/>
              <w:right w:val="nil"/>
            </w:tcBorders>
            <w:shd w:val="clear" w:color="auto" w:fill="auto"/>
            <w:noWrap/>
            <w:vAlign w:val="center"/>
            <w:hideMark/>
          </w:tcPr>
          <w:p w:rsidR="00D96801" w:rsidRPr="00E02578" w:rsidRDefault="00D96801"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noWrap/>
            <w:hideMark/>
          </w:tcPr>
          <w:p w:rsidR="00D96801" w:rsidRPr="00E02578" w:rsidRDefault="00D96801" w:rsidP="0069295C">
            <w:pPr>
              <w:spacing w:before="20" w:after="20"/>
              <w:jc w:val="left"/>
              <w:rPr>
                <w:color w:val="000000"/>
                <w:kern w:val="22"/>
                <w:sz w:val="16"/>
                <w:szCs w:val="16"/>
                <w:lang w:val="fr-CA" w:eastAsia="en-CA"/>
              </w:rPr>
            </w:pPr>
            <w:r w:rsidRPr="00E02578">
              <w:rPr>
                <w:color w:val="000000"/>
                <w:kern w:val="22"/>
                <w:sz w:val="16"/>
                <w:szCs w:val="16"/>
                <w:lang w:val="fr-CA" w:eastAsia="en-CA"/>
              </w:rPr>
              <w:t>-</w:t>
            </w:r>
            <w:r w:rsidR="004D01E8" w:rsidRPr="00E02578">
              <w:rPr>
                <w:color w:val="000000"/>
                <w:kern w:val="22"/>
                <w:sz w:val="16"/>
                <w:szCs w:val="16"/>
                <w:lang w:val="fr-CA" w:eastAsia="en-CA"/>
              </w:rPr>
              <w:t xml:space="preserve"> </w:t>
            </w:r>
            <w:r w:rsidR="00CC1DB8" w:rsidRPr="00BF7F7B">
              <w:rPr>
                <w:color w:val="000000"/>
                <w:kern w:val="18"/>
                <w:sz w:val="16"/>
                <w:szCs w:val="16"/>
                <w:lang w:val="fr-FR"/>
              </w:rPr>
              <w:t>Troisième réunion de l’Organe subsidiaire chargé de l’application</w:t>
            </w:r>
            <w:r w:rsidRPr="00E02578">
              <w:rPr>
                <w:color w:val="000000"/>
                <w:kern w:val="22"/>
                <w:sz w:val="16"/>
                <w:szCs w:val="16"/>
                <w:lang w:val="fr-CA" w:eastAsia="en-CA"/>
              </w:rPr>
              <w:t>.</w:t>
            </w:r>
          </w:p>
        </w:tc>
      </w:tr>
      <w:tr w:rsidR="00D96801" w:rsidRPr="00E02578" w:rsidTr="0017200F">
        <w:trPr>
          <w:cantSplit/>
          <w:jc w:val="center"/>
        </w:trPr>
        <w:tc>
          <w:tcPr>
            <w:tcW w:w="450" w:type="dxa"/>
            <w:tcBorders>
              <w:top w:val="nil"/>
              <w:left w:val="nil"/>
              <w:bottom w:val="nil"/>
              <w:right w:val="nil"/>
            </w:tcBorders>
            <w:shd w:val="clear" w:color="auto" w:fill="auto"/>
            <w:noWrap/>
            <w:vAlign w:val="center"/>
            <w:hideMark/>
          </w:tcPr>
          <w:p w:rsidR="00D96801" w:rsidRPr="00E02578" w:rsidRDefault="00D96801"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noWrap/>
            <w:hideMark/>
          </w:tcPr>
          <w:p w:rsidR="00D96801" w:rsidRPr="00E02578" w:rsidRDefault="00D96801" w:rsidP="00A32D05">
            <w:pPr>
              <w:spacing w:before="20" w:after="20"/>
              <w:jc w:val="left"/>
              <w:rPr>
                <w:color w:val="000000"/>
                <w:kern w:val="22"/>
                <w:sz w:val="16"/>
                <w:szCs w:val="16"/>
                <w:lang w:val="fr-CA" w:eastAsia="en-CA"/>
              </w:rPr>
            </w:pPr>
            <w:r w:rsidRPr="00E02578">
              <w:rPr>
                <w:color w:val="000000"/>
                <w:kern w:val="22"/>
                <w:sz w:val="16"/>
                <w:szCs w:val="16"/>
                <w:lang w:val="fr-CA" w:eastAsia="en-CA"/>
              </w:rPr>
              <w:t>-</w:t>
            </w:r>
            <w:r w:rsidR="004D01E8" w:rsidRPr="00E02578">
              <w:rPr>
                <w:color w:val="000000"/>
                <w:kern w:val="22"/>
                <w:sz w:val="16"/>
                <w:szCs w:val="16"/>
                <w:lang w:val="fr-CA" w:eastAsia="en-CA"/>
              </w:rPr>
              <w:t xml:space="preserve"> </w:t>
            </w:r>
            <w:r w:rsidR="00CC1DB8" w:rsidRPr="00BF7F7B">
              <w:rPr>
                <w:color w:val="000000"/>
                <w:kern w:val="18"/>
                <w:sz w:val="16"/>
                <w:szCs w:val="16"/>
                <w:lang w:val="fr-FR"/>
              </w:rPr>
              <w:t xml:space="preserve">Quinzième réunion de la Conférence des Parties à la Convention/ </w:t>
            </w:r>
            <w:r w:rsidR="00A32D05">
              <w:rPr>
                <w:color w:val="000000"/>
                <w:kern w:val="18"/>
                <w:sz w:val="16"/>
                <w:szCs w:val="16"/>
                <w:lang w:val="fr-FR"/>
              </w:rPr>
              <w:t>Dixième</w:t>
            </w:r>
            <w:r w:rsidR="00CC1DB8" w:rsidRPr="00BF7F7B">
              <w:rPr>
                <w:color w:val="000000"/>
                <w:kern w:val="18"/>
                <w:sz w:val="16"/>
                <w:szCs w:val="16"/>
                <w:lang w:val="fr-FR"/>
              </w:rPr>
              <w:t xml:space="preserve"> réunion des Parties au Protocole  de Cartagena/Quatrième réunion des Parties au Protocole de Nagoya tenues en même temps</w:t>
            </w:r>
            <w:r w:rsidRPr="00E02578">
              <w:rPr>
                <w:color w:val="000000"/>
                <w:kern w:val="22"/>
                <w:sz w:val="16"/>
                <w:szCs w:val="16"/>
                <w:lang w:val="fr-CA" w:eastAsia="en-CA"/>
              </w:rPr>
              <w:t>.</w:t>
            </w:r>
          </w:p>
        </w:tc>
      </w:tr>
      <w:tr w:rsidR="00043F0D" w:rsidRPr="00E02578" w:rsidTr="0017200F">
        <w:trPr>
          <w:cantSplit/>
          <w:jc w:val="center"/>
        </w:trPr>
        <w:tc>
          <w:tcPr>
            <w:tcW w:w="450"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948"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70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r>
      <w:tr w:rsidR="00A11FB8" w:rsidRPr="00E02578" w:rsidTr="0017200F">
        <w:trPr>
          <w:cantSplit/>
          <w:jc w:val="center"/>
        </w:trPr>
        <w:tc>
          <w:tcPr>
            <w:tcW w:w="450" w:type="dxa"/>
            <w:tcBorders>
              <w:top w:val="nil"/>
              <w:left w:val="nil"/>
              <w:bottom w:val="nil"/>
              <w:right w:val="nil"/>
            </w:tcBorders>
            <w:shd w:val="clear" w:color="auto" w:fill="auto"/>
            <w:noWrap/>
            <w:vAlign w:val="center"/>
            <w:hideMark/>
          </w:tcPr>
          <w:p w:rsidR="00A11FB8" w:rsidRPr="00E02578" w:rsidRDefault="00A11FB8"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vAlign w:val="center"/>
            <w:hideMark/>
          </w:tcPr>
          <w:p w:rsidR="00A11FB8" w:rsidRPr="00E02578" w:rsidRDefault="00A11FB8" w:rsidP="0069295C">
            <w:pPr>
              <w:spacing w:before="20" w:after="20"/>
              <w:rPr>
                <w:color w:val="000000"/>
                <w:kern w:val="22"/>
                <w:sz w:val="16"/>
                <w:szCs w:val="16"/>
                <w:lang w:val="fr-CA" w:eastAsia="en-CA"/>
              </w:rPr>
            </w:pPr>
            <w:r w:rsidRPr="00E02578">
              <w:rPr>
                <w:color w:val="000000"/>
                <w:kern w:val="22"/>
                <w:sz w:val="16"/>
                <w:szCs w:val="16"/>
                <w:lang w:val="fr-CA" w:eastAsia="en-CA"/>
              </w:rPr>
              <w:t xml:space="preserve">2/ </w:t>
            </w:r>
            <w:r w:rsidR="00CC1DB8" w:rsidRPr="00BF7F7B">
              <w:rPr>
                <w:color w:val="000000"/>
                <w:kern w:val="18"/>
                <w:sz w:val="16"/>
                <w:szCs w:val="16"/>
                <w:lang w:val="fr-FR"/>
              </w:rPr>
              <w:t>SBSTTA-23 (3 jours), art. 8</w:t>
            </w:r>
            <w:r w:rsidR="00CC1DB8">
              <w:rPr>
                <w:color w:val="000000"/>
                <w:kern w:val="18"/>
                <w:sz w:val="16"/>
                <w:szCs w:val="16"/>
                <w:lang w:val="fr-FR"/>
              </w:rPr>
              <w:t xml:space="preserve"> </w:t>
            </w:r>
            <w:r w:rsidR="00CC1DB8" w:rsidRPr="00BF7F7B">
              <w:rPr>
                <w:color w:val="000000"/>
                <w:kern w:val="18"/>
                <w:sz w:val="16"/>
                <w:szCs w:val="16"/>
                <w:lang w:val="fr-FR"/>
              </w:rPr>
              <w:t>j)-11 (3 jours) consécutives en 2019. SBSTTA-24 (6 jours), SBI-3 (5 jours) consécutives en 2020</w:t>
            </w:r>
            <w:r w:rsidRPr="00E02578">
              <w:rPr>
                <w:color w:val="000000"/>
                <w:kern w:val="22"/>
                <w:sz w:val="16"/>
                <w:szCs w:val="16"/>
                <w:lang w:val="fr-CA" w:eastAsia="en-CA"/>
              </w:rPr>
              <w:t>.</w:t>
            </w:r>
          </w:p>
        </w:tc>
      </w:tr>
      <w:tr w:rsidR="00043F0D" w:rsidRPr="00E02578" w:rsidTr="0017200F">
        <w:trPr>
          <w:cantSplit/>
          <w:jc w:val="center"/>
        </w:trPr>
        <w:tc>
          <w:tcPr>
            <w:tcW w:w="450"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948"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70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r>
      <w:tr w:rsidR="00A11FB8" w:rsidRPr="00E02578" w:rsidTr="0017200F">
        <w:trPr>
          <w:cantSplit/>
          <w:jc w:val="center"/>
        </w:trPr>
        <w:tc>
          <w:tcPr>
            <w:tcW w:w="450" w:type="dxa"/>
            <w:tcBorders>
              <w:top w:val="nil"/>
              <w:left w:val="nil"/>
              <w:bottom w:val="nil"/>
              <w:right w:val="nil"/>
            </w:tcBorders>
            <w:shd w:val="clear" w:color="auto" w:fill="auto"/>
            <w:noWrap/>
            <w:vAlign w:val="center"/>
            <w:hideMark/>
          </w:tcPr>
          <w:p w:rsidR="00A11FB8" w:rsidRPr="00E02578" w:rsidRDefault="00A11FB8"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vAlign w:val="center"/>
            <w:hideMark/>
          </w:tcPr>
          <w:p w:rsidR="00A11FB8" w:rsidRPr="00E02578" w:rsidRDefault="00A11FB8" w:rsidP="0069295C">
            <w:pPr>
              <w:spacing w:before="20" w:after="20"/>
              <w:rPr>
                <w:color w:val="000000"/>
                <w:kern w:val="22"/>
                <w:sz w:val="16"/>
                <w:szCs w:val="16"/>
                <w:lang w:val="fr-CA" w:eastAsia="en-CA"/>
              </w:rPr>
            </w:pPr>
            <w:r w:rsidRPr="00E02578">
              <w:rPr>
                <w:color w:val="000000"/>
                <w:kern w:val="22"/>
                <w:sz w:val="16"/>
                <w:szCs w:val="16"/>
                <w:lang w:val="fr-CA" w:eastAsia="en-CA"/>
              </w:rPr>
              <w:t xml:space="preserve">3/ </w:t>
            </w:r>
            <w:r w:rsidR="00CC1DB8" w:rsidRPr="00BF7F7B">
              <w:rPr>
                <w:color w:val="000000"/>
                <w:kern w:val="18"/>
                <w:sz w:val="16"/>
                <w:szCs w:val="16"/>
                <w:lang w:val="fr-FR"/>
              </w:rPr>
              <w:t>Budget pour COP-15/COP-</w:t>
            </w:r>
            <w:proofErr w:type="spellStart"/>
            <w:r w:rsidR="00CC1DB8" w:rsidRPr="00BF7F7B">
              <w:rPr>
                <w:color w:val="000000"/>
                <w:kern w:val="18"/>
                <w:sz w:val="16"/>
                <w:szCs w:val="16"/>
                <w:lang w:val="fr-FR"/>
              </w:rPr>
              <w:t>MOP</w:t>
            </w:r>
            <w:proofErr w:type="spellEnd"/>
            <w:r w:rsidR="00CC1DB8" w:rsidRPr="00BF7F7B">
              <w:rPr>
                <w:color w:val="000000"/>
                <w:kern w:val="18"/>
                <w:sz w:val="16"/>
                <w:szCs w:val="16"/>
                <w:lang w:val="fr-FR"/>
              </w:rPr>
              <w:t xml:space="preserve"> 10 and COP-</w:t>
            </w:r>
            <w:proofErr w:type="spellStart"/>
            <w:r w:rsidR="00CC1DB8" w:rsidRPr="00BF7F7B">
              <w:rPr>
                <w:color w:val="000000"/>
                <w:kern w:val="18"/>
                <w:sz w:val="16"/>
                <w:szCs w:val="16"/>
                <w:lang w:val="fr-FR"/>
              </w:rPr>
              <w:t>MOP</w:t>
            </w:r>
            <w:proofErr w:type="spellEnd"/>
            <w:r w:rsidR="00CC1DB8" w:rsidRPr="00BF7F7B">
              <w:rPr>
                <w:color w:val="000000"/>
                <w:kern w:val="18"/>
                <w:sz w:val="16"/>
                <w:szCs w:val="16"/>
                <w:lang w:val="fr-FR"/>
              </w:rPr>
              <w:t xml:space="preserve"> 4 </w:t>
            </w:r>
            <w:r w:rsidR="00CC1DB8" w:rsidRPr="00BF7F7B">
              <w:rPr>
                <w:kern w:val="18"/>
                <w:sz w:val="16"/>
                <w:szCs w:val="16"/>
                <w:lang w:val="fr-FR"/>
              </w:rPr>
              <w:t>divisé en parts égales entre les deux années de l’exercice biennal</w:t>
            </w:r>
            <w:r w:rsidRPr="00E02578">
              <w:rPr>
                <w:color w:val="000000"/>
                <w:kern w:val="22"/>
                <w:sz w:val="16"/>
                <w:szCs w:val="16"/>
                <w:lang w:val="fr-CA" w:eastAsia="en-CA"/>
              </w:rPr>
              <w:t>.</w:t>
            </w:r>
          </w:p>
        </w:tc>
      </w:tr>
      <w:tr w:rsidR="00043F0D" w:rsidRPr="00E02578" w:rsidTr="0017200F">
        <w:trPr>
          <w:cantSplit/>
          <w:jc w:val="center"/>
        </w:trPr>
        <w:tc>
          <w:tcPr>
            <w:tcW w:w="450"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948"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70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r>
      <w:tr w:rsidR="00A11FB8" w:rsidRPr="00E02578" w:rsidTr="0017200F">
        <w:trPr>
          <w:cantSplit/>
          <w:jc w:val="center"/>
        </w:trPr>
        <w:tc>
          <w:tcPr>
            <w:tcW w:w="450" w:type="dxa"/>
            <w:tcBorders>
              <w:top w:val="nil"/>
              <w:left w:val="nil"/>
              <w:bottom w:val="nil"/>
              <w:right w:val="nil"/>
            </w:tcBorders>
            <w:shd w:val="clear" w:color="auto" w:fill="auto"/>
            <w:noWrap/>
            <w:vAlign w:val="center"/>
            <w:hideMark/>
          </w:tcPr>
          <w:p w:rsidR="00A11FB8" w:rsidRPr="00E02578" w:rsidRDefault="00A11FB8"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vAlign w:val="center"/>
            <w:hideMark/>
          </w:tcPr>
          <w:p w:rsidR="00A11FB8" w:rsidRPr="00E02578" w:rsidRDefault="00A11FB8" w:rsidP="0069295C">
            <w:pPr>
              <w:spacing w:before="20" w:after="20"/>
              <w:rPr>
                <w:color w:val="000000"/>
                <w:kern w:val="22"/>
                <w:sz w:val="16"/>
                <w:szCs w:val="16"/>
                <w:lang w:val="fr-CA" w:eastAsia="en-CA"/>
              </w:rPr>
            </w:pPr>
            <w:r w:rsidRPr="00E02578">
              <w:rPr>
                <w:color w:val="000000"/>
                <w:kern w:val="22"/>
                <w:sz w:val="16"/>
                <w:szCs w:val="16"/>
                <w:lang w:val="fr-CA" w:eastAsia="en-CA"/>
              </w:rPr>
              <w:t xml:space="preserve">4/ </w:t>
            </w:r>
            <w:r w:rsidR="00CC1DB8" w:rsidRPr="00BF7F7B">
              <w:rPr>
                <w:color w:val="000000"/>
                <w:kern w:val="18"/>
                <w:sz w:val="16"/>
                <w:szCs w:val="16"/>
                <w:lang w:val="fr-FR"/>
              </w:rPr>
              <w:t xml:space="preserve">Deux réunions </w:t>
            </w:r>
            <w:r w:rsidR="00CC1DB8">
              <w:rPr>
                <w:color w:val="000000"/>
                <w:kern w:val="18"/>
                <w:sz w:val="16"/>
                <w:szCs w:val="16"/>
                <w:lang w:val="fr-FR"/>
              </w:rPr>
              <w:t>extraordinaires distinctes</w:t>
            </w:r>
            <w:r w:rsidR="00CC1DB8" w:rsidRPr="00BF7F7B">
              <w:rPr>
                <w:color w:val="000000"/>
                <w:kern w:val="18"/>
                <w:sz w:val="16"/>
                <w:szCs w:val="16"/>
                <w:lang w:val="fr-FR"/>
              </w:rPr>
              <w:t xml:space="preserve"> de 5 jours chacune, plus 2 jours de prolongation pour SBSTTA-23</w:t>
            </w:r>
          </w:p>
        </w:tc>
      </w:tr>
      <w:tr w:rsidR="00043F0D" w:rsidRPr="00E02578" w:rsidTr="0017200F">
        <w:trPr>
          <w:cantSplit/>
          <w:jc w:val="center"/>
        </w:trPr>
        <w:tc>
          <w:tcPr>
            <w:tcW w:w="450"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948"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270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c>
          <w:tcPr>
            <w:tcW w:w="1121" w:type="dxa"/>
            <w:tcBorders>
              <w:top w:val="nil"/>
              <w:left w:val="nil"/>
              <w:bottom w:val="nil"/>
              <w:right w:val="nil"/>
            </w:tcBorders>
            <w:shd w:val="clear" w:color="auto" w:fill="auto"/>
            <w:noWrap/>
            <w:vAlign w:val="bottom"/>
            <w:hideMark/>
          </w:tcPr>
          <w:p w:rsidR="00A11FB8" w:rsidRPr="00E02578" w:rsidRDefault="00A11FB8" w:rsidP="0069295C">
            <w:pPr>
              <w:spacing w:before="20" w:after="20"/>
              <w:rPr>
                <w:color w:val="000000"/>
                <w:kern w:val="22"/>
                <w:sz w:val="16"/>
                <w:szCs w:val="16"/>
                <w:lang w:val="fr-CA" w:eastAsia="en-CA"/>
              </w:rPr>
            </w:pPr>
          </w:p>
        </w:tc>
      </w:tr>
      <w:tr w:rsidR="00A11FB8" w:rsidRPr="00E02578" w:rsidTr="0017200F">
        <w:trPr>
          <w:cantSplit/>
          <w:jc w:val="center"/>
        </w:trPr>
        <w:tc>
          <w:tcPr>
            <w:tcW w:w="450" w:type="dxa"/>
            <w:tcBorders>
              <w:top w:val="nil"/>
              <w:left w:val="nil"/>
              <w:bottom w:val="nil"/>
              <w:right w:val="nil"/>
            </w:tcBorders>
            <w:shd w:val="clear" w:color="auto" w:fill="auto"/>
            <w:noWrap/>
            <w:vAlign w:val="center"/>
            <w:hideMark/>
          </w:tcPr>
          <w:p w:rsidR="00A11FB8" w:rsidRPr="00E02578" w:rsidRDefault="00A11FB8" w:rsidP="0069295C">
            <w:pPr>
              <w:spacing w:before="20" w:after="20"/>
              <w:jc w:val="right"/>
              <w:rPr>
                <w:color w:val="000000"/>
                <w:kern w:val="22"/>
                <w:sz w:val="16"/>
                <w:szCs w:val="16"/>
                <w:lang w:val="fr-CA" w:eastAsia="en-CA"/>
              </w:rPr>
            </w:pPr>
          </w:p>
        </w:tc>
        <w:tc>
          <w:tcPr>
            <w:tcW w:w="9012" w:type="dxa"/>
            <w:gridSpan w:val="5"/>
            <w:tcBorders>
              <w:top w:val="nil"/>
              <w:left w:val="nil"/>
              <w:bottom w:val="nil"/>
              <w:right w:val="nil"/>
            </w:tcBorders>
            <w:shd w:val="clear" w:color="auto" w:fill="auto"/>
            <w:vAlign w:val="center"/>
            <w:hideMark/>
          </w:tcPr>
          <w:p w:rsidR="00A11FB8" w:rsidRPr="00E02578" w:rsidRDefault="00CC1DB8" w:rsidP="0069295C">
            <w:pPr>
              <w:spacing w:before="20" w:after="20"/>
              <w:rPr>
                <w:color w:val="000000"/>
                <w:kern w:val="22"/>
                <w:sz w:val="16"/>
                <w:szCs w:val="16"/>
                <w:lang w:val="fr-CA" w:eastAsia="en-CA"/>
              </w:rPr>
            </w:pPr>
            <w:r>
              <w:rPr>
                <w:color w:val="000000"/>
                <w:kern w:val="22"/>
                <w:sz w:val="16"/>
                <w:szCs w:val="16"/>
                <w:lang w:val="fr-CA" w:eastAsia="en-CA"/>
              </w:rPr>
              <w:t>5/ Indicatif</w:t>
            </w:r>
            <w:r w:rsidR="00E50147" w:rsidRPr="00E02578">
              <w:rPr>
                <w:color w:val="000000"/>
                <w:kern w:val="22"/>
                <w:sz w:val="16"/>
                <w:szCs w:val="16"/>
                <w:lang w:val="fr-CA" w:eastAsia="en-CA"/>
              </w:rPr>
              <w:t>.</w:t>
            </w:r>
          </w:p>
        </w:tc>
      </w:tr>
    </w:tbl>
    <w:p w:rsidR="00A11FB8" w:rsidRPr="0069295C" w:rsidRDefault="00A11FB8" w:rsidP="00A11FB8">
      <w:pPr>
        <w:rPr>
          <w:kern w:val="22"/>
          <w:sz w:val="16"/>
          <w:szCs w:val="16"/>
        </w:rPr>
      </w:pPr>
    </w:p>
    <w:p w:rsidR="00A11FB8" w:rsidRPr="0069295C" w:rsidRDefault="00A11FB8">
      <w:pPr>
        <w:jc w:val="left"/>
        <w:rPr>
          <w:kern w:val="22"/>
        </w:rPr>
      </w:pPr>
    </w:p>
    <w:p w:rsidR="00A11FB8" w:rsidRPr="0069295C" w:rsidRDefault="00A11FB8">
      <w:pPr>
        <w:jc w:val="left"/>
        <w:rPr>
          <w:kern w:val="22"/>
        </w:rPr>
        <w:sectPr w:rsidR="00A11FB8" w:rsidRPr="0069295C" w:rsidSect="00EB39FC">
          <w:headerReference w:type="even" r:id="rId15"/>
          <w:headerReference w:type="default" r:id="rId16"/>
          <w:pgSz w:w="12240" w:h="15840"/>
          <w:pgMar w:top="567" w:right="1389" w:bottom="1134" w:left="1389" w:header="709" w:footer="709" w:gutter="0"/>
          <w:cols w:space="708"/>
          <w:titlePg/>
          <w:docGrid w:linePitch="360"/>
        </w:sectPr>
      </w:pPr>
    </w:p>
    <w:p w:rsidR="00A11FB8" w:rsidRPr="00CC1DB8" w:rsidRDefault="00242BA1" w:rsidP="0069295C">
      <w:pPr>
        <w:jc w:val="left"/>
        <w:rPr>
          <w:b/>
          <w:kern w:val="22"/>
          <w:lang w:val="fr-CA"/>
        </w:rPr>
      </w:pPr>
      <w:r w:rsidRPr="00CC1DB8">
        <w:rPr>
          <w:b/>
          <w:kern w:val="22"/>
          <w:lang w:val="fr-CA"/>
        </w:rPr>
        <w:lastRenderedPageBreak/>
        <w:t>Table</w:t>
      </w:r>
      <w:r w:rsidR="00CC1DB8" w:rsidRPr="00CC1DB8">
        <w:rPr>
          <w:b/>
          <w:kern w:val="22"/>
          <w:lang w:val="fr-CA"/>
        </w:rPr>
        <w:t>au</w:t>
      </w:r>
      <w:r w:rsidRPr="00CC1DB8">
        <w:rPr>
          <w:b/>
          <w:kern w:val="22"/>
          <w:lang w:val="fr-CA"/>
        </w:rPr>
        <w:t xml:space="preserve"> 2</w:t>
      </w:r>
      <w:r w:rsidR="00A11FB8" w:rsidRPr="00CC1DB8">
        <w:rPr>
          <w:b/>
          <w:kern w:val="22"/>
          <w:lang w:val="fr-CA"/>
        </w:rPr>
        <w:t xml:space="preserve">. </w:t>
      </w:r>
      <w:r w:rsidR="00CC1DB8" w:rsidRPr="00CC1DB8">
        <w:rPr>
          <w:rFonts w:eastAsia="Malgun Gothic"/>
          <w:b/>
          <w:bCs/>
          <w:kern w:val="18"/>
          <w:szCs w:val="22"/>
          <w:lang w:val="fr-CA" w:eastAsia="ko-KR"/>
        </w:rPr>
        <w:t xml:space="preserve">Contributions au Fonds d'affectation spéciale </w:t>
      </w:r>
      <w:r w:rsidR="00CC1DB8">
        <w:rPr>
          <w:rFonts w:eastAsia="Malgun Gothic"/>
          <w:b/>
          <w:bCs/>
          <w:kern w:val="18"/>
          <w:szCs w:val="22"/>
          <w:lang w:val="fr-CA" w:eastAsia="ko-KR"/>
        </w:rPr>
        <w:t>du Protocole de Nagoya sur l’accès et le partage des avantages</w:t>
      </w:r>
      <w:r w:rsidR="00CC1DB8" w:rsidRPr="00CC1DB8">
        <w:rPr>
          <w:rFonts w:eastAsia="Malgun Gothic"/>
          <w:b/>
          <w:bCs/>
          <w:kern w:val="18"/>
          <w:szCs w:val="22"/>
          <w:lang w:val="fr-CA" w:eastAsia="ko-KR"/>
        </w:rPr>
        <w:t xml:space="preserve"> pour l’exercice biennal 2019-2020</w:t>
      </w:r>
      <w:r w:rsidR="00A11FB8" w:rsidRPr="0069295C">
        <w:rPr>
          <w:rStyle w:val="Appelnotedebasdep"/>
          <w:b/>
          <w:kern w:val="22"/>
        </w:rPr>
        <w:footnoteReference w:id="2"/>
      </w:r>
    </w:p>
    <w:p w:rsidR="00A11FB8" w:rsidRPr="00CC1DB8" w:rsidRDefault="00A11FB8" w:rsidP="00A11FB8">
      <w:pPr>
        <w:rPr>
          <w:kern w:val="22"/>
          <w:lang w:val="fr-CA"/>
        </w:rPr>
      </w:pPr>
    </w:p>
    <w:tbl>
      <w:tblPr>
        <w:tblW w:w="0" w:type="auto"/>
        <w:jc w:val="center"/>
        <w:tblLayout w:type="fixed"/>
        <w:tblLook w:val="04A0" w:firstRow="1" w:lastRow="0" w:firstColumn="1" w:lastColumn="0" w:noHBand="0" w:noVBand="1"/>
      </w:tblPr>
      <w:tblGrid>
        <w:gridCol w:w="5617"/>
        <w:gridCol w:w="1597"/>
        <w:gridCol w:w="1597"/>
        <w:gridCol w:w="1597"/>
        <w:gridCol w:w="1597"/>
        <w:gridCol w:w="1598"/>
      </w:tblGrid>
      <w:tr w:rsidR="001E5498" w:rsidRPr="00B13812" w:rsidTr="00DD422C">
        <w:trPr>
          <w:cantSplit/>
          <w:tblHeader/>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jc w:val="center"/>
              <w:rPr>
                <w:b/>
                <w:bCs/>
                <w:sz w:val="24"/>
                <w:lang w:val="fr-CA" w:eastAsia="en-CA"/>
              </w:rPr>
            </w:pPr>
            <w:r w:rsidRPr="00B13812">
              <w:rPr>
                <w:b/>
                <w:bCs/>
                <w:sz w:val="24"/>
                <w:lang w:val="fr-CA" w:eastAsia="en-CA"/>
              </w:rPr>
              <w:t>Parties</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1E5498" w:rsidRPr="00B13812" w:rsidRDefault="001E5498" w:rsidP="00B13812">
            <w:pPr>
              <w:jc w:val="center"/>
              <w:rPr>
                <w:b/>
                <w:bCs/>
                <w:noProof/>
                <w:szCs w:val="22"/>
                <w:lang w:val="fr-CA"/>
              </w:rPr>
            </w:pPr>
            <w:r w:rsidRPr="00B13812">
              <w:rPr>
                <w:b/>
                <w:bCs/>
                <w:noProof/>
                <w:szCs w:val="22"/>
                <w:lang w:val="fr-CA"/>
              </w:rPr>
              <w:t xml:space="preserve">Barème des quote-parts pour </w:t>
            </w:r>
          </w:p>
          <w:p w:rsidR="001E5498" w:rsidRPr="00B13812" w:rsidRDefault="001E5498" w:rsidP="00B13812">
            <w:pPr>
              <w:jc w:val="center"/>
              <w:rPr>
                <w:b/>
                <w:bCs/>
                <w:szCs w:val="22"/>
                <w:lang w:val="fr-CA"/>
              </w:rPr>
            </w:pPr>
            <w:r w:rsidRPr="00B13812">
              <w:rPr>
                <w:b/>
                <w:bCs/>
                <w:noProof/>
                <w:szCs w:val="22"/>
                <w:lang w:val="fr-CA"/>
              </w:rPr>
              <w:t>2016-2018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1E5498" w:rsidRPr="00B13812" w:rsidRDefault="001E5498" w:rsidP="00B13812">
            <w:pPr>
              <w:jc w:val="center"/>
              <w:rPr>
                <w:b/>
                <w:bCs/>
                <w:szCs w:val="22"/>
                <w:lang w:val="fr-CA"/>
              </w:rPr>
            </w:pPr>
            <w:r w:rsidRPr="00B13812">
              <w:rPr>
                <w:b/>
                <w:bCs/>
                <w:szCs w:val="22"/>
                <w:lang w:val="fr-CA"/>
              </w:rPr>
              <w:t>Barème assorti d’un plafond de 22% ; aucun PMA ne paie plus de 0,01 %</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1E5498" w:rsidRPr="00B13812" w:rsidRDefault="001E5498" w:rsidP="00B13812">
            <w:pPr>
              <w:jc w:val="center"/>
              <w:rPr>
                <w:b/>
                <w:bCs/>
                <w:szCs w:val="22"/>
                <w:lang w:val="fr-CA"/>
              </w:rPr>
            </w:pPr>
            <w:r w:rsidRPr="00B13812">
              <w:rPr>
                <w:b/>
                <w:bCs/>
                <w:szCs w:val="22"/>
                <w:lang w:val="fr-CA"/>
              </w:rPr>
              <w:t>Contributions</w:t>
            </w:r>
          </w:p>
          <w:p w:rsidR="001E5498" w:rsidRPr="00B13812" w:rsidRDefault="001E5498" w:rsidP="00A32D05">
            <w:pPr>
              <w:jc w:val="center"/>
              <w:rPr>
                <w:b/>
                <w:bCs/>
                <w:szCs w:val="22"/>
                <w:lang w:val="fr-CA"/>
              </w:rPr>
            </w:pPr>
            <w:r w:rsidRPr="00B13812">
              <w:rPr>
                <w:b/>
                <w:bCs/>
                <w:szCs w:val="22"/>
                <w:lang w:val="fr-CA"/>
              </w:rPr>
              <w:t>dues au 1</w:t>
            </w:r>
            <w:r w:rsidRPr="00B13812">
              <w:rPr>
                <w:b/>
                <w:bCs/>
                <w:szCs w:val="22"/>
                <w:vertAlign w:val="superscript"/>
                <w:lang w:val="fr-CA"/>
              </w:rPr>
              <w:t>er</w:t>
            </w:r>
            <w:r w:rsidR="00A32D05">
              <w:rPr>
                <w:b/>
                <w:bCs/>
                <w:szCs w:val="22"/>
                <w:lang w:val="fr-CA"/>
              </w:rPr>
              <w:t> </w:t>
            </w:r>
            <w:r w:rsidRPr="00B13812">
              <w:rPr>
                <w:b/>
                <w:bCs/>
                <w:szCs w:val="22"/>
                <w:lang w:val="fr-CA"/>
              </w:rPr>
              <w:t>janvier 2019</w:t>
            </w:r>
          </w:p>
        </w:tc>
        <w:tc>
          <w:tcPr>
            <w:tcW w:w="1597" w:type="dxa"/>
            <w:tcBorders>
              <w:top w:val="single" w:sz="4" w:space="0" w:color="auto"/>
              <w:left w:val="nil"/>
              <w:bottom w:val="single" w:sz="4" w:space="0" w:color="auto"/>
              <w:right w:val="single" w:sz="4" w:space="0" w:color="auto"/>
            </w:tcBorders>
            <w:shd w:val="clear" w:color="auto" w:fill="auto"/>
            <w:vAlign w:val="center"/>
            <w:hideMark/>
          </w:tcPr>
          <w:p w:rsidR="001E5498" w:rsidRPr="00B13812" w:rsidRDefault="001E5498" w:rsidP="00B13812">
            <w:pPr>
              <w:jc w:val="center"/>
              <w:rPr>
                <w:b/>
                <w:bCs/>
                <w:szCs w:val="22"/>
                <w:lang w:val="fr-CA"/>
              </w:rPr>
            </w:pPr>
            <w:r w:rsidRPr="00B13812">
              <w:rPr>
                <w:b/>
                <w:bCs/>
                <w:szCs w:val="22"/>
                <w:lang w:val="fr-CA"/>
              </w:rPr>
              <w:t>Contributions</w:t>
            </w:r>
          </w:p>
          <w:p w:rsidR="001E5498" w:rsidRPr="00B13812" w:rsidRDefault="001E5498" w:rsidP="00A32D05">
            <w:pPr>
              <w:jc w:val="center"/>
              <w:rPr>
                <w:b/>
                <w:bCs/>
                <w:szCs w:val="22"/>
                <w:lang w:val="fr-CA"/>
              </w:rPr>
            </w:pPr>
            <w:r w:rsidRPr="00B13812">
              <w:rPr>
                <w:b/>
                <w:bCs/>
                <w:szCs w:val="22"/>
                <w:lang w:val="fr-CA"/>
              </w:rPr>
              <w:t>dues au 1</w:t>
            </w:r>
            <w:r w:rsidRPr="00B13812">
              <w:rPr>
                <w:b/>
                <w:bCs/>
                <w:szCs w:val="22"/>
                <w:vertAlign w:val="superscript"/>
                <w:lang w:val="fr-CA"/>
              </w:rPr>
              <w:t>er</w:t>
            </w:r>
            <w:r w:rsidR="00A32D05">
              <w:rPr>
                <w:b/>
                <w:bCs/>
                <w:szCs w:val="22"/>
                <w:lang w:val="fr-CA"/>
              </w:rPr>
              <w:t> </w:t>
            </w:r>
            <w:r w:rsidRPr="00B13812">
              <w:rPr>
                <w:b/>
                <w:bCs/>
                <w:szCs w:val="22"/>
                <w:lang w:val="fr-CA"/>
              </w:rPr>
              <w:t>janvier 2020</w:t>
            </w:r>
          </w:p>
        </w:tc>
        <w:tc>
          <w:tcPr>
            <w:tcW w:w="1598" w:type="dxa"/>
            <w:tcBorders>
              <w:top w:val="single" w:sz="4" w:space="0" w:color="auto"/>
              <w:left w:val="nil"/>
              <w:bottom w:val="single" w:sz="4" w:space="0" w:color="auto"/>
              <w:right w:val="single" w:sz="4" w:space="0" w:color="auto"/>
            </w:tcBorders>
            <w:shd w:val="clear" w:color="auto" w:fill="auto"/>
            <w:vAlign w:val="center"/>
            <w:hideMark/>
          </w:tcPr>
          <w:p w:rsidR="001E5498" w:rsidRPr="00B13812" w:rsidRDefault="001E5498" w:rsidP="00B13812">
            <w:pPr>
              <w:jc w:val="center"/>
              <w:rPr>
                <w:b/>
                <w:bCs/>
                <w:szCs w:val="22"/>
                <w:lang w:val="fr-CA"/>
              </w:rPr>
            </w:pPr>
            <w:r w:rsidRPr="00B13812">
              <w:rPr>
                <w:b/>
                <w:bCs/>
                <w:szCs w:val="22"/>
                <w:lang w:val="fr-CA"/>
              </w:rPr>
              <w:t>Total 2019-2020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Afghanistan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402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Afrique du Sud</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364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673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11 844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12 559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24 403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Albanie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536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Allemagne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w:t>
            </w:r>
            <w:r>
              <w:rPr>
                <w:sz w:val="24"/>
                <w:lang w:val="fr-CA" w:eastAsia="en-CA"/>
              </w:rPr>
              <w:t>,</w:t>
            </w:r>
            <w:r w:rsidRPr="00B13812">
              <w:rPr>
                <w:sz w:val="24"/>
                <w:lang w:val="fr-CA" w:eastAsia="en-CA"/>
              </w:rPr>
              <w:t>389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11</w:t>
            </w:r>
            <w:r>
              <w:rPr>
                <w:sz w:val="24"/>
                <w:lang w:val="fr-CA" w:eastAsia="en-CA"/>
              </w:rPr>
              <w:t>,</w:t>
            </w:r>
            <w:r w:rsidRPr="00B13812">
              <w:rPr>
                <w:sz w:val="24"/>
                <w:lang w:val="fr-CA" w:eastAsia="en-CA"/>
              </w:rPr>
              <w:t>805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207 881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220 438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428 319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Angola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Antigua-et-Barbuda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Argentine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892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648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29 023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30 776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59 800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Autriche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720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330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23 427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24 842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48 269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Bélarus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056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1 822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1 932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3 754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Belgique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885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635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28 796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30 535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59 330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Bénin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201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Bhoutan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Bolivi</w:t>
            </w:r>
            <w:r>
              <w:rPr>
                <w:sz w:val="24"/>
                <w:lang w:val="fr-CA" w:eastAsia="en-CA"/>
              </w:rPr>
              <w:t>e</w:t>
            </w:r>
            <w:r w:rsidRPr="00B13812">
              <w:rPr>
                <w:sz w:val="24"/>
                <w:lang w:val="fr-CA" w:eastAsia="en-CA"/>
              </w:rPr>
              <w:t xml:space="preserve"> (</w:t>
            </w:r>
            <w:r>
              <w:rPr>
                <w:sz w:val="24"/>
                <w:lang w:val="fr-CA" w:eastAsia="en-CA"/>
              </w:rPr>
              <w:t>État plurinational de</w:t>
            </w:r>
            <w:r w:rsidRPr="00B13812">
              <w:rPr>
                <w:sz w:val="24"/>
                <w:lang w:val="fr-CA" w:eastAsia="en-CA"/>
              </w:rPr>
              <w:t>)</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804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Botswana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456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483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939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Bulgari</w:t>
            </w:r>
            <w:r>
              <w:rPr>
                <w:sz w:val="24"/>
                <w:lang w:val="fr-CA" w:eastAsia="en-CA"/>
              </w:rPr>
              <w: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045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083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1 464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1 553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3 017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Burkina Faso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Burundi</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Cambod</w:t>
            </w:r>
            <w:r>
              <w:rPr>
                <w:sz w:val="24"/>
                <w:lang w:val="fr-CA" w:eastAsia="en-CA"/>
              </w:rPr>
              <w:t>ge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Camerou</w:t>
            </w:r>
            <w:r w:rsidRPr="00B13812">
              <w:rPr>
                <w:sz w:val="24"/>
                <w:lang w:val="fr-CA" w:eastAsia="en-CA"/>
              </w:rPr>
              <w:t>n</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018</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325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345</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Chine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7</w:t>
            </w:r>
            <w:r>
              <w:rPr>
                <w:sz w:val="24"/>
                <w:lang w:val="fr-CA" w:eastAsia="en-CA"/>
              </w:rPr>
              <w:t>,</w:t>
            </w:r>
            <w:r w:rsidRPr="00B13812">
              <w:rPr>
                <w:sz w:val="24"/>
                <w:lang w:val="fr-CA" w:eastAsia="en-CA"/>
              </w:rPr>
              <w:t>921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14</w:t>
            </w:r>
            <w:r>
              <w:rPr>
                <w:sz w:val="24"/>
                <w:lang w:val="fr-CA" w:eastAsia="en-CA"/>
              </w:rPr>
              <w:t>,</w:t>
            </w:r>
            <w:r w:rsidRPr="00B13812">
              <w:rPr>
                <w:sz w:val="24"/>
                <w:lang w:val="fr-CA" w:eastAsia="en-CA"/>
              </w:rPr>
              <w:t>636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257 728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273 296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531 024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Comore</w:t>
            </w:r>
            <w:r w:rsidRPr="00B13812">
              <w:rPr>
                <w:sz w:val="24"/>
                <w:lang w:val="fr-CA" w:eastAsia="en-CA"/>
              </w:rPr>
              <w:t>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lastRenderedPageBreak/>
              <w:t>Congo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195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207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402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Cô</w:t>
            </w:r>
            <w:r w:rsidRPr="00B13812">
              <w:rPr>
                <w:sz w:val="24"/>
                <w:lang w:val="fr-CA" w:eastAsia="en-CA"/>
              </w:rPr>
              <w:t>te d’Ivoire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293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311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603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B13812">
            <w:pPr>
              <w:rPr>
                <w:sz w:val="24"/>
                <w:lang w:val="fr-CA" w:eastAsia="en-CA"/>
              </w:rPr>
            </w:pPr>
            <w:r w:rsidRPr="00B13812">
              <w:rPr>
                <w:sz w:val="24"/>
                <w:lang w:val="fr-CA" w:eastAsia="en-CA"/>
              </w:rPr>
              <w:t>Croati</w:t>
            </w:r>
            <w:r>
              <w:rPr>
                <w:sz w:val="24"/>
                <w:lang w:val="fr-CA" w:eastAsia="en-CA"/>
              </w:rPr>
              <w: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099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183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3 221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3 416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6 637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Cuba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120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2 115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2 243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4 358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Danemark</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584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079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19 002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20 150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39 151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Djibouti</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Égypte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152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281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4 946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5 244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10 190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Émirats arabes unis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604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116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19 653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20 840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40 492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Équateur</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067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124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2 180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2 312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4 492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Espagne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443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w:t>
            </w:r>
            <w:r>
              <w:rPr>
                <w:sz w:val="24"/>
                <w:lang w:val="fr-CA" w:eastAsia="en-CA"/>
              </w:rPr>
              <w:t>,</w:t>
            </w:r>
            <w:r w:rsidRPr="00B13812">
              <w:rPr>
                <w:sz w:val="24"/>
                <w:lang w:val="fr-CA" w:eastAsia="en-CA"/>
              </w:rPr>
              <w:t>514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79 489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84 290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163 779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Eswatini</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Éthiopie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Fi</w:t>
            </w:r>
            <w:r>
              <w:rPr>
                <w:sz w:val="24"/>
                <w:lang w:val="fr-CA" w:eastAsia="en-CA"/>
              </w:rPr>
              <w:t>d</w:t>
            </w:r>
            <w:r w:rsidRPr="00B13812">
              <w:rPr>
                <w:sz w:val="24"/>
                <w:lang w:val="fr-CA" w:eastAsia="en-CA"/>
              </w:rPr>
              <w:t>ji</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201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Finland</w:t>
            </w:r>
            <w:r>
              <w:rPr>
                <w:sz w:val="24"/>
                <w:lang w:val="fr-CA" w:eastAsia="en-CA"/>
              </w:rPr>
              <w: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456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843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14 837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15 733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30 570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France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w:t>
            </w:r>
            <w:r>
              <w:rPr>
                <w:sz w:val="24"/>
                <w:lang w:val="fr-CA" w:eastAsia="en-CA"/>
              </w:rPr>
              <w:t>,</w:t>
            </w:r>
            <w:r w:rsidRPr="00B13812">
              <w:rPr>
                <w:sz w:val="24"/>
                <w:lang w:val="fr-CA" w:eastAsia="en-CA"/>
              </w:rPr>
              <w:t>859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8</w:t>
            </w:r>
            <w:r>
              <w:rPr>
                <w:sz w:val="24"/>
                <w:lang w:val="fr-CA" w:eastAsia="en-CA"/>
              </w:rPr>
              <w:t>,</w:t>
            </w:r>
            <w:r w:rsidRPr="00B13812">
              <w:rPr>
                <w:sz w:val="24"/>
                <w:lang w:val="fr-CA" w:eastAsia="en-CA"/>
              </w:rPr>
              <w:t>978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158 099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167 649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325 747</w:t>
            </w:r>
          </w:p>
        </w:tc>
      </w:tr>
      <w:tr w:rsidR="001E5498" w:rsidRPr="00B13812"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Gabon</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031</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553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587</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1 140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Gambie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Guatemala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052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911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966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1 877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3C28DA">
            <w:pPr>
              <w:rPr>
                <w:sz w:val="24"/>
                <w:lang w:val="fr-CA" w:eastAsia="en-CA"/>
              </w:rPr>
            </w:pPr>
            <w:r w:rsidRPr="00B13812">
              <w:rPr>
                <w:sz w:val="24"/>
                <w:lang w:val="fr-CA" w:eastAsia="en-CA"/>
              </w:rPr>
              <w:t>Guin</w:t>
            </w:r>
            <w:r>
              <w:rPr>
                <w:sz w:val="24"/>
                <w:lang w:val="fr-CA" w:eastAsia="en-CA"/>
              </w:rPr>
              <w:t>ée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3C28DA">
            <w:pPr>
              <w:rPr>
                <w:sz w:val="24"/>
                <w:lang w:val="fr-CA" w:eastAsia="en-CA"/>
              </w:rPr>
            </w:pPr>
            <w:r w:rsidRPr="00B13812">
              <w:rPr>
                <w:sz w:val="24"/>
                <w:lang w:val="fr-CA" w:eastAsia="en-CA"/>
              </w:rPr>
              <w:t>Guin</w:t>
            </w:r>
            <w:r>
              <w:rPr>
                <w:sz w:val="24"/>
                <w:lang w:val="fr-CA" w:eastAsia="en-CA"/>
              </w:rPr>
              <w:t>ée</w:t>
            </w:r>
            <w:r w:rsidRPr="00B13812">
              <w:rPr>
                <w:sz w:val="24"/>
                <w:lang w:val="fr-CA" w:eastAsia="en-CA"/>
              </w:rPr>
              <w:t>-Bissau</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Guyana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Honduras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260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276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536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Hongrie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161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297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5 239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5 555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10 793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Îles Marshall</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Inde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737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362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23 980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25 428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49 408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Indonésie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504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931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16 399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17 389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33 788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lastRenderedPageBreak/>
              <w:t>Japo</w:t>
            </w:r>
            <w:r w:rsidRPr="00B13812">
              <w:rPr>
                <w:sz w:val="24"/>
                <w:lang w:val="fr-CA" w:eastAsia="en-CA"/>
              </w:rPr>
              <w:t>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w:t>
            </w:r>
            <w:r>
              <w:rPr>
                <w:sz w:val="24"/>
                <w:lang w:val="fr-CA" w:eastAsia="en-CA"/>
              </w:rPr>
              <w:t>,</w:t>
            </w:r>
            <w:r w:rsidRPr="00B13812">
              <w:rPr>
                <w:sz w:val="24"/>
                <w:lang w:val="fr-CA" w:eastAsia="en-CA"/>
              </w:rPr>
              <w:t>680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17</w:t>
            </w:r>
            <w:r>
              <w:rPr>
                <w:sz w:val="24"/>
                <w:lang w:val="fr-CA" w:eastAsia="en-CA"/>
              </w:rPr>
              <w:t>,</w:t>
            </w:r>
            <w:r w:rsidRPr="00B13812">
              <w:rPr>
                <w:sz w:val="24"/>
                <w:lang w:val="fr-CA" w:eastAsia="en-CA"/>
              </w:rPr>
              <w:t>886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314 961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333 986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648 947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Jordan</w:t>
            </w:r>
            <w:r>
              <w:rPr>
                <w:sz w:val="24"/>
                <w:lang w:val="fr-CA" w:eastAsia="en-CA"/>
              </w:rPr>
              <w:t>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037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1 341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Kazakhstan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191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353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6 215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6 590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12 805</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Kenya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586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621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1 207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Kirghizistan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Koweït</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285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527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9 273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9 833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19 106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Lesotho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Liban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046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085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1 497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1 587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3 084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Libé</w:t>
            </w:r>
            <w:r w:rsidRPr="00B13812">
              <w:rPr>
                <w:sz w:val="24"/>
                <w:lang w:val="fr-CA" w:eastAsia="en-CA"/>
              </w:rPr>
              <w:t>ria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Luxembourg</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064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118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2 082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2 208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4 291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Madagascar</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201</w:t>
            </w:r>
          </w:p>
        </w:tc>
      </w:tr>
      <w:tr w:rsidR="001E5498" w:rsidRPr="00B13812"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Malawi</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Mali</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201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Malte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521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552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1 073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w:t>
            </w:r>
            <w:r>
              <w:rPr>
                <w:sz w:val="24"/>
                <w:lang w:val="fr-CA" w:eastAsia="en-CA"/>
              </w:rPr>
              <w:t>aurice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390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414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804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1567E0">
            <w:pPr>
              <w:rPr>
                <w:sz w:val="24"/>
                <w:lang w:val="fr-CA" w:eastAsia="en-CA"/>
              </w:rPr>
            </w:pPr>
            <w:r w:rsidRPr="00B13812">
              <w:rPr>
                <w:sz w:val="24"/>
                <w:lang w:val="fr-CA" w:eastAsia="en-CA"/>
              </w:rPr>
              <w:t>Mauritani</w:t>
            </w:r>
            <w:r>
              <w:rPr>
                <w:sz w:val="24"/>
                <w:lang w:val="fr-CA" w:eastAsia="en-CA"/>
              </w:rPr>
              <w:t>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Mexique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435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651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46 691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49 511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96 202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Micronésie (États fédérés de)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Mongolie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335</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Mozambique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Myanmar</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Namibie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Niger</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Norvège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849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569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27 624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29 293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56 917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Ouganda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Pakistan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093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172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3 026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3 209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6 235</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lastRenderedPageBreak/>
              <w:t>Palau</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Panama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034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063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1 106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1 173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2 279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Pays-Bas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482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738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48 220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51 133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99 353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Pérou</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136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251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4 425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4 692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9 117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Philippines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305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5 369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5 693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11 062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Portugal</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392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724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12 755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13 525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26 280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Qatar</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269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497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8 753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9 281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18 034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arabe syrienne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024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044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781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828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1 609</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centrafricaine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de Corée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039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w:t>
            </w:r>
            <w:r>
              <w:rPr>
                <w:sz w:val="24"/>
                <w:lang w:val="fr-CA" w:eastAsia="en-CA"/>
              </w:rPr>
              <w:t>,</w:t>
            </w:r>
            <w:r w:rsidRPr="00B13812">
              <w:rPr>
                <w:sz w:val="24"/>
                <w:lang w:val="fr-CA" w:eastAsia="en-CA"/>
              </w:rPr>
              <w:t>767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66 344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70 351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136 695</w:t>
            </w:r>
          </w:p>
        </w:tc>
      </w:tr>
      <w:tr w:rsidR="001E5498" w:rsidRPr="00B13812"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de Moldavie</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démocratique du Congo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démocratique populaire lao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98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104</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201</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dominicaine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046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085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1 497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1 587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3 084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tchèque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344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636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11 193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11 869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23 062</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République unie de Tanzanie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325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345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670</w:t>
            </w:r>
          </w:p>
        </w:tc>
      </w:tr>
      <w:tr w:rsidR="001E5498" w:rsidRPr="00B13812" w:rsidTr="00DD422C">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Royaume-Uni de Grande-Bretagne et d’Irlande du Nord</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w:t>
            </w:r>
            <w:r>
              <w:rPr>
                <w:sz w:val="24"/>
                <w:lang w:val="fr-CA" w:eastAsia="en-CA"/>
              </w:rPr>
              <w:t>,</w:t>
            </w:r>
            <w:r w:rsidRPr="00B13812">
              <w:rPr>
                <w:sz w:val="24"/>
                <w:lang w:val="fr-CA" w:eastAsia="en-CA"/>
              </w:rPr>
              <w:t>463</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8</w:t>
            </w:r>
            <w:r>
              <w:rPr>
                <w:sz w:val="24"/>
                <w:lang w:val="fr-CA" w:eastAsia="en-CA"/>
              </w:rPr>
              <w:t>,</w:t>
            </w:r>
            <w:r w:rsidRPr="00B13812">
              <w:rPr>
                <w:sz w:val="24"/>
                <w:lang w:val="fr-CA" w:eastAsia="en-CA"/>
              </w:rPr>
              <w:t>246</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145 214</w:t>
            </w:r>
          </w:p>
        </w:tc>
        <w:tc>
          <w:tcPr>
            <w:tcW w:w="1597"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153 986</w:t>
            </w:r>
          </w:p>
        </w:tc>
        <w:tc>
          <w:tcPr>
            <w:tcW w:w="1598" w:type="dxa"/>
            <w:tcBorders>
              <w:top w:val="single" w:sz="4" w:space="0" w:color="auto"/>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299 200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Rwanda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69</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134</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1567E0">
            <w:pPr>
              <w:rPr>
                <w:sz w:val="24"/>
                <w:lang w:val="fr-CA" w:eastAsia="en-CA"/>
              </w:rPr>
            </w:pPr>
            <w:r w:rsidRPr="00B13812">
              <w:rPr>
                <w:sz w:val="24"/>
                <w:lang w:val="fr-CA" w:eastAsia="en-CA"/>
              </w:rPr>
              <w:t>Saint</w:t>
            </w:r>
            <w:r>
              <w:rPr>
                <w:sz w:val="24"/>
                <w:lang w:val="fr-CA" w:eastAsia="en-CA"/>
              </w:rPr>
              <w:t>-</w:t>
            </w:r>
            <w:r w:rsidRPr="00B13812">
              <w:rPr>
                <w:sz w:val="24"/>
                <w:lang w:val="fr-CA" w:eastAsia="en-CA"/>
              </w:rPr>
              <w:t>Kitts</w:t>
            </w:r>
            <w:r>
              <w:rPr>
                <w:sz w:val="24"/>
                <w:lang w:val="fr-CA" w:eastAsia="en-CA"/>
              </w:rPr>
              <w:t>-et-</w:t>
            </w:r>
            <w:r w:rsidRPr="00B13812">
              <w:rPr>
                <w:sz w:val="24"/>
                <w:lang w:val="fr-CA" w:eastAsia="en-CA"/>
              </w:rPr>
              <w:t>Nevis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Samoa</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1567E0">
            <w:pPr>
              <w:rPr>
                <w:sz w:val="24"/>
                <w:lang w:val="fr-CA" w:eastAsia="en-CA"/>
              </w:rPr>
            </w:pPr>
            <w:r>
              <w:rPr>
                <w:sz w:val="24"/>
                <w:lang w:val="fr-CA" w:eastAsia="en-CA"/>
              </w:rPr>
              <w:t>Sao Tomé-et-Principe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Sénégal</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335</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Seychelles</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Sierra Leone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Slovaquie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160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296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5 206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5 520</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10 726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S</w:t>
            </w:r>
            <w:r>
              <w:rPr>
                <w:sz w:val="24"/>
                <w:lang w:val="fr-CA" w:eastAsia="en-CA"/>
              </w:rPr>
              <w:t>o</w:t>
            </w:r>
            <w:r w:rsidRPr="00B13812">
              <w:rPr>
                <w:sz w:val="24"/>
                <w:lang w:val="fr-CA" w:eastAsia="en-CA"/>
              </w:rPr>
              <w:t>udan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187</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363</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lastRenderedPageBreak/>
              <w:t>Suède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956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766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31 106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32 985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64 090</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Suisse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1</w:t>
            </w:r>
            <w:r>
              <w:rPr>
                <w:sz w:val="24"/>
                <w:lang w:val="fr-CA" w:eastAsia="en-CA"/>
              </w:rPr>
              <w:t>,</w:t>
            </w:r>
            <w:r w:rsidRPr="00B13812">
              <w:rPr>
                <w:sz w:val="24"/>
                <w:lang w:val="fr-CA" w:eastAsia="en-CA"/>
              </w:rPr>
              <w:t>140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106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37 093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39 333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76 426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Ta</w:t>
            </w:r>
            <w:r>
              <w:rPr>
                <w:sz w:val="24"/>
                <w:lang w:val="fr-CA" w:eastAsia="en-CA"/>
              </w:rPr>
              <w:t>d</w:t>
            </w:r>
            <w:r w:rsidRPr="00B13812">
              <w:rPr>
                <w:sz w:val="24"/>
                <w:lang w:val="fr-CA" w:eastAsia="en-CA"/>
              </w:rPr>
              <w:t>jikistan</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Tc</w:t>
            </w:r>
            <w:r w:rsidRPr="00B13812">
              <w:rPr>
                <w:sz w:val="24"/>
                <w:lang w:val="fr-CA" w:eastAsia="en-CA"/>
              </w:rPr>
              <w:t>had</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005</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163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173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335</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Togo</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Tuvalu</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Union européenne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w:t>
            </w:r>
            <w:r>
              <w:rPr>
                <w:sz w:val="24"/>
                <w:lang w:val="fr-CA" w:eastAsia="en-CA"/>
              </w:rPr>
              <w:t>,</w:t>
            </w:r>
            <w:r w:rsidRPr="00B13812">
              <w:rPr>
                <w:sz w:val="24"/>
                <w:lang w:val="fr-CA" w:eastAsia="en-CA"/>
              </w:rPr>
              <w:t>500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44 024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46 683</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90 708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Uruguay</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079</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146</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2 570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2 726</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5 296</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Vanuatu</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001</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002</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35</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67</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Viet Nam</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058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107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1 887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2 001</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3 888</w:t>
            </w:r>
          </w:p>
        </w:tc>
      </w:tr>
      <w:tr w:rsidR="001E5498" w:rsidRPr="00B13812" w:rsidTr="00DD422C">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Pr>
                <w:sz w:val="24"/>
                <w:lang w:val="fr-CA" w:eastAsia="en-CA"/>
              </w:rPr>
              <w:t>Zambie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013</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228</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242</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469</w:t>
            </w:r>
          </w:p>
        </w:tc>
      </w:tr>
      <w:tr w:rsidR="001E5498" w:rsidRPr="00B13812" w:rsidTr="001E5498">
        <w:trPr>
          <w:cantSplit/>
          <w:jc w:val="center"/>
        </w:trPr>
        <w:tc>
          <w:tcPr>
            <w:tcW w:w="5617" w:type="dxa"/>
            <w:tcBorders>
              <w:top w:val="nil"/>
              <w:left w:val="single" w:sz="4" w:space="0" w:color="auto"/>
              <w:bottom w:val="single" w:sz="4" w:space="0" w:color="auto"/>
              <w:right w:val="single" w:sz="4" w:space="0" w:color="auto"/>
            </w:tcBorders>
            <w:shd w:val="clear" w:color="auto" w:fill="auto"/>
            <w:vAlign w:val="center"/>
            <w:hideMark/>
          </w:tcPr>
          <w:p w:rsidR="001E5498" w:rsidRPr="00B13812" w:rsidRDefault="001E5498" w:rsidP="000F696E">
            <w:pPr>
              <w:rPr>
                <w:sz w:val="24"/>
                <w:lang w:val="fr-CA" w:eastAsia="en-CA"/>
              </w:rPr>
            </w:pPr>
            <w:r w:rsidRPr="00B13812">
              <w:rPr>
                <w:sz w:val="24"/>
                <w:lang w:val="fr-CA" w:eastAsia="en-CA"/>
              </w:rPr>
              <w:t>Zimbabwe</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004</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0</w:t>
            </w:r>
            <w:r>
              <w:rPr>
                <w:sz w:val="24"/>
                <w:lang w:val="fr-CA" w:eastAsia="en-CA"/>
              </w:rPr>
              <w:t>,</w:t>
            </w:r>
            <w:r w:rsidRPr="00B13812">
              <w:rPr>
                <w:sz w:val="24"/>
                <w:lang w:val="fr-CA" w:eastAsia="en-CA"/>
              </w:rPr>
              <w:t>007</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130</w:t>
            </w:r>
          </w:p>
        </w:tc>
        <w:tc>
          <w:tcPr>
            <w:tcW w:w="1597"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color w:val="000000"/>
                <w:sz w:val="24"/>
                <w:lang w:val="fr-CA" w:eastAsia="en-CA"/>
              </w:rPr>
            </w:pPr>
            <w:r w:rsidRPr="00B13812">
              <w:rPr>
                <w:color w:val="000000"/>
                <w:sz w:val="24"/>
                <w:lang w:val="fr-CA" w:eastAsia="en-CA"/>
              </w:rPr>
              <w:t>138</w:t>
            </w:r>
          </w:p>
        </w:tc>
        <w:tc>
          <w:tcPr>
            <w:tcW w:w="1598" w:type="dxa"/>
            <w:tcBorders>
              <w:top w:val="nil"/>
              <w:left w:val="nil"/>
              <w:bottom w:val="single" w:sz="4" w:space="0" w:color="auto"/>
              <w:right w:val="single" w:sz="4" w:space="0" w:color="auto"/>
            </w:tcBorders>
            <w:shd w:val="clear" w:color="auto" w:fill="auto"/>
            <w:noWrap/>
            <w:vAlign w:val="center"/>
            <w:hideMark/>
          </w:tcPr>
          <w:p w:rsidR="001E5498" w:rsidRPr="00B13812" w:rsidRDefault="001E5498" w:rsidP="000F696E">
            <w:pPr>
              <w:jc w:val="right"/>
              <w:rPr>
                <w:sz w:val="24"/>
                <w:lang w:val="fr-CA" w:eastAsia="en-CA"/>
              </w:rPr>
            </w:pPr>
            <w:r w:rsidRPr="00B13812">
              <w:rPr>
                <w:sz w:val="24"/>
                <w:lang w:val="fr-CA" w:eastAsia="en-CA"/>
              </w:rPr>
              <w:t>268</w:t>
            </w:r>
          </w:p>
        </w:tc>
      </w:tr>
      <w:tr w:rsidR="001E5498" w:rsidRPr="00B13812" w:rsidTr="001E5498">
        <w:trPr>
          <w:cantSplit/>
          <w:jc w:val="center"/>
        </w:trPr>
        <w:tc>
          <w:tcPr>
            <w:tcW w:w="5617" w:type="dxa"/>
            <w:tcBorders>
              <w:top w:val="single" w:sz="4" w:space="0" w:color="auto"/>
              <w:left w:val="single" w:sz="4" w:space="0" w:color="auto"/>
              <w:bottom w:val="single" w:sz="4" w:space="0" w:color="auto"/>
              <w:right w:val="single" w:sz="4" w:space="0" w:color="auto"/>
            </w:tcBorders>
            <w:shd w:val="clear" w:color="auto" w:fill="auto"/>
            <w:vAlign w:val="center"/>
          </w:tcPr>
          <w:p w:rsidR="001E5498" w:rsidRPr="00B13812" w:rsidRDefault="001E5498" w:rsidP="001E5498">
            <w:pPr>
              <w:rPr>
                <w:b/>
                <w:bCs/>
                <w:sz w:val="24"/>
                <w:lang w:val="fr-CA" w:eastAsia="en-CA"/>
              </w:rPr>
            </w:pPr>
            <w:r w:rsidRPr="00B13812">
              <w:rPr>
                <w:b/>
                <w:bCs/>
                <w:sz w:val="24"/>
                <w:lang w:val="fr-CA" w:eastAsia="en-CA"/>
              </w:rPr>
              <w:t>Total</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1E5498" w:rsidRPr="00B13812" w:rsidRDefault="001E5498" w:rsidP="001E5498">
            <w:pPr>
              <w:jc w:val="right"/>
              <w:rPr>
                <w:b/>
                <w:bCs/>
                <w:color w:val="000000"/>
                <w:sz w:val="24"/>
                <w:lang w:val="fr-CA" w:eastAsia="en-CA"/>
              </w:rPr>
            </w:pPr>
            <w:r w:rsidRPr="00B13812">
              <w:rPr>
                <w:b/>
                <w:bCs/>
                <w:color w:val="000000"/>
                <w:sz w:val="24"/>
                <w:lang w:val="fr-CA" w:eastAsia="en-CA"/>
              </w:rPr>
              <w:t>52</w:t>
            </w:r>
            <w:r>
              <w:rPr>
                <w:b/>
                <w:bCs/>
                <w:color w:val="000000"/>
                <w:sz w:val="24"/>
                <w:lang w:val="fr-CA" w:eastAsia="en-CA"/>
              </w:rPr>
              <w:t>,</w:t>
            </w:r>
            <w:r w:rsidRPr="00B13812">
              <w:rPr>
                <w:b/>
                <w:bCs/>
                <w:color w:val="000000"/>
                <w:sz w:val="24"/>
                <w:lang w:val="fr-CA" w:eastAsia="en-CA"/>
              </w:rPr>
              <w:t>793</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1E5498" w:rsidRPr="00B13812" w:rsidRDefault="001E5498" w:rsidP="001E5498">
            <w:pPr>
              <w:jc w:val="right"/>
              <w:rPr>
                <w:b/>
                <w:bCs/>
                <w:color w:val="000000"/>
                <w:sz w:val="24"/>
                <w:lang w:val="fr-CA" w:eastAsia="en-CA"/>
              </w:rPr>
            </w:pPr>
            <w:r w:rsidRPr="00B13812">
              <w:rPr>
                <w:b/>
                <w:bCs/>
                <w:color w:val="000000"/>
                <w:sz w:val="24"/>
                <w:lang w:val="fr-CA" w:eastAsia="en-CA"/>
              </w:rPr>
              <w:t>100</w:t>
            </w:r>
            <w:r>
              <w:rPr>
                <w:b/>
                <w:bCs/>
                <w:color w:val="000000"/>
                <w:sz w:val="24"/>
                <w:lang w:val="fr-CA" w:eastAsia="en-CA"/>
              </w:rPr>
              <w:t>,</w:t>
            </w:r>
            <w:r w:rsidRPr="00B13812">
              <w:rPr>
                <w:b/>
                <w:bCs/>
                <w:color w:val="000000"/>
                <w:sz w:val="24"/>
                <w:lang w:val="fr-CA" w:eastAsia="en-CA"/>
              </w:rPr>
              <w:t>000</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1E5498" w:rsidRPr="00B13812" w:rsidRDefault="001E5498" w:rsidP="001E5498">
            <w:pPr>
              <w:jc w:val="right"/>
              <w:rPr>
                <w:b/>
                <w:bCs/>
                <w:color w:val="000000"/>
                <w:sz w:val="24"/>
                <w:lang w:val="fr-CA" w:eastAsia="en-CA"/>
              </w:rPr>
            </w:pPr>
            <w:r w:rsidRPr="00B13812">
              <w:rPr>
                <w:b/>
                <w:bCs/>
                <w:color w:val="000000"/>
                <w:sz w:val="24"/>
                <w:lang w:val="fr-CA" w:eastAsia="en-CA"/>
              </w:rPr>
              <w:t>1 760 968</w:t>
            </w:r>
          </w:p>
        </w:tc>
        <w:tc>
          <w:tcPr>
            <w:tcW w:w="1597" w:type="dxa"/>
            <w:tcBorders>
              <w:top w:val="single" w:sz="4" w:space="0" w:color="auto"/>
              <w:left w:val="nil"/>
              <w:bottom w:val="single" w:sz="4" w:space="0" w:color="auto"/>
              <w:right w:val="single" w:sz="4" w:space="0" w:color="auto"/>
            </w:tcBorders>
            <w:shd w:val="clear" w:color="auto" w:fill="auto"/>
            <w:noWrap/>
            <w:vAlign w:val="center"/>
          </w:tcPr>
          <w:p w:rsidR="001E5498" w:rsidRPr="00B13812" w:rsidRDefault="001E5498" w:rsidP="001E5498">
            <w:pPr>
              <w:jc w:val="right"/>
              <w:rPr>
                <w:b/>
                <w:bCs/>
                <w:color w:val="000000"/>
                <w:sz w:val="24"/>
                <w:lang w:val="fr-CA" w:eastAsia="en-CA"/>
              </w:rPr>
            </w:pPr>
            <w:r w:rsidRPr="00B13812">
              <w:rPr>
                <w:b/>
                <w:bCs/>
                <w:color w:val="000000"/>
                <w:sz w:val="24"/>
                <w:lang w:val="fr-CA" w:eastAsia="en-CA"/>
              </w:rPr>
              <w:t>1 867 338</w:t>
            </w:r>
          </w:p>
        </w:tc>
        <w:tc>
          <w:tcPr>
            <w:tcW w:w="1598" w:type="dxa"/>
            <w:tcBorders>
              <w:top w:val="single" w:sz="4" w:space="0" w:color="auto"/>
              <w:left w:val="nil"/>
              <w:bottom w:val="single" w:sz="4" w:space="0" w:color="auto"/>
              <w:right w:val="single" w:sz="4" w:space="0" w:color="auto"/>
            </w:tcBorders>
            <w:shd w:val="clear" w:color="auto" w:fill="auto"/>
            <w:noWrap/>
            <w:vAlign w:val="center"/>
          </w:tcPr>
          <w:p w:rsidR="001E5498" w:rsidRPr="00B13812" w:rsidRDefault="001E5498" w:rsidP="001E5498">
            <w:pPr>
              <w:jc w:val="right"/>
              <w:rPr>
                <w:b/>
                <w:bCs/>
                <w:color w:val="000000"/>
                <w:sz w:val="24"/>
                <w:lang w:val="fr-CA" w:eastAsia="en-CA"/>
              </w:rPr>
            </w:pPr>
            <w:r w:rsidRPr="00B13812">
              <w:rPr>
                <w:b/>
                <w:bCs/>
                <w:color w:val="000000"/>
                <w:sz w:val="24"/>
                <w:lang w:val="fr-CA" w:eastAsia="en-CA"/>
              </w:rPr>
              <w:t>3 628 306</w:t>
            </w:r>
          </w:p>
        </w:tc>
      </w:tr>
    </w:tbl>
    <w:p w:rsidR="00A11FB8" w:rsidRPr="0069295C" w:rsidRDefault="00A11FB8">
      <w:pPr>
        <w:jc w:val="left"/>
        <w:rPr>
          <w:kern w:val="22"/>
        </w:rPr>
      </w:pPr>
    </w:p>
    <w:p w:rsidR="00B3369F" w:rsidRPr="0069295C" w:rsidRDefault="00EB39FC" w:rsidP="00EB39FC">
      <w:pPr>
        <w:shd w:val="clear" w:color="auto" w:fill="FFFFFF" w:themeFill="background1"/>
        <w:jc w:val="center"/>
        <w:rPr>
          <w:kern w:val="22"/>
        </w:rPr>
      </w:pPr>
      <w:r w:rsidRPr="0069295C">
        <w:rPr>
          <w:kern w:val="22"/>
        </w:rPr>
        <w:t>__________</w:t>
      </w:r>
    </w:p>
    <w:sectPr w:rsidR="00B3369F" w:rsidRPr="0069295C" w:rsidSect="00EB39FC">
      <w:pgSz w:w="15840" w:h="12240" w:orient="landscape"/>
      <w:pgMar w:top="1389" w:right="567" w:bottom="138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B6F" w:rsidRDefault="006D2B6F" w:rsidP="00CF1848">
      <w:r>
        <w:separator/>
      </w:r>
    </w:p>
  </w:endnote>
  <w:endnote w:type="continuationSeparator" w:id="0">
    <w:p w:rsidR="006D2B6F" w:rsidRDefault="006D2B6F"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B6F" w:rsidRDefault="006D2B6F" w:rsidP="00CF1848">
      <w:r>
        <w:separator/>
      </w:r>
    </w:p>
  </w:footnote>
  <w:footnote w:type="continuationSeparator" w:id="0">
    <w:p w:rsidR="006D2B6F" w:rsidRDefault="006D2B6F" w:rsidP="00CF1848">
      <w:r>
        <w:continuationSeparator/>
      </w:r>
    </w:p>
  </w:footnote>
  <w:footnote w:id="1">
    <w:p w:rsidR="00B13812" w:rsidRPr="00352AC2" w:rsidRDefault="00B13812" w:rsidP="00AD38FA">
      <w:pPr>
        <w:pStyle w:val="Notedebasdepage"/>
        <w:ind w:firstLine="0"/>
        <w:jc w:val="left"/>
        <w:rPr>
          <w:kern w:val="18"/>
          <w:szCs w:val="18"/>
          <w:lang w:val="fr-CA"/>
        </w:rPr>
      </w:pPr>
      <w:r w:rsidRPr="00AD38FA">
        <w:rPr>
          <w:rStyle w:val="Appelnotedebasdep"/>
          <w:kern w:val="18"/>
          <w:sz w:val="18"/>
          <w:szCs w:val="18"/>
        </w:rPr>
        <w:footnoteRef/>
      </w:r>
      <w:r w:rsidRPr="00352AC2">
        <w:rPr>
          <w:kern w:val="18"/>
          <w:szCs w:val="18"/>
          <w:lang w:val="fr-CA"/>
        </w:rPr>
        <w:t xml:space="preserve"> Voir la note du tableau 2.</w:t>
      </w:r>
      <w:r>
        <w:rPr>
          <w:kern w:val="18"/>
          <w:szCs w:val="18"/>
          <w:lang w:val="fr-CA"/>
        </w:rPr>
        <w:t xml:space="preserve"> Conformément à la résolution</w:t>
      </w:r>
      <w:r w:rsidRPr="00352AC2">
        <w:rPr>
          <w:kern w:val="18"/>
          <w:szCs w:val="18"/>
          <w:lang w:val="fr-CA"/>
        </w:rPr>
        <w:t xml:space="preserve"> 70/245 de l’Assemblée générale des Nations Unies.</w:t>
      </w:r>
    </w:p>
  </w:footnote>
  <w:footnote w:id="2">
    <w:p w:rsidR="00B13812" w:rsidRPr="001E5498" w:rsidRDefault="00B13812" w:rsidP="00AD38FA">
      <w:pPr>
        <w:keepLines/>
        <w:spacing w:after="60"/>
        <w:jc w:val="left"/>
        <w:rPr>
          <w:kern w:val="18"/>
          <w:sz w:val="18"/>
          <w:szCs w:val="18"/>
          <w:lang w:val="fr-CA"/>
        </w:rPr>
      </w:pPr>
      <w:r w:rsidRPr="00AD38FA">
        <w:rPr>
          <w:rStyle w:val="Appelnotedebasdep"/>
          <w:kern w:val="18"/>
          <w:sz w:val="18"/>
          <w:szCs w:val="18"/>
        </w:rPr>
        <w:footnoteRef/>
      </w:r>
      <w:r w:rsidRPr="001E5498">
        <w:rPr>
          <w:kern w:val="18"/>
          <w:sz w:val="18"/>
          <w:szCs w:val="18"/>
          <w:lang w:val="fr-CA"/>
        </w:rPr>
        <w:t xml:space="preserve"> </w:t>
      </w:r>
      <w:r w:rsidR="001E5498" w:rsidRPr="001E5498">
        <w:rPr>
          <w:sz w:val="18"/>
          <w:lang w:val="fr-CA"/>
        </w:rPr>
        <w:t xml:space="preserve">Conformément à la résolution 70/245 de l'Assemblée générale des Nations Unies, un barème révisé des quotes-parts pour la période triennale sera appliqué, lorsqu'il sera publié, pour calculer les contributions pour l'exercice biennal 2019-2020 </w:t>
      </w:r>
      <w:r w:rsidR="001E5498" w:rsidRPr="001E5498">
        <w:rPr>
          <w:kern w:val="18"/>
          <w:sz w:val="18"/>
          <w:szCs w:val="18"/>
          <w:lang w:val="fr-CA"/>
        </w:rPr>
        <w:t xml:space="preserve"> (voir https://www.cbd.int/doc/notifications/2019/ntf-2019-01</w:t>
      </w:r>
      <w:r w:rsidR="001E5498">
        <w:rPr>
          <w:kern w:val="18"/>
          <w:sz w:val="18"/>
          <w:szCs w:val="18"/>
          <w:lang w:val="fr-CA"/>
        </w:rPr>
        <w:t>7</w:t>
      </w:r>
      <w:r w:rsidR="001E5498" w:rsidRPr="001E5498">
        <w:rPr>
          <w:kern w:val="18"/>
          <w:sz w:val="18"/>
          <w:szCs w:val="18"/>
          <w:lang w:val="fr-CA"/>
        </w:rPr>
        <w:t>-budget-</w:t>
      </w:r>
      <w:r w:rsidR="001E5498">
        <w:rPr>
          <w:kern w:val="18"/>
          <w:sz w:val="18"/>
          <w:szCs w:val="18"/>
          <w:lang w:val="fr-CA"/>
        </w:rPr>
        <w:t>np</w:t>
      </w:r>
      <w:r w:rsidR="001E5498" w:rsidRPr="001E5498">
        <w:rPr>
          <w:kern w:val="18"/>
          <w:sz w:val="18"/>
          <w:szCs w:val="18"/>
          <w:lang w:val="fr-CA"/>
        </w:rPr>
        <w:t>-en.pdf)</w:t>
      </w:r>
      <w:r w:rsidRPr="001E5498">
        <w:rPr>
          <w:kern w:val="18"/>
          <w:sz w:val="18"/>
          <w:szCs w:val="18"/>
          <w:lang w:val="fr-C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Content>
      <w:p w:rsidR="00B13812" w:rsidRPr="000F696E" w:rsidRDefault="00B13812" w:rsidP="0069295C">
        <w:pPr>
          <w:pStyle w:val="En-tte"/>
          <w:tabs>
            <w:tab w:val="clear" w:pos="4320"/>
            <w:tab w:val="clear" w:pos="8640"/>
          </w:tabs>
          <w:jc w:val="left"/>
          <w:rPr>
            <w:noProof/>
            <w:kern w:val="22"/>
            <w:lang w:val="fr-CA"/>
          </w:rPr>
        </w:pPr>
        <w:r w:rsidRPr="000F696E">
          <w:rPr>
            <w:noProof/>
            <w:kern w:val="22"/>
            <w:lang w:val="fr-CA"/>
          </w:rPr>
          <w:t>CBD/NP/MOP/DEC/3/16</w:t>
        </w:r>
      </w:p>
    </w:sdtContent>
  </w:sdt>
  <w:p w:rsidR="00B13812" w:rsidRPr="000F696E" w:rsidRDefault="00B13812" w:rsidP="0069295C">
    <w:pPr>
      <w:pStyle w:val="En-tte"/>
      <w:tabs>
        <w:tab w:val="clear" w:pos="4320"/>
        <w:tab w:val="clear" w:pos="8640"/>
      </w:tabs>
      <w:jc w:val="left"/>
      <w:rPr>
        <w:noProof/>
        <w:kern w:val="22"/>
        <w:lang w:val="fr-CA"/>
      </w:rPr>
    </w:pPr>
    <w:r w:rsidRPr="000F696E">
      <w:rPr>
        <w:noProof/>
        <w:kern w:val="22"/>
        <w:lang w:val="fr-CA"/>
      </w:rPr>
      <w:t xml:space="preserve">Page </w:t>
    </w:r>
    <w:r w:rsidRPr="0069295C">
      <w:rPr>
        <w:noProof/>
        <w:kern w:val="22"/>
      </w:rPr>
      <w:fldChar w:fldCharType="begin"/>
    </w:r>
    <w:r w:rsidRPr="000F696E">
      <w:rPr>
        <w:noProof/>
        <w:kern w:val="22"/>
        <w:lang w:val="fr-CA"/>
      </w:rPr>
      <w:instrText xml:space="preserve"> PAGE   \* MERGEFORMAT </w:instrText>
    </w:r>
    <w:r w:rsidRPr="0069295C">
      <w:rPr>
        <w:noProof/>
        <w:kern w:val="22"/>
      </w:rPr>
      <w:fldChar w:fldCharType="separate"/>
    </w:r>
    <w:r w:rsidR="00B2094F">
      <w:rPr>
        <w:noProof/>
        <w:kern w:val="22"/>
        <w:lang w:val="fr-CA"/>
      </w:rPr>
      <w:t>8</w:t>
    </w:r>
    <w:r w:rsidRPr="0069295C">
      <w:rPr>
        <w:noProof/>
        <w:kern w:val="22"/>
      </w:rPr>
      <w:fldChar w:fldCharType="end"/>
    </w:r>
  </w:p>
  <w:p w:rsidR="00B13812" w:rsidRPr="000F696E" w:rsidRDefault="00B13812" w:rsidP="0069295C">
    <w:pPr>
      <w:pStyle w:val="En-tte"/>
      <w:tabs>
        <w:tab w:val="clear" w:pos="4320"/>
        <w:tab w:val="clear" w:pos="8640"/>
      </w:tabs>
      <w:jc w:val="left"/>
      <w:rPr>
        <w:noProof/>
        <w:kern w:val="22"/>
        <w:lang w:val="fr-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kern w:val="22"/>
        <w:lang w:val="fr-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Content>
      <w:p w:rsidR="00B13812" w:rsidRPr="000F696E" w:rsidRDefault="00B13812" w:rsidP="0069295C">
        <w:pPr>
          <w:pStyle w:val="En-tte"/>
          <w:tabs>
            <w:tab w:val="clear" w:pos="4320"/>
            <w:tab w:val="clear" w:pos="8640"/>
          </w:tabs>
          <w:jc w:val="right"/>
          <w:rPr>
            <w:noProof/>
            <w:kern w:val="22"/>
            <w:lang w:val="fr-CA"/>
          </w:rPr>
        </w:pPr>
        <w:r w:rsidRPr="000F696E">
          <w:rPr>
            <w:noProof/>
            <w:kern w:val="22"/>
            <w:lang w:val="fr-CA"/>
          </w:rPr>
          <w:t>CBD/NP/MOP/DEC/3/16</w:t>
        </w:r>
      </w:p>
    </w:sdtContent>
  </w:sdt>
  <w:p w:rsidR="00B13812" w:rsidRPr="000F696E" w:rsidRDefault="00B13812" w:rsidP="0069295C">
    <w:pPr>
      <w:pStyle w:val="En-tte"/>
      <w:tabs>
        <w:tab w:val="clear" w:pos="4320"/>
        <w:tab w:val="clear" w:pos="8640"/>
      </w:tabs>
      <w:jc w:val="right"/>
      <w:rPr>
        <w:noProof/>
        <w:kern w:val="22"/>
        <w:lang w:val="fr-CA"/>
      </w:rPr>
    </w:pPr>
    <w:r w:rsidRPr="000F696E">
      <w:rPr>
        <w:noProof/>
        <w:kern w:val="22"/>
        <w:lang w:val="fr-CA"/>
      </w:rPr>
      <w:t xml:space="preserve">Page </w:t>
    </w:r>
    <w:r w:rsidRPr="0069295C">
      <w:rPr>
        <w:noProof/>
        <w:kern w:val="22"/>
      </w:rPr>
      <w:fldChar w:fldCharType="begin"/>
    </w:r>
    <w:r w:rsidRPr="000F696E">
      <w:rPr>
        <w:noProof/>
        <w:kern w:val="22"/>
        <w:lang w:val="fr-CA"/>
      </w:rPr>
      <w:instrText xml:space="preserve"> PAGE   \* MERGEFORMAT </w:instrText>
    </w:r>
    <w:r w:rsidRPr="0069295C">
      <w:rPr>
        <w:noProof/>
        <w:kern w:val="22"/>
      </w:rPr>
      <w:fldChar w:fldCharType="separate"/>
    </w:r>
    <w:r w:rsidR="00B2094F">
      <w:rPr>
        <w:noProof/>
        <w:kern w:val="22"/>
        <w:lang w:val="fr-CA"/>
      </w:rPr>
      <w:t>9</w:t>
    </w:r>
    <w:r w:rsidRPr="0069295C">
      <w:rPr>
        <w:noProof/>
        <w:kern w:val="22"/>
      </w:rPr>
      <w:fldChar w:fldCharType="end"/>
    </w:r>
  </w:p>
  <w:p w:rsidR="00B13812" w:rsidRPr="000F696E" w:rsidRDefault="00B13812" w:rsidP="0069295C">
    <w:pPr>
      <w:pStyle w:val="En-tte"/>
      <w:tabs>
        <w:tab w:val="clear" w:pos="4320"/>
        <w:tab w:val="clear" w:pos="8640"/>
      </w:tabs>
      <w:jc w:val="right"/>
      <w:rPr>
        <w:noProof/>
        <w:kern w:val="22"/>
        <w:lang w:val="fr-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4D753F"/>
    <w:multiLevelType w:val="hybridMultilevel"/>
    <w:tmpl w:val="7D42E2E6"/>
    <w:lvl w:ilvl="0" w:tplc="022CD2EA">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61D"/>
    <w:rsid w:val="00000614"/>
    <w:rsid w:val="000262D8"/>
    <w:rsid w:val="00043F0D"/>
    <w:rsid w:val="00092BBC"/>
    <w:rsid w:val="000D2035"/>
    <w:rsid w:val="000D3C0F"/>
    <w:rsid w:val="000E3CE6"/>
    <w:rsid w:val="000E673A"/>
    <w:rsid w:val="000E7D34"/>
    <w:rsid w:val="000F696E"/>
    <w:rsid w:val="000F74F5"/>
    <w:rsid w:val="00105372"/>
    <w:rsid w:val="0010725F"/>
    <w:rsid w:val="0011537C"/>
    <w:rsid w:val="00130559"/>
    <w:rsid w:val="00131E7A"/>
    <w:rsid w:val="00136A43"/>
    <w:rsid w:val="0015198A"/>
    <w:rsid w:val="001567E0"/>
    <w:rsid w:val="0017200F"/>
    <w:rsid w:val="00172AF6"/>
    <w:rsid w:val="00172EE2"/>
    <w:rsid w:val="00176CEE"/>
    <w:rsid w:val="00183361"/>
    <w:rsid w:val="0019053E"/>
    <w:rsid w:val="001C383B"/>
    <w:rsid w:val="001E5498"/>
    <w:rsid w:val="001F03BA"/>
    <w:rsid w:val="00203C57"/>
    <w:rsid w:val="00232C02"/>
    <w:rsid w:val="00232EFF"/>
    <w:rsid w:val="00242BA1"/>
    <w:rsid w:val="00250A63"/>
    <w:rsid w:val="00250EF1"/>
    <w:rsid w:val="00263B80"/>
    <w:rsid w:val="00281E9B"/>
    <w:rsid w:val="002866C8"/>
    <w:rsid w:val="00295166"/>
    <w:rsid w:val="002A0F90"/>
    <w:rsid w:val="002A7FC5"/>
    <w:rsid w:val="002D39F7"/>
    <w:rsid w:val="002E56C5"/>
    <w:rsid w:val="002F65D3"/>
    <w:rsid w:val="00331234"/>
    <w:rsid w:val="00352AC2"/>
    <w:rsid w:val="0035449F"/>
    <w:rsid w:val="00372F74"/>
    <w:rsid w:val="003A5539"/>
    <w:rsid w:val="003B22EF"/>
    <w:rsid w:val="003C28DA"/>
    <w:rsid w:val="003C2BC0"/>
    <w:rsid w:val="003E5C6E"/>
    <w:rsid w:val="003F3847"/>
    <w:rsid w:val="003F3CA8"/>
    <w:rsid w:val="003F7224"/>
    <w:rsid w:val="00405146"/>
    <w:rsid w:val="00410A83"/>
    <w:rsid w:val="0042412C"/>
    <w:rsid w:val="00427D21"/>
    <w:rsid w:val="00440303"/>
    <w:rsid w:val="004436FA"/>
    <w:rsid w:val="004644C2"/>
    <w:rsid w:val="00465B94"/>
    <w:rsid w:val="00467F9C"/>
    <w:rsid w:val="00484333"/>
    <w:rsid w:val="00486CB6"/>
    <w:rsid w:val="00487F5F"/>
    <w:rsid w:val="004D01E8"/>
    <w:rsid w:val="004F008C"/>
    <w:rsid w:val="004F2005"/>
    <w:rsid w:val="005345E1"/>
    <w:rsid w:val="00534681"/>
    <w:rsid w:val="00542322"/>
    <w:rsid w:val="005447DD"/>
    <w:rsid w:val="0054686D"/>
    <w:rsid w:val="005607D8"/>
    <w:rsid w:val="00565D8C"/>
    <w:rsid w:val="00566464"/>
    <w:rsid w:val="00570F1D"/>
    <w:rsid w:val="00572846"/>
    <w:rsid w:val="0057351D"/>
    <w:rsid w:val="0058624B"/>
    <w:rsid w:val="0059594F"/>
    <w:rsid w:val="005B1B15"/>
    <w:rsid w:val="006122BA"/>
    <w:rsid w:val="0061445E"/>
    <w:rsid w:val="00625EEC"/>
    <w:rsid w:val="00630B75"/>
    <w:rsid w:val="00631138"/>
    <w:rsid w:val="00633380"/>
    <w:rsid w:val="006419F1"/>
    <w:rsid w:val="00651320"/>
    <w:rsid w:val="006524FA"/>
    <w:rsid w:val="00680BD0"/>
    <w:rsid w:val="00684C70"/>
    <w:rsid w:val="0069295C"/>
    <w:rsid w:val="006A37D7"/>
    <w:rsid w:val="006B2290"/>
    <w:rsid w:val="006D2B6F"/>
    <w:rsid w:val="006E3FBE"/>
    <w:rsid w:val="006F1189"/>
    <w:rsid w:val="00705BD3"/>
    <w:rsid w:val="00717D88"/>
    <w:rsid w:val="00765FD4"/>
    <w:rsid w:val="007916B6"/>
    <w:rsid w:val="007942D3"/>
    <w:rsid w:val="007B6C09"/>
    <w:rsid w:val="007C5C6E"/>
    <w:rsid w:val="007D2FC4"/>
    <w:rsid w:val="007E09DA"/>
    <w:rsid w:val="007F4CC2"/>
    <w:rsid w:val="0080594B"/>
    <w:rsid w:val="00807774"/>
    <w:rsid w:val="008178B6"/>
    <w:rsid w:val="0082465A"/>
    <w:rsid w:val="00865B74"/>
    <w:rsid w:val="00867723"/>
    <w:rsid w:val="00877B7C"/>
    <w:rsid w:val="008816A7"/>
    <w:rsid w:val="008855F6"/>
    <w:rsid w:val="00897E21"/>
    <w:rsid w:val="008A0D80"/>
    <w:rsid w:val="008A2FB6"/>
    <w:rsid w:val="008A58EF"/>
    <w:rsid w:val="008C6750"/>
    <w:rsid w:val="008D585E"/>
    <w:rsid w:val="008D67DE"/>
    <w:rsid w:val="008F427C"/>
    <w:rsid w:val="009041BD"/>
    <w:rsid w:val="00921D04"/>
    <w:rsid w:val="00930BA1"/>
    <w:rsid w:val="0093169E"/>
    <w:rsid w:val="009505C9"/>
    <w:rsid w:val="009539BB"/>
    <w:rsid w:val="009A4007"/>
    <w:rsid w:val="009C200D"/>
    <w:rsid w:val="009E6E1A"/>
    <w:rsid w:val="009F0F9F"/>
    <w:rsid w:val="00A11FB8"/>
    <w:rsid w:val="00A14B26"/>
    <w:rsid w:val="00A2287D"/>
    <w:rsid w:val="00A32D05"/>
    <w:rsid w:val="00A5051C"/>
    <w:rsid w:val="00A758A9"/>
    <w:rsid w:val="00A75F4D"/>
    <w:rsid w:val="00AC4BE5"/>
    <w:rsid w:val="00AD38FA"/>
    <w:rsid w:val="00AF33EF"/>
    <w:rsid w:val="00AF3EBF"/>
    <w:rsid w:val="00AF78A1"/>
    <w:rsid w:val="00B01B33"/>
    <w:rsid w:val="00B13812"/>
    <w:rsid w:val="00B1571B"/>
    <w:rsid w:val="00B2094F"/>
    <w:rsid w:val="00B27D89"/>
    <w:rsid w:val="00B3369F"/>
    <w:rsid w:val="00B37D57"/>
    <w:rsid w:val="00B40FD2"/>
    <w:rsid w:val="00B508A4"/>
    <w:rsid w:val="00B51470"/>
    <w:rsid w:val="00BA2C1E"/>
    <w:rsid w:val="00BA787B"/>
    <w:rsid w:val="00BC33D6"/>
    <w:rsid w:val="00BD67DF"/>
    <w:rsid w:val="00BE582B"/>
    <w:rsid w:val="00BE67B1"/>
    <w:rsid w:val="00BF7C2C"/>
    <w:rsid w:val="00C35537"/>
    <w:rsid w:val="00C43837"/>
    <w:rsid w:val="00C526CF"/>
    <w:rsid w:val="00C9161D"/>
    <w:rsid w:val="00CB6AAD"/>
    <w:rsid w:val="00CC1DB8"/>
    <w:rsid w:val="00CF1848"/>
    <w:rsid w:val="00D04A50"/>
    <w:rsid w:val="00D0640D"/>
    <w:rsid w:val="00D0659E"/>
    <w:rsid w:val="00D12044"/>
    <w:rsid w:val="00D2536F"/>
    <w:rsid w:val="00D32EC0"/>
    <w:rsid w:val="00D578AC"/>
    <w:rsid w:val="00D76A18"/>
    <w:rsid w:val="00D96801"/>
    <w:rsid w:val="00DC69C5"/>
    <w:rsid w:val="00DD118C"/>
    <w:rsid w:val="00DD1A16"/>
    <w:rsid w:val="00DD422C"/>
    <w:rsid w:val="00DE28EE"/>
    <w:rsid w:val="00E02578"/>
    <w:rsid w:val="00E04471"/>
    <w:rsid w:val="00E211C3"/>
    <w:rsid w:val="00E24861"/>
    <w:rsid w:val="00E36CD5"/>
    <w:rsid w:val="00E42A8F"/>
    <w:rsid w:val="00E46C12"/>
    <w:rsid w:val="00E50147"/>
    <w:rsid w:val="00E51C2A"/>
    <w:rsid w:val="00E66235"/>
    <w:rsid w:val="00E74A92"/>
    <w:rsid w:val="00E83C24"/>
    <w:rsid w:val="00E9318D"/>
    <w:rsid w:val="00E961C9"/>
    <w:rsid w:val="00EB39FC"/>
    <w:rsid w:val="00EE30A4"/>
    <w:rsid w:val="00F24602"/>
    <w:rsid w:val="00F427F9"/>
    <w:rsid w:val="00F5315C"/>
    <w:rsid w:val="00F86B70"/>
    <w:rsid w:val="00F90143"/>
    <w:rsid w:val="00F94774"/>
    <w:rsid w:val="00FC2BDD"/>
    <w:rsid w:val="00FC53DB"/>
    <w:rsid w:val="00FD3C10"/>
    <w:rsid w:val="00FE1F15"/>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uiPriority w:val="99"/>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Default">
    <w:name w:val="Default"/>
    <w:rsid w:val="00D578AC"/>
    <w:pPr>
      <w:autoSpaceDE w:val="0"/>
      <w:autoSpaceDN w:val="0"/>
      <w:adjustRightInd w:val="0"/>
    </w:pPr>
    <w:rPr>
      <w:rFonts w:ascii="Times New Roman" w:eastAsia="MS Mincho" w:hAnsi="Times New Roman" w:cs="Times New Roman"/>
      <w:color w:val="000000"/>
      <w:lang w:val="en-CA" w:eastAsia="ja-JP"/>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D578AC"/>
    <w:pPr>
      <w:spacing w:after="160" w:line="240" w:lineRule="exact"/>
      <w:jc w:val="left"/>
    </w:pPr>
    <w:rPr>
      <w:rFonts w:asciiTheme="minorHAnsi" w:eastAsiaTheme="minorEastAsia" w:hAnsiTheme="minorHAnsi" w:cstheme="minorBidi"/>
      <w:vertAlign w:val="superscript"/>
      <w:lang w:val="fr-CA"/>
    </w:rPr>
  </w:style>
  <w:style w:type="paragraph" w:customStyle="1" w:styleId="xl65">
    <w:name w:val="xl65"/>
    <w:basedOn w:val="Normal"/>
    <w:rsid w:val="00A11FB8"/>
    <w:pPr>
      <w:spacing w:before="100" w:beforeAutospacing="1" w:after="100" w:afterAutospacing="1"/>
      <w:jc w:val="center"/>
      <w:textAlignment w:val="center"/>
    </w:pPr>
    <w:rPr>
      <w:sz w:val="24"/>
      <w:lang w:val="en-CA" w:eastAsia="en-CA"/>
    </w:rPr>
  </w:style>
  <w:style w:type="paragraph" w:customStyle="1" w:styleId="xl66">
    <w:name w:val="xl6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67">
    <w:name w:val="xl6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4"/>
      <w:lang w:val="en-CA" w:eastAsia="en-CA"/>
    </w:rPr>
  </w:style>
  <w:style w:type="paragraph" w:customStyle="1" w:styleId="xl68">
    <w:name w:val="xl68"/>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4"/>
      <w:lang w:val="en-CA" w:eastAsia="en-CA"/>
    </w:rPr>
  </w:style>
  <w:style w:type="paragraph" w:customStyle="1" w:styleId="xl69">
    <w:name w:val="xl69"/>
    <w:basedOn w:val="Normal"/>
    <w:rsid w:val="00A11FB8"/>
    <w:pPr>
      <w:spacing w:before="100" w:beforeAutospacing="1" w:after="100" w:afterAutospacing="1"/>
      <w:jc w:val="left"/>
      <w:textAlignment w:val="center"/>
    </w:pPr>
    <w:rPr>
      <w:sz w:val="24"/>
      <w:lang w:val="en-CA" w:eastAsia="en-CA"/>
    </w:rPr>
  </w:style>
  <w:style w:type="paragraph" w:customStyle="1" w:styleId="xl70">
    <w:name w:val="xl70"/>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1">
    <w:name w:val="xl71"/>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2">
    <w:name w:val="xl72"/>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3">
    <w:name w:val="xl73"/>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4">
    <w:name w:val="xl74"/>
    <w:basedOn w:val="Normal"/>
    <w:rsid w:val="00A11FB8"/>
    <w:pPr>
      <w:spacing w:before="100" w:beforeAutospacing="1" w:after="100" w:afterAutospacing="1"/>
      <w:jc w:val="right"/>
      <w:textAlignment w:val="center"/>
    </w:pPr>
    <w:rPr>
      <w:sz w:val="24"/>
      <w:lang w:val="en-CA" w:eastAsia="en-CA"/>
    </w:rPr>
  </w:style>
  <w:style w:type="paragraph" w:customStyle="1" w:styleId="xl75">
    <w:name w:val="xl75"/>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lang w:val="en-CA" w:eastAsia="en-CA"/>
    </w:rPr>
  </w:style>
  <w:style w:type="paragraph" w:customStyle="1" w:styleId="xl76">
    <w:name w:val="xl76"/>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4"/>
      <w:lang w:val="en-CA" w:eastAsia="en-CA"/>
    </w:rPr>
  </w:style>
  <w:style w:type="paragraph" w:customStyle="1" w:styleId="xl77">
    <w:name w:val="xl77"/>
    <w:basedOn w:val="Normal"/>
    <w:rsid w:val="00A11FB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4"/>
      <w:lang w:val="en-CA" w:eastAsia="en-CA"/>
    </w:rPr>
  </w:style>
  <w:style w:type="paragraph" w:customStyle="1" w:styleId="xl78">
    <w:name w:val="xl78"/>
    <w:basedOn w:val="Normal"/>
    <w:rsid w:val="00A11FB8"/>
    <w:pPr>
      <w:spacing w:before="100" w:beforeAutospacing="1" w:after="100" w:afterAutospacing="1"/>
      <w:jc w:val="right"/>
      <w:textAlignment w:val="center"/>
    </w:pPr>
    <w:rPr>
      <w:sz w:val="24"/>
      <w:lang w:val="en-CA" w:eastAsia="en-CA"/>
    </w:rPr>
  </w:style>
  <w:style w:type="character" w:customStyle="1" w:styleId="UnresolvedMention">
    <w:name w:val="Unresolved Mention"/>
    <w:basedOn w:val="Policepardfaut"/>
    <w:uiPriority w:val="99"/>
    <w:semiHidden/>
    <w:unhideWhenUsed/>
    <w:rsid w:val="005607D8"/>
    <w:rPr>
      <w:color w:val="605E5C"/>
      <w:shd w:val="clear" w:color="auto" w:fill="E1DFDD"/>
    </w:rPr>
  </w:style>
  <w:style w:type="paragraph" w:styleId="Rvision">
    <w:name w:val="Revision"/>
    <w:hidden/>
    <w:uiPriority w:val="99"/>
    <w:semiHidden/>
    <w:rsid w:val="00232EFF"/>
    <w:rPr>
      <w:rFonts w:ascii="Times New Roman" w:eastAsia="Times New Roman" w:hAnsi="Times New Roman" w:cs="Times New Roman"/>
      <w:sz w:val="22"/>
      <w:lang w:val="en-GB"/>
    </w:rPr>
  </w:style>
  <w:style w:type="paragraph" w:styleId="Objetducommentaire">
    <w:name w:val="annotation subject"/>
    <w:basedOn w:val="Commentaire"/>
    <w:next w:val="Commentaire"/>
    <w:link w:val="ObjetducommentaireCar"/>
    <w:uiPriority w:val="99"/>
    <w:semiHidden/>
    <w:unhideWhenUsed/>
    <w:rsid w:val="00232EFF"/>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32EFF"/>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236014481">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 w:id="908615738">
      <w:bodyDiv w:val="1"/>
      <w:marLeft w:val="0"/>
      <w:marRight w:val="0"/>
      <w:marTop w:val="0"/>
      <w:marBottom w:val="0"/>
      <w:divBdr>
        <w:top w:val="none" w:sz="0" w:space="0" w:color="auto"/>
        <w:left w:val="none" w:sz="0" w:space="0" w:color="auto"/>
        <w:bottom w:val="none" w:sz="0" w:space="0" w:color="auto"/>
        <w:right w:val="none" w:sz="0" w:space="0" w:color="auto"/>
      </w:divBdr>
    </w:div>
    <w:div w:id="919481689">
      <w:bodyDiv w:val="1"/>
      <w:marLeft w:val="0"/>
      <w:marRight w:val="0"/>
      <w:marTop w:val="0"/>
      <w:marBottom w:val="0"/>
      <w:divBdr>
        <w:top w:val="none" w:sz="0" w:space="0" w:color="auto"/>
        <w:left w:val="none" w:sz="0" w:space="0" w:color="auto"/>
        <w:bottom w:val="none" w:sz="0" w:space="0" w:color="auto"/>
        <w:right w:val="none" w:sz="0" w:space="0" w:color="auto"/>
      </w:divBdr>
    </w:div>
    <w:div w:id="1661155119">
      <w:bodyDiv w:val="1"/>
      <w:marLeft w:val="0"/>
      <w:marRight w:val="0"/>
      <w:marTop w:val="0"/>
      <w:marBottom w:val="0"/>
      <w:divBdr>
        <w:top w:val="none" w:sz="0" w:space="0" w:color="auto"/>
        <w:left w:val="none" w:sz="0" w:space="0" w:color="auto"/>
        <w:bottom w:val="none" w:sz="0" w:space="0" w:color="auto"/>
        <w:right w:val="none" w:sz="0" w:space="0" w:color="auto"/>
      </w:divBdr>
    </w:div>
    <w:div w:id="17131423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3/cop-13-dec-32-fr.pdf"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np-mop-02/np-mop-02-dec-13-fr.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ecision/cop/default.shtml?id=709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Textedelespacerserv"/>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5BB8442C66EE4A859785D3E570EAAABC"/>
        <w:category>
          <w:name w:val="General"/>
          <w:gallery w:val="placeholder"/>
        </w:category>
        <w:types>
          <w:type w:val="bbPlcHdr"/>
        </w:types>
        <w:behaviors>
          <w:behavior w:val="content"/>
        </w:behaviors>
        <w:guid w:val="{5A4B3241-8739-4154-A807-A6D609CD1C80}"/>
      </w:docPartPr>
      <w:docPartBody>
        <w:p w:rsidR="00F05F91" w:rsidRDefault="0059500C" w:rsidP="0059500C">
          <w:pPr>
            <w:pStyle w:val="5BB8442C66EE4A859785D3E570EAAABC"/>
          </w:pPr>
          <w:r w:rsidRPr="007E02EB">
            <w:rPr>
              <w:rStyle w:val="Textedelespacerserv"/>
            </w:rPr>
            <w:t>[Status]</w:t>
          </w:r>
        </w:p>
      </w:docPartBody>
    </w:docPart>
    <w:docPart>
      <w:docPartPr>
        <w:name w:val="B45668D1C73D4A8FABAC6CC738E9B16B"/>
        <w:category>
          <w:name w:val="General"/>
          <w:gallery w:val="placeholder"/>
        </w:category>
        <w:types>
          <w:type w:val="bbPlcHdr"/>
        </w:types>
        <w:behaviors>
          <w:behavior w:val="content"/>
        </w:behaviors>
        <w:guid w:val="{8AEAF4A3-E3DB-47DB-A382-E28143EB2F90}"/>
      </w:docPartPr>
      <w:docPartBody>
        <w:p w:rsidR="00F05F91" w:rsidRDefault="0059500C" w:rsidP="0059500C">
          <w:pPr>
            <w:pStyle w:val="B45668D1C73D4A8FABAC6CC738E9B16B"/>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panose1 w:val="020B0603020202030204"/>
    <w:charset w:val="00"/>
    <w:family w:val="swiss"/>
    <w:pitch w:val="variable"/>
    <w:sig w:usb0="00000007" w:usb1="00000000" w:usb2="00000000" w:usb3="00000000" w:csb0="00000093"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A55"/>
    <w:rsid w:val="000511EF"/>
    <w:rsid w:val="00261E9A"/>
    <w:rsid w:val="002B13D0"/>
    <w:rsid w:val="002B7A27"/>
    <w:rsid w:val="00350937"/>
    <w:rsid w:val="00453B5B"/>
    <w:rsid w:val="004D7733"/>
    <w:rsid w:val="00500A2B"/>
    <w:rsid w:val="005050C0"/>
    <w:rsid w:val="0058288D"/>
    <w:rsid w:val="0059500C"/>
    <w:rsid w:val="006168F4"/>
    <w:rsid w:val="006801B3"/>
    <w:rsid w:val="00720F63"/>
    <w:rsid w:val="00795E6A"/>
    <w:rsid w:val="007D698B"/>
    <w:rsid w:val="007F1B76"/>
    <w:rsid w:val="00810A55"/>
    <w:rsid w:val="008C6619"/>
    <w:rsid w:val="008D420E"/>
    <w:rsid w:val="0098642F"/>
    <w:rsid w:val="00A12560"/>
    <w:rsid w:val="00CE2D0F"/>
    <w:rsid w:val="00CE6602"/>
    <w:rsid w:val="00D60696"/>
    <w:rsid w:val="00F0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7D698B"/>
  </w:style>
  <w:style w:type="paragraph" w:customStyle="1" w:styleId="C444DEE40D7C456B82AF1A09CD132ABF">
    <w:name w:val="C444DEE40D7C456B82AF1A09CD132ABF"/>
    <w:rsid w:val="00CE6602"/>
    <w:pPr>
      <w:spacing w:after="160" w:line="259" w:lineRule="auto"/>
    </w:pPr>
  </w:style>
  <w:style w:type="paragraph" w:customStyle="1" w:styleId="5BB8442C66EE4A859785D3E570EAAABC">
    <w:name w:val="5BB8442C66EE4A859785D3E570EAAABC"/>
    <w:rsid w:val="0059500C"/>
    <w:pPr>
      <w:spacing w:after="160" w:line="259" w:lineRule="auto"/>
    </w:pPr>
    <w:rPr>
      <w:lang w:val="en-CA" w:eastAsia="en-CA"/>
    </w:rPr>
  </w:style>
  <w:style w:type="paragraph" w:customStyle="1" w:styleId="B45668D1C73D4A8FABAC6CC738E9B16B">
    <w:name w:val="B45668D1C73D4A8FABAC6CC738E9B16B"/>
    <w:rsid w:val="0059500C"/>
    <w:pPr>
      <w:spacing w:after="160" w:line="259" w:lineRule="auto"/>
    </w:pPr>
    <w:rPr>
      <w:lang w:val="en-CA" w:eastAsia="en-CA"/>
    </w:rPr>
  </w:style>
  <w:style w:type="paragraph" w:customStyle="1" w:styleId="4C8DC2B5782441199667A64E79DC737E">
    <w:name w:val="4C8DC2B5782441199667A64E79DC737E"/>
    <w:rsid w:val="007D698B"/>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6F4FA3-D7A5-4DA5-8C43-F061A81CB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9</Pages>
  <Words>2014</Words>
  <Characters>11083</Characters>
  <Application>Microsoft Office Word</Application>
  <DocSecurity>0</DocSecurity>
  <Lines>92</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3/16.	Programme de travail et budget (Protocole de Nagoya)</vt:lpstr>
      <vt:lpstr>3/16.	Programme of work and budget (Nagoya Protocol)</vt:lpstr>
    </vt:vector>
  </TitlesOfParts>
  <Company>SCBD</Company>
  <LinksUpToDate>false</LinksUpToDate>
  <CharactersWithSpaces>13071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3/16.	Programme de travail et budget (Protocole de Nagoya)</dc:title>
  <dc:subject>CBD/NP/MOP/DEC/3/16</dc:subject>
  <dc:creator>NP MOP 3</dc:creator>
  <cp:keywords>Nagoya Protocol on Access to Genetic Resources and the Fair and Equitable Sharing of Benefits Arising from their Utilization, Convention on Biological Diversity</cp:keywords>
  <dc:description/>
  <cp:lastModifiedBy>Louise</cp:lastModifiedBy>
  <cp:revision>6</cp:revision>
  <cp:lastPrinted>2019-02-20T14:50:00Z</cp:lastPrinted>
  <dcterms:created xsi:type="dcterms:W3CDTF">2019-02-20T12:40:00Z</dcterms:created>
  <dcterms:modified xsi:type="dcterms:W3CDTF">2019-02-20T16:33:00Z</dcterms:modified>
  <cp:contentStatus>GÉNÉRALE</cp:contentStatus>
</cp:coreProperties>
</file>