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7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5141"/>
        <w:gridCol w:w="4461"/>
      </w:tblGrid>
      <w:tr w:rsidR="00EF15BD" w14:paraId="44BE0F8A" w14:textId="77777777" w:rsidTr="00825E8F">
        <w:trPr>
          <w:trHeight w:val="851"/>
        </w:trPr>
        <w:tc>
          <w:tcPr>
            <w:tcW w:w="976" w:type="dxa"/>
            <w:tcBorders>
              <w:bottom w:val="single" w:sz="12" w:space="0" w:color="auto"/>
            </w:tcBorders>
          </w:tcPr>
          <w:p w14:paraId="42FACA64" w14:textId="04012760" w:rsidR="00EF15BD" w:rsidRPr="00321985" w:rsidRDefault="00EF15BD" w:rsidP="00EF4181">
            <w:r>
              <w:rPr>
                <w:noProof/>
                <w:lang w:val="en-US"/>
              </w:rPr>
              <w:drawing>
                <wp:inline distT="0" distB="0" distL="0" distR="0" wp14:anchorId="3BBC66F1" wp14:editId="45C6047E">
                  <wp:extent cx="476494" cy="403200"/>
                  <wp:effectExtent l="0" t="0" r="6350" b="3810"/>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2A33341F" w14:textId="469FA092" w:rsidR="00EF15BD" w:rsidRPr="00321985" w:rsidRDefault="00EF15BD" w:rsidP="00EF4181">
            <w:r w:rsidRPr="00B22BB5">
              <w:rPr>
                <w:noProof/>
              </w:rPr>
              <w:drawing>
                <wp:inline distT="0" distB="0" distL="0" distR="0" wp14:anchorId="58A7208D" wp14:editId="1E98A5B4">
                  <wp:extent cx="500870" cy="360000"/>
                  <wp:effectExtent l="0" t="0" r="0" b="2540"/>
                  <wp:docPr id="5"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461" w:type="dxa"/>
            <w:tcBorders>
              <w:bottom w:val="single" w:sz="12" w:space="0" w:color="auto"/>
            </w:tcBorders>
          </w:tcPr>
          <w:p w14:paraId="09636248" w14:textId="77777777" w:rsidR="00EF15BD" w:rsidRPr="00C9161D" w:rsidRDefault="00EF15BD" w:rsidP="00EF4181">
            <w:pPr>
              <w:jc w:val="right"/>
              <w:rPr>
                <w:rFonts w:ascii="Arial" w:hAnsi="Arial" w:cs="Arial"/>
                <w:b/>
                <w:sz w:val="32"/>
                <w:szCs w:val="32"/>
              </w:rPr>
            </w:pPr>
            <w:r w:rsidRPr="00C9161D">
              <w:rPr>
                <w:rFonts w:ascii="Arial" w:hAnsi="Arial" w:cs="Arial"/>
                <w:b/>
                <w:sz w:val="32"/>
                <w:szCs w:val="32"/>
              </w:rPr>
              <w:t>CBD</w:t>
            </w:r>
          </w:p>
        </w:tc>
      </w:tr>
      <w:tr w:rsidR="00EF15BD" w14:paraId="7665D57F" w14:textId="77777777" w:rsidTr="00825E8F">
        <w:tc>
          <w:tcPr>
            <w:tcW w:w="6117" w:type="dxa"/>
            <w:gridSpan w:val="2"/>
            <w:tcBorders>
              <w:top w:val="single" w:sz="12" w:space="0" w:color="auto"/>
              <w:bottom w:val="single" w:sz="36" w:space="0" w:color="auto"/>
            </w:tcBorders>
            <w:vAlign w:val="center"/>
          </w:tcPr>
          <w:p w14:paraId="4A67017E" w14:textId="0AACB2CF" w:rsidR="00EF15BD" w:rsidRDefault="00EF15BD" w:rsidP="00EF4181">
            <w:r>
              <w:rPr>
                <w:noProof/>
                <w:lang w:val="en-US"/>
              </w:rPr>
              <w:drawing>
                <wp:inline distT="0" distB="0" distL="0" distR="0" wp14:anchorId="6119B41E" wp14:editId="321FD8E9">
                  <wp:extent cx="2887853" cy="1080000"/>
                  <wp:effectExtent l="0" t="0" r="8255" b="12700"/>
                  <wp:docPr id="6" name="Picture 6"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461" w:type="dxa"/>
            <w:tcBorders>
              <w:top w:val="single" w:sz="12" w:space="0" w:color="auto"/>
              <w:bottom w:val="single" w:sz="36" w:space="0" w:color="auto"/>
            </w:tcBorders>
          </w:tcPr>
          <w:p w14:paraId="6CB108E0" w14:textId="77777777" w:rsidR="00EF15BD" w:rsidRPr="00C9161D" w:rsidRDefault="00EF15BD" w:rsidP="00835C8E">
            <w:pPr>
              <w:ind w:left="1022"/>
              <w:rPr>
                <w:szCs w:val="22"/>
              </w:rPr>
            </w:pPr>
            <w:r w:rsidRPr="00C9161D">
              <w:rPr>
                <w:szCs w:val="22"/>
              </w:rPr>
              <w:t>Distr.</w:t>
            </w:r>
          </w:p>
          <w:p w14:paraId="5EAE6BDD" w14:textId="77777777" w:rsidR="00EF15BD" w:rsidRPr="00C9161D" w:rsidRDefault="00EF15BD" w:rsidP="00835C8E">
            <w:pPr>
              <w:ind w:left="1022"/>
              <w:rPr>
                <w:szCs w:val="22"/>
              </w:rPr>
            </w:pPr>
            <w:r>
              <w:rPr>
                <w:caps/>
                <w:szCs w:val="22"/>
              </w:rPr>
              <w:t>GENERAL</w:t>
            </w:r>
          </w:p>
          <w:p w14:paraId="41AA9416" w14:textId="77777777" w:rsidR="00EF15BD" w:rsidRPr="00C9161D" w:rsidRDefault="00EF15BD" w:rsidP="00835C8E">
            <w:pPr>
              <w:ind w:left="1022"/>
              <w:rPr>
                <w:szCs w:val="22"/>
              </w:rPr>
            </w:pPr>
          </w:p>
          <w:p w14:paraId="72702720" w14:textId="3C096ECC" w:rsidR="00B257EC" w:rsidRPr="00C9161D" w:rsidRDefault="00BD1996" w:rsidP="00835C8E">
            <w:pPr>
              <w:ind w:left="1022"/>
              <w:rPr>
                <w:szCs w:val="22"/>
              </w:rPr>
            </w:pPr>
            <w:sdt>
              <w:sdtPr>
                <w:rPr>
                  <w:snapToGrid w:val="0"/>
                  <w:kern w:val="22"/>
                  <w:szCs w:val="22"/>
                  <w:lang w:val="en-CA"/>
                </w:rPr>
                <w:alias w:val="Subject"/>
                <w:tag w:val=""/>
                <w:id w:val="-12386942"/>
                <w:placeholder>
                  <w:docPart w:val="172CC8B26EE244C58D04BD205FCC9F29"/>
                </w:placeholder>
                <w:dataBinding w:prefixMappings="xmlns:ns0='http://purl.org/dc/elements/1.1/' xmlns:ns1='http://schemas.openxmlformats.org/package/2006/metadata/core-properties' " w:xpath="/ns1:coreProperties[1]/ns0:subject[1]" w:storeItemID="{6C3C8BC8-F283-45AE-878A-BAB7291924A1}"/>
                <w:text/>
              </w:sdtPr>
              <w:sdtEndPr/>
              <w:sdtContent>
                <w:r w:rsidR="00B257EC" w:rsidRPr="007C2143">
                  <w:rPr>
                    <w:snapToGrid w:val="0"/>
                    <w:kern w:val="22"/>
                    <w:szCs w:val="22"/>
                    <w:lang w:val="en-CA"/>
                  </w:rPr>
                  <w:t>CBD/NP/MOP/DEC/4/</w:t>
                </w:r>
                <w:r w:rsidR="00B257EC">
                  <w:rPr>
                    <w:snapToGrid w:val="0"/>
                    <w:kern w:val="22"/>
                    <w:szCs w:val="22"/>
                    <w:lang w:val="en-CA"/>
                  </w:rPr>
                  <w:t>2</w:t>
                </w:r>
              </w:sdtContent>
            </w:sdt>
          </w:p>
          <w:p w14:paraId="1BA95F25" w14:textId="49B620ED" w:rsidR="00EF15BD" w:rsidRDefault="00B257EC" w:rsidP="00835C8E">
            <w:pPr>
              <w:ind w:left="1022"/>
              <w:rPr>
                <w:szCs w:val="22"/>
              </w:rPr>
            </w:pPr>
            <w:r>
              <w:rPr>
                <w:szCs w:val="22"/>
                <w:lang w:val="en-US"/>
              </w:rPr>
              <w:t>19 December 2022</w:t>
            </w:r>
          </w:p>
          <w:p w14:paraId="0B4C6879" w14:textId="77777777" w:rsidR="00B257EC" w:rsidRPr="00C9161D" w:rsidRDefault="00B257EC" w:rsidP="00835C8E">
            <w:pPr>
              <w:ind w:left="1022"/>
              <w:rPr>
                <w:szCs w:val="22"/>
              </w:rPr>
            </w:pPr>
          </w:p>
          <w:p w14:paraId="4BB3CB6F" w14:textId="77777777" w:rsidR="00EF15BD" w:rsidRPr="00C9161D" w:rsidRDefault="00EF15BD" w:rsidP="00835C8E">
            <w:pPr>
              <w:ind w:left="1022"/>
              <w:rPr>
                <w:szCs w:val="22"/>
              </w:rPr>
            </w:pPr>
            <w:r>
              <w:rPr>
                <w:szCs w:val="22"/>
              </w:rPr>
              <w:t xml:space="preserve">ORIGINAL: </w:t>
            </w:r>
            <w:r w:rsidRPr="00C9161D">
              <w:rPr>
                <w:szCs w:val="22"/>
              </w:rPr>
              <w:t>ENGLISH</w:t>
            </w:r>
          </w:p>
          <w:p w14:paraId="4B90359E" w14:textId="77777777" w:rsidR="00EF15BD" w:rsidRDefault="00EF15BD" w:rsidP="00EF4181"/>
        </w:tc>
      </w:tr>
    </w:tbl>
    <w:p w14:paraId="1BF4A9A2" w14:textId="2247B699" w:rsidR="003B7BB2" w:rsidRPr="00910961" w:rsidRDefault="003B7BB2" w:rsidP="00BA33A0">
      <w:pPr>
        <w:pStyle w:val="Cornernotation"/>
        <w:kinsoku w:val="0"/>
        <w:overflowPunct w:val="0"/>
        <w:autoSpaceDE w:val="0"/>
        <w:autoSpaceDN w:val="0"/>
        <w:spacing w:before="60"/>
        <w:ind w:left="227" w:right="3792" w:hanging="227"/>
        <w:rPr>
          <w:snapToGrid w:val="0"/>
          <w:kern w:val="22"/>
        </w:rPr>
      </w:pPr>
      <w:r w:rsidRPr="00910961">
        <w:rPr>
          <w:snapToGrid w:val="0"/>
          <w:kern w:val="22"/>
        </w:rPr>
        <w:t xml:space="preserve">CONFERENCE OF THE PARTIES TO THE CONVENTION ON BIOLOGICAL DIVERSITY </w:t>
      </w:r>
      <w:r w:rsidR="005E0ED3">
        <w:rPr>
          <w:snapToGrid w:val="0"/>
          <w:kern w:val="22"/>
        </w:rPr>
        <w:t xml:space="preserve">SERVING AS THE MEETING OF THE PARTIES TO THE </w:t>
      </w:r>
      <w:r w:rsidR="0083009D">
        <w:rPr>
          <w:snapToGrid w:val="0"/>
          <w:kern w:val="22"/>
        </w:rPr>
        <w:t>NAGOYA PROTOCOL ON ACCESS TO GENETIC RESOURCES AND THE FAIR AND EQUITABLE SHARING</w:t>
      </w:r>
      <w:r w:rsidR="00BA33A0">
        <w:rPr>
          <w:snapToGrid w:val="0"/>
          <w:kern w:val="22"/>
        </w:rPr>
        <w:t xml:space="preserve"> OF BENEFITS ARISING FROM THEIR UTILIZATION</w:t>
      </w:r>
    </w:p>
    <w:p w14:paraId="141C6194" w14:textId="056A5FC1" w:rsidR="003B7BB2" w:rsidRPr="00910961" w:rsidRDefault="00BA33A0" w:rsidP="00BA33A0">
      <w:pPr>
        <w:pStyle w:val="Cornernotation"/>
        <w:kinsoku w:val="0"/>
        <w:overflowPunct w:val="0"/>
        <w:autoSpaceDE w:val="0"/>
        <w:autoSpaceDN w:val="0"/>
        <w:ind w:left="0" w:right="3792" w:firstLine="0"/>
        <w:rPr>
          <w:snapToGrid w:val="0"/>
          <w:kern w:val="22"/>
        </w:rPr>
      </w:pPr>
      <w:r>
        <w:rPr>
          <w:snapToGrid w:val="0"/>
          <w:kern w:val="22"/>
        </w:rPr>
        <w:t>Fourth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BA33A0">
      <w:pPr>
        <w:pStyle w:val="Cornernotation"/>
        <w:kinsoku w:val="0"/>
        <w:overflowPunct w:val="0"/>
        <w:autoSpaceDE w:val="0"/>
        <w:autoSpaceDN w:val="0"/>
        <w:ind w:left="227" w:right="3792" w:hanging="227"/>
        <w:rPr>
          <w:snapToGrid w:val="0"/>
          <w:kern w:val="22"/>
          <w:szCs w:val="22"/>
          <w:lang w:eastAsia="nb-NO"/>
        </w:rPr>
      </w:pPr>
      <w:r>
        <w:rPr>
          <w:snapToGrid w:val="0"/>
          <w:kern w:val="22"/>
          <w:szCs w:val="22"/>
          <w:lang w:eastAsia="nb-NO"/>
        </w:rPr>
        <w:t>Montreal, Canada, 7-19 December 2022</w:t>
      </w:r>
    </w:p>
    <w:p w14:paraId="5ECF7635" w14:textId="50EC4E9E" w:rsidR="00C9161D" w:rsidRDefault="00B26ACD" w:rsidP="00BA33A0">
      <w:pPr>
        <w:ind w:right="3792"/>
        <w:rPr>
          <w:snapToGrid w:val="0"/>
          <w:kern w:val="22"/>
          <w:szCs w:val="22"/>
        </w:rPr>
      </w:pPr>
      <w:r>
        <w:rPr>
          <w:snapToGrid w:val="0"/>
          <w:kern w:val="22"/>
          <w:szCs w:val="22"/>
        </w:rPr>
        <w:t>Agenda i</w:t>
      </w:r>
      <w:r w:rsidR="00134846" w:rsidRPr="004B44DE">
        <w:rPr>
          <w:snapToGrid w:val="0"/>
          <w:kern w:val="22"/>
          <w:szCs w:val="22"/>
        </w:rPr>
        <w:t xml:space="preserve">tem </w:t>
      </w:r>
      <w:r w:rsidR="009B70B9">
        <w:rPr>
          <w:snapToGrid w:val="0"/>
          <w:kern w:val="22"/>
          <w:szCs w:val="22"/>
        </w:rPr>
        <w:t>5</w:t>
      </w:r>
    </w:p>
    <w:p w14:paraId="53BA9CA9" w14:textId="319A836F" w:rsidR="008D5920" w:rsidRPr="0065796D" w:rsidRDefault="008D5920" w:rsidP="00B22BB5">
      <w:pPr>
        <w:pStyle w:val="NormalWeb"/>
        <w:spacing w:before="240" w:beforeAutospacing="0" w:after="240" w:afterAutospacing="0"/>
        <w:jc w:val="center"/>
        <w:rPr>
          <w:rFonts w:ascii="Times New Roman Bold" w:hAnsi="Times New Roman Bold" w:cstheme="majorBidi"/>
          <w:b/>
          <w:bCs/>
          <w:caps/>
          <w:sz w:val="22"/>
          <w:szCs w:val="22"/>
        </w:rPr>
      </w:pPr>
      <w:r w:rsidRPr="0065796D">
        <w:rPr>
          <w:rFonts w:ascii="Times New Roman Bold" w:hAnsi="Times New Roman Bold"/>
          <w:b/>
          <w:bCs/>
          <w:caps/>
          <w:sz w:val="22"/>
          <w:szCs w:val="22"/>
        </w:rPr>
        <w:t>Decision adopted by the Parties to the Nagoya Protocol on Access and</w:t>
      </w:r>
      <w:r w:rsidR="008044D2">
        <w:rPr>
          <w:rFonts w:ascii="Times New Roman Bold" w:hAnsi="Times New Roman Bold"/>
          <w:b/>
          <w:bCs/>
          <w:caps/>
          <w:sz w:val="22"/>
          <w:szCs w:val="22"/>
        </w:rPr>
        <w:t xml:space="preserve"> </w:t>
      </w:r>
      <w:r w:rsidRPr="0065796D">
        <w:rPr>
          <w:rFonts w:ascii="Times New Roman Bold" w:hAnsi="Times New Roman Bold"/>
          <w:b/>
          <w:bCs/>
          <w:caps/>
          <w:sz w:val="22"/>
          <w:szCs w:val="22"/>
        </w:rPr>
        <w:t>Benefit-Sharing</w:t>
      </w:r>
    </w:p>
    <w:p w14:paraId="57F6B7A1" w14:textId="3DA8C4D0" w:rsidR="00C9161D" w:rsidRDefault="00BD1996" w:rsidP="00825E8F">
      <w:pPr>
        <w:spacing w:before="240" w:after="240"/>
        <w:jc w:val="center"/>
        <w:outlineLvl w:val="1"/>
        <w:rPr>
          <w:b/>
          <w:caps/>
        </w:rPr>
      </w:pPr>
      <w:sdt>
        <w:sdtPr>
          <w:rPr>
            <w:rFonts w:asciiTheme="majorBidi" w:hAnsiTheme="majorBidi" w:cstheme="majorBidi"/>
            <w:b/>
            <w:bCs/>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D65F73">
            <w:rPr>
              <w:rFonts w:asciiTheme="majorBidi" w:hAnsiTheme="majorBidi" w:cstheme="majorBidi"/>
              <w:b/>
              <w:bCs/>
              <w:szCs w:val="22"/>
            </w:rPr>
            <w:t>NP-4/2.</w:t>
          </w:r>
          <w:r w:rsidR="00D65F73">
            <w:rPr>
              <w:rFonts w:asciiTheme="majorBidi" w:hAnsiTheme="majorBidi" w:cstheme="majorBidi"/>
              <w:b/>
              <w:bCs/>
              <w:szCs w:val="22"/>
            </w:rPr>
            <w:tab/>
          </w:r>
          <w:r w:rsidR="00D65F73" w:rsidRPr="00993C73">
            <w:rPr>
              <w:rFonts w:asciiTheme="majorBidi" w:hAnsiTheme="majorBidi" w:cstheme="majorBidi"/>
              <w:b/>
              <w:bCs/>
              <w:szCs w:val="22"/>
            </w:rPr>
            <w:tab/>
          </w:r>
          <w:r w:rsidR="00D65F73">
            <w:rPr>
              <w:rFonts w:asciiTheme="majorBidi" w:hAnsiTheme="majorBidi" w:cstheme="majorBidi"/>
              <w:b/>
              <w:bCs/>
              <w:szCs w:val="22"/>
            </w:rPr>
            <w:t>Compliance with the Protocol</w:t>
          </w:r>
        </w:sdtContent>
      </w:sdt>
      <w:r w:rsidR="009B70B9" w:rsidRPr="00105372">
        <w:rPr>
          <w:b/>
        </w:rPr>
        <w:t xml:space="preserve"> </w:t>
      </w:r>
    </w:p>
    <w:p w14:paraId="4259940F" w14:textId="2B246EB3" w:rsidR="009E2D8E" w:rsidRPr="00465783" w:rsidRDefault="009E2D8E" w:rsidP="009E2D8E">
      <w:pPr>
        <w:suppressLineNumbers/>
        <w:suppressAutoHyphens/>
        <w:kinsoku w:val="0"/>
        <w:overflowPunct w:val="0"/>
        <w:autoSpaceDE w:val="0"/>
        <w:autoSpaceDN w:val="0"/>
        <w:adjustRightInd w:val="0"/>
        <w:snapToGrid w:val="0"/>
        <w:spacing w:before="120" w:after="120"/>
        <w:ind w:firstLine="720"/>
        <w:rPr>
          <w:snapToGrid w:val="0"/>
          <w:kern w:val="22"/>
          <w:szCs w:val="22"/>
        </w:rPr>
      </w:pPr>
      <w:r>
        <w:rPr>
          <w:i/>
          <w:iCs/>
          <w:snapToGrid w:val="0"/>
          <w:kern w:val="22"/>
          <w:szCs w:val="22"/>
        </w:rPr>
        <w:t xml:space="preserve">The Conference of the Parties serving as the meeting of the Parties to the Nagoya </w:t>
      </w:r>
      <w:r w:rsidRPr="00465783">
        <w:rPr>
          <w:i/>
          <w:iCs/>
          <w:snapToGrid w:val="0"/>
          <w:kern w:val="22"/>
          <w:szCs w:val="22"/>
        </w:rPr>
        <w:t>Protocol</w:t>
      </w:r>
    </w:p>
    <w:p w14:paraId="0191ED2D" w14:textId="77777777" w:rsidR="009E2D8E" w:rsidRPr="00465783" w:rsidRDefault="009E2D8E" w:rsidP="009E2D8E">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465783">
        <w:rPr>
          <w:rFonts w:eastAsia="Malgun Gothic"/>
          <w:snapToGrid w:val="0"/>
          <w:kern w:val="22"/>
          <w:szCs w:val="22"/>
        </w:rPr>
        <w:t>1.</w:t>
      </w:r>
      <w:r w:rsidRPr="00465783">
        <w:rPr>
          <w:rFonts w:eastAsia="Malgun Gothic"/>
          <w:snapToGrid w:val="0"/>
          <w:kern w:val="22"/>
          <w:szCs w:val="22"/>
        </w:rPr>
        <w:tab/>
      </w:r>
      <w:r w:rsidRPr="00465783">
        <w:rPr>
          <w:i/>
          <w:iCs/>
          <w:snapToGrid w:val="0"/>
          <w:kern w:val="22"/>
          <w:szCs w:val="22"/>
        </w:rPr>
        <w:t>Welcomes</w:t>
      </w:r>
      <w:r w:rsidRPr="00465783">
        <w:rPr>
          <w:snapToGrid w:val="0"/>
          <w:kern w:val="22"/>
          <w:szCs w:val="22"/>
        </w:rPr>
        <w:t xml:space="preserve">, with appreciation, the progress made by Parties in the implementation of the </w:t>
      </w:r>
      <w:proofErr w:type="gramStart"/>
      <w:r w:rsidRPr="00465783">
        <w:rPr>
          <w:snapToGrid w:val="0"/>
          <w:kern w:val="22"/>
          <w:szCs w:val="22"/>
        </w:rPr>
        <w:t>Protocol;</w:t>
      </w:r>
      <w:proofErr w:type="gramEnd"/>
    </w:p>
    <w:p w14:paraId="56449623" w14:textId="77777777" w:rsidR="009E2D8E" w:rsidRPr="00465783" w:rsidRDefault="009E2D8E" w:rsidP="009E2D8E">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465783">
        <w:rPr>
          <w:rFonts w:eastAsia="Malgun Gothic"/>
          <w:snapToGrid w:val="0"/>
          <w:kern w:val="22"/>
          <w:szCs w:val="22"/>
        </w:rPr>
        <w:t>2.</w:t>
      </w:r>
      <w:r w:rsidRPr="00465783">
        <w:rPr>
          <w:rFonts w:eastAsia="Malgun Gothic"/>
          <w:snapToGrid w:val="0"/>
          <w:kern w:val="22"/>
          <w:szCs w:val="22"/>
        </w:rPr>
        <w:tab/>
      </w:r>
      <w:r w:rsidRPr="00465783">
        <w:rPr>
          <w:i/>
          <w:iCs/>
          <w:snapToGrid w:val="0"/>
          <w:kern w:val="22"/>
          <w:szCs w:val="22"/>
        </w:rPr>
        <w:t>Urges</w:t>
      </w:r>
      <w:r w:rsidRPr="00465783">
        <w:rPr>
          <w:snapToGrid w:val="0"/>
          <w:kern w:val="22"/>
          <w:szCs w:val="22"/>
        </w:rPr>
        <w:t xml:space="preserve"> </w:t>
      </w:r>
      <w:r w:rsidRPr="00465783">
        <w:rPr>
          <w:iCs/>
          <w:snapToGrid w:val="0"/>
          <w:kern w:val="22"/>
          <w:szCs w:val="22"/>
        </w:rPr>
        <w:t xml:space="preserve">Parties concerned to expedite the adoption and implementation of their </w:t>
      </w:r>
      <w:r w:rsidRPr="00465783">
        <w:rPr>
          <w:rFonts w:eastAsiaTheme="minorHAnsi"/>
          <w:iCs/>
          <w:snapToGrid w:val="0"/>
          <w:kern w:val="22"/>
          <w:szCs w:val="22"/>
        </w:rPr>
        <w:t xml:space="preserve">access and benefit-sharing </w:t>
      </w:r>
      <w:r w:rsidRPr="00465783">
        <w:rPr>
          <w:iCs/>
          <w:snapToGrid w:val="0"/>
          <w:kern w:val="22"/>
          <w:szCs w:val="22"/>
        </w:rPr>
        <w:t xml:space="preserve">legislative, administrative or policy measures </w:t>
      </w:r>
      <w:r w:rsidRPr="00465783">
        <w:rPr>
          <w:rFonts w:eastAsiaTheme="minorHAnsi"/>
          <w:snapToGrid w:val="0"/>
          <w:kern w:val="22"/>
          <w:szCs w:val="22"/>
        </w:rPr>
        <w:t xml:space="preserve">and </w:t>
      </w:r>
      <w:r w:rsidRPr="00465783">
        <w:rPr>
          <w:snapToGrid w:val="0"/>
          <w:kern w:val="22"/>
          <w:szCs w:val="22"/>
        </w:rPr>
        <w:t>institutional arrangements, among other things the designation of checkpoints, in accordance with the Protocol;</w:t>
      </w:r>
    </w:p>
    <w:p w14:paraId="20409ECD" w14:textId="2FB79515" w:rsidR="009E2D8E" w:rsidRDefault="009E2D8E" w:rsidP="009E2D8E">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465783">
        <w:rPr>
          <w:rFonts w:eastAsia="Malgun Gothic"/>
          <w:snapToGrid w:val="0"/>
          <w:kern w:val="22"/>
          <w:szCs w:val="22"/>
        </w:rPr>
        <w:t>3.</w:t>
      </w:r>
      <w:r w:rsidRPr="00465783">
        <w:rPr>
          <w:rFonts w:eastAsia="Malgun Gothic"/>
          <w:snapToGrid w:val="0"/>
          <w:kern w:val="22"/>
          <w:szCs w:val="22"/>
        </w:rPr>
        <w:tab/>
      </w:r>
      <w:r w:rsidRPr="00465783">
        <w:rPr>
          <w:rFonts w:eastAsia="Malgun Gothic"/>
          <w:i/>
          <w:iCs/>
          <w:snapToGrid w:val="0"/>
          <w:kern w:val="22"/>
          <w:szCs w:val="22"/>
        </w:rPr>
        <w:t>Also</w:t>
      </w:r>
      <w:r w:rsidRPr="00465783">
        <w:rPr>
          <w:i/>
          <w:iCs/>
          <w:snapToGrid w:val="0"/>
          <w:kern w:val="22"/>
          <w:szCs w:val="22"/>
        </w:rPr>
        <w:t xml:space="preserve"> urges</w:t>
      </w:r>
      <w:r w:rsidRPr="00465783">
        <w:rPr>
          <w:snapToGrid w:val="0"/>
          <w:kern w:val="22"/>
          <w:szCs w:val="22"/>
        </w:rPr>
        <w:t xml:space="preserve"> </w:t>
      </w:r>
      <w:r w:rsidRPr="00465783">
        <w:rPr>
          <w:iCs/>
          <w:snapToGrid w:val="0"/>
          <w:kern w:val="22"/>
          <w:szCs w:val="22"/>
        </w:rPr>
        <w:t>those Parties that have relevant national information to be made available to the Access and Benefit-sharing Clearing</w:t>
      </w:r>
      <w:r w:rsidR="00FE7B68" w:rsidRPr="00465783">
        <w:rPr>
          <w:iCs/>
          <w:snapToGrid w:val="0"/>
          <w:kern w:val="22"/>
          <w:szCs w:val="22"/>
        </w:rPr>
        <w:t>-</w:t>
      </w:r>
      <w:r w:rsidRPr="00465783">
        <w:rPr>
          <w:iCs/>
          <w:snapToGrid w:val="0"/>
          <w:kern w:val="22"/>
          <w:szCs w:val="22"/>
        </w:rPr>
        <w:t>House in accordance with the requirement of Article 14, paragraph</w:t>
      </w:r>
      <w:r w:rsidR="00C65B1A">
        <w:rPr>
          <w:iCs/>
          <w:snapToGrid w:val="0"/>
          <w:kern w:val="22"/>
          <w:szCs w:val="22"/>
        </w:rPr>
        <w:t> </w:t>
      </w:r>
      <w:r w:rsidRPr="00465783">
        <w:rPr>
          <w:iCs/>
          <w:snapToGrid w:val="0"/>
          <w:kern w:val="22"/>
          <w:szCs w:val="22"/>
        </w:rPr>
        <w:t xml:space="preserve">2, of the Protocol to make this information available </w:t>
      </w:r>
      <w:proofErr w:type="gramStart"/>
      <w:r w:rsidRPr="00465783">
        <w:rPr>
          <w:iCs/>
          <w:snapToGrid w:val="0"/>
          <w:kern w:val="22"/>
          <w:szCs w:val="22"/>
        </w:rPr>
        <w:t>as soon as possible</w:t>
      </w:r>
      <w:r w:rsidRPr="00465783">
        <w:rPr>
          <w:snapToGrid w:val="0"/>
          <w:kern w:val="22"/>
          <w:szCs w:val="22"/>
        </w:rPr>
        <w:t>;</w:t>
      </w:r>
      <w:proofErr w:type="gramEnd"/>
    </w:p>
    <w:p w14:paraId="6A18D47E" w14:textId="1F158F1C" w:rsidR="009E2D8E" w:rsidRPr="00177942" w:rsidRDefault="009E2D8E" w:rsidP="009E2D8E">
      <w:pPr>
        <w:suppressLineNumbers/>
        <w:suppressAutoHyphens/>
        <w:kinsoku w:val="0"/>
        <w:overflowPunct w:val="0"/>
        <w:autoSpaceDE w:val="0"/>
        <w:autoSpaceDN w:val="0"/>
        <w:adjustRightInd w:val="0"/>
        <w:snapToGrid w:val="0"/>
        <w:spacing w:before="120" w:after="120"/>
        <w:ind w:firstLine="720"/>
      </w:pPr>
      <w:r w:rsidRPr="02F796AA">
        <w:rPr>
          <w:rFonts w:eastAsia="Malgun Gothic"/>
          <w:snapToGrid w:val="0"/>
          <w:kern w:val="22"/>
        </w:rPr>
        <w:t>4.</w:t>
      </w:r>
      <w:r>
        <w:rPr>
          <w:rFonts w:eastAsia="Malgun Gothic"/>
          <w:snapToGrid w:val="0"/>
          <w:kern w:val="22"/>
          <w:szCs w:val="22"/>
        </w:rPr>
        <w:tab/>
      </w:r>
      <w:r w:rsidRPr="1E58681D">
        <w:rPr>
          <w:i/>
          <w:iCs/>
          <w:snapToGrid w:val="0"/>
          <w:kern w:val="22"/>
        </w:rPr>
        <w:t>Recognizes</w:t>
      </w:r>
      <w:r w:rsidRPr="02F796AA">
        <w:rPr>
          <w:snapToGrid w:val="0"/>
          <w:kern w:val="22"/>
        </w:rPr>
        <w:t xml:space="preserve"> the need for further </w:t>
      </w:r>
      <w:r w:rsidRPr="00177942">
        <w:rPr>
          <w:snapToGrid w:val="0"/>
          <w:kern w:val="22"/>
        </w:rPr>
        <w:t>capacity-building</w:t>
      </w:r>
      <w:r w:rsidRPr="00177942">
        <w:t xml:space="preserve"> </w:t>
      </w:r>
      <w:r w:rsidR="001C5310">
        <w:t>and development</w:t>
      </w:r>
      <w:r w:rsidR="00E427D6">
        <w:t>,</w:t>
      </w:r>
      <w:r w:rsidR="001C5310">
        <w:t xml:space="preserve"> </w:t>
      </w:r>
      <w:r w:rsidRPr="00177942">
        <w:t>technical and scientific cooperation, technology transfer</w:t>
      </w:r>
      <w:r w:rsidRPr="00177942">
        <w:rPr>
          <w:snapToGrid w:val="0"/>
          <w:kern w:val="22"/>
        </w:rPr>
        <w:t xml:space="preserve"> and resource mobilization to accelerate the operationalization of the Protocol and </w:t>
      </w:r>
      <w:r w:rsidRPr="00825E8F">
        <w:rPr>
          <w:snapToGrid w:val="0"/>
          <w:kern w:val="22"/>
        </w:rPr>
        <w:t>invite</w:t>
      </w:r>
      <w:r w:rsidR="66F80632" w:rsidRPr="00825E8F">
        <w:rPr>
          <w:snapToGrid w:val="0"/>
          <w:kern w:val="22"/>
        </w:rPr>
        <w:t>s</w:t>
      </w:r>
      <w:r w:rsidRPr="00FE7B68">
        <w:rPr>
          <w:i/>
          <w:iCs/>
          <w:snapToGrid w:val="0"/>
          <w:kern w:val="22"/>
        </w:rPr>
        <w:t xml:space="preserve"> </w:t>
      </w:r>
      <w:r w:rsidRPr="00177942">
        <w:rPr>
          <w:snapToGrid w:val="0"/>
          <w:kern w:val="22"/>
        </w:rPr>
        <w:t xml:space="preserve">Parties, </w:t>
      </w:r>
      <w:r w:rsidR="68534D28" w:rsidRPr="00177942">
        <w:rPr>
          <w:snapToGrid w:val="0"/>
          <w:kern w:val="22"/>
        </w:rPr>
        <w:t>other Governments</w:t>
      </w:r>
      <w:r w:rsidRPr="00177942">
        <w:rPr>
          <w:snapToGrid w:val="0"/>
          <w:kern w:val="22"/>
        </w:rPr>
        <w:t xml:space="preserve">, donors and relevant organizations to provide additional resources and to support </w:t>
      </w:r>
      <w:r w:rsidRPr="00177942">
        <w:t>the implementation of the Protocol, in particular in developing countries</w:t>
      </w:r>
      <w:r w:rsidR="00462FE8">
        <w:t>,</w:t>
      </w:r>
      <w:r w:rsidR="005A59D8">
        <w:t xml:space="preserve"> </w:t>
      </w:r>
      <w:r w:rsidR="00C02B5C">
        <w:t xml:space="preserve">including </w:t>
      </w:r>
      <w:r w:rsidR="0F61ECD4">
        <w:t xml:space="preserve">countries with </w:t>
      </w:r>
      <w:r w:rsidR="00C02B5C">
        <w:t>economies in transition, small island</w:t>
      </w:r>
      <w:r w:rsidR="00956289">
        <w:t xml:space="preserve"> developing</w:t>
      </w:r>
      <w:r w:rsidR="00C02B5C">
        <w:t xml:space="preserve"> </w:t>
      </w:r>
      <w:r w:rsidR="1D73526F">
        <w:t>S</w:t>
      </w:r>
      <w:r w:rsidR="00C02B5C">
        <w:t xml:space="preserve">tates and </w:t>
      </w:r>
      <w:r w:rsidR="00876CE9">
        <w:t>least developed countries</w:t>
      </w:r>
      <w:r w:rsidRPr="00177942">
        <w:rPr>
          <w:snapToGrid w:val="0"/>
          <w:kern w:val="22"/>
          <w:szCs w:val="22"/>
        </w:rPr>
        <w:t>;</w:t>
      </w:r>
    </w:p>
    <w:p w14:paraId="559CE48D" w14:textId="77777777" w:rsidR="009E2D8E" w:rsidRDefault="009E2D8E" w:rsidP="009E2D8E">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177942">
        <w:rPr>
          <w:rFonts w:eastAsia="Malgun Gothic"/>
          <w:snapToGrid w:val="0"/>
          <w:kern w:val="22"/>
          <w:szCs w:val="22"/>
        </w:rPr>
        <w:t>5.</w:t>
      </w:r>
      <w:r w:rsidRPr="00177942">
        <w:rPr>
          <w:rFonts w:eastAsia="Malgun Gothic"/>
          <w:snapToGrid w:val="0"/>
          <w:kern w:val="22"/>
          <w:szCs w:val="22"/>
        </w:rPr>
        <w:tab/>
      </w:r>
      <w:r w:rsidRPr="00177942">
        <w:rPr>
          <w:i/>
          <w:iCs/>
          <w:snapToGrid w:val="0"/>
          <w:kern w:val="22"/>
          <w:szCs w:val="22"/>
        </w:rPr>
        <w:t>Welcomes</w:t>
      </w:r>
      <w:r w:rsidRPr="00177942">
        <w:rPr>
          <w:snapToGrid w:val="0"/>
          <w:kern w:val="22"/>
          <w:szCs w:val="22"/>
        </w:rPr>
        <w:t xml:space="preserve"> the submission of eleven additional national reports </w:t>
      </w:r>
      <w:r>
        <w:rPr>
          <w:snapToGrid w:val="0"/>
          <w:kern w:val="22"/>
          <w:szCs w:val="22"/>
        </w:rPr>
        <w:t xml:space="preserve">after the last meeting of the Parties to the </w:t>
      </w:r>
      <w:proofErr w:type="gramStart"/>
      <w:r>
        <w:rPr>
          <w:snapToGrid w:val="0"/>
          <w:kern w:val="22"/>
          <w:szCs w:val="22"/>
        </w:rPr>
        <w:t>Protocol;</w:t>
      </w:r>
      <w:proofErr w:type="gramEnd"/>
    </w:p>
    <w:p w14:paraId="7EF8DBF2" w14:textId="086D57E3" w:rsidR="009E2D8E" w:rsidRDefault="009E2D8E" w:rsidP="009E2D8E">
      <w:pPr>
        <w:suppressLineNumbers/>
        <w:suppressAutoHyphens/>
        <w:kinsoku w:val="0"/>
        <w:overflowPunct w:val="0"/>
        <w:autoSpaceDE w:val="0"/>
        <w:autoSpaceDN w:val="0"/>
        <w:adjustRightInd w:val="0"/>
        <w:snapToGrid w:val="0"/>
        <w:spacing w:before="120" w:after="120"/>
        <w:ind w:firstLine="720"/>
        <w:rPr>
          <w:snapToGrid w:val="0"/>
          <w:kern w:val="22"/>
          <w:szCs w:val="22"/>
        </w:rPr>
      </w:pPr>
      <w:r>
        <w:rPr>
          <w:rFonts w:eastAsia="Malgun Gothic"/>
          <w:snapToGrid w:val="0"/>
          <w:kern w:val="22"/>
          <w:szCs w:val="22"/>
        </w:rPr>
        <w:t>6.</w:t>
      </w:r>
      <w:r>
        <w:rPr>
          <w:rFonts w:eastAsia="Malgun Gothic"/>
          <w:snapToGrid w:val="0"/>
          <w:kern w:val="22"/>
          <w:szCs w:val="22"/>
        </w:rPr>
        <w:tab/>
      </w:r>
      <w:r>
        <w:rPr>
          <w:i/>
          <w:snapToGrid w:val="0"/>
          <w:kern w:val="22"/>
          <w:szCs w:val="22"/>
        </w:rPr>
        <w:t>Expresses</w:t>
      </w:r>
      <w:r w:rsidRPr="00825E8F">
        <w:rPr>
          <w:i/>
          <w:snapToGrid w:val="0"/>
          <w:kern w:val="22"/>
          <w:szCs w:val="22"/>
        </w:rPr>
        <w:t xml:space="preserve"> </w:t>
      </w:r>
      <w:r w:rsidR="00EB3DEB" w:rsidRPr="00825E8F">
        <w:rPr>
          <w:i/>
          <w:snapToGrid w:val="0"/>
          <w:kern w:val="22"/>
          <w:szCs w:val="22"/>
        </w:rPr>
        <w:t xml:space="preserve">its </w:t>
      </w:r>
      <w:r w:rsidRPr="00825E8F">
        <w:rPr>
          <w:i/>
          <w:snapToGrid w:val="0"/>
          <w:kern w:val="22"/>
          <w:szCs w:val="22"/>
        </w:rPr>
        <w:t>appreciation</w:t>
      </w:r>
      <w:r>
        <w:rPr>
          <w:snapToGrid w:val="0"/>
          <w:kern w:val="22"/>
          <w:szCs w:val="22"/>
        </w:rPr>
        <w:t xml:space="preserve"> to those non-Parties that submitted national reports on the implementation of the requirements of the Nagoya </w:t>
      </w:r>
      <w:proofErr w:type="gramStart"/>
      <w:r>
        <w:rPr>
          <w:snapToGrid w:val="0"/>
          <w:kern w:val="22"/>
          <w:szCs w:val="22"/>
        </w:rPr>
        <w:t>Protocol;</w:t>
      </w:r>
      <w:proofErr w:type="gramEnd"/>
    </w:p>
    <w:p w14:paraId="2C1AD43E" w14:textId="77777777" w:rsidR="009E2D8E" w:rsidRDefault="009E2D8E" w:rsidP="009E2D8E">
      <w:pPr>
        <w:suppressLineNumbers/>
        <w:suppressAutoHyphens/>
        <w:kinsoku w:val="0"/>
        <w:overflowPunct w:val="0"/>
        <w:autoSpaceDE w:val="0"/>
        <w:autoSpaceDN w:val="0"/>
        <w:adjustRightInd w:val="0"/>
        <w:snapToGrid w:val="0"/>
        <w:spacing w:before="120" w:after="120"/>
        <w:ind w:firstLine="720"/>
        <w:rPr>
          <w:snapToGrid w:val="0"/>
          <w:spacing w:val="-8"/>
          <w:kern w:val="22"/>
          <w:szCs w:val="22"/>
        </w:rPr>
      </w:pPr>
      <w:r>
        <w:rPr>
          <w:rFonts w:eastAsia="Malgun Gothic"/>
          <w:snapToGrid w:val="0"/>
          <w:spacing w:val="-8"/>
          <w:kern w:val="22"/>
          <w:szCs w:val="22"/>
        </w:rPr>
        <w:t>7.</w:t>
      </w:r>
      <w:r>
        <w:rPr>
          <w:rFonts w:eastAsia="Malgun Gothic"/>
          <w:snapToGrid w:val="0"/>
          <w:spacing w:val="-8"/>
          <w:kern w:val="22"/>
          <w:szCs w:val="22"/>
        </w:rPr>
        <w:tab/>
      </w:r>
      <w:r>
        <w:rPr>
          <w:i/>
          <w:iCs/>
          <w:snapToGrid w:val="0"/>
          <w:kern w:val="22"/>
          <w:szCs w:val="22"/>
        </w:rPr>
        <w:t>Urges</w:t>
      </w:r>
      <w:r>
        <w:rPr>
          <w:snapToGrid w:val="0"/>
          <w:kern w:val="22"/>
          <w:szCs w:val="22"/>
        </w:rPr>
        <w:t xml:space="preserve"> </w:t>
      </w:r>
      <w:r>
        <w:rPr>
          <w:iCs/>
          <w:snapToGrid w:val="0"/>
          <w:kern w:val="22"/>
          <w:szCs w:val="22"/>
        </w:rPr>
        <w:t xml:space="preserve">Parties that have not yet done so to submit their national report without further </w:t>
      </w:r>
      <w:proofErr w:type="gramStart"/>
      <w:r>
        <w:rPr>
          <w:iCs/>
          <w:snapToGrid w:val="0"/>
          <w:kern w:val="22"/>
          <w:szCs w:val="22"/>
        </w:rPr>
        <w:t>delay;</w:t>
      </w:r>
      <w:proofErr w:type="gramEnd"/>
    </w:p>
    <w:p w14:paraId="1C4D15C8" w14:textId="022134A2" w:rsidR="009E2D8E" w:rsidRDefault="009E2D8E" w:rsidP="009E2D8E">
      <w:pPr>
        <w:suppressLineNumbers/>
        <w:suppressAutoHyphens/>
        <w:kinsoku w:val="0"/>
        <w:overflowPunct w:val="0"/>
        <w:autoSpaceDE w:val="0"/>
        <w:autoSpaceDN w:val="0"/>
        <w:adjustRightInd w:val="0"/>
        <w:snapToGrid w:val="0"/>
        <w:spacing w:before="120" w:after="120"/>
        <w:ind w:firstLine="720"/>
        <w:rPr>
          <w:snapToGrid w:val="0"/>
          <w:kern w:val="22"/>
          <w:szCs w:val="22"/>
        </w:rPr>
      </w:pPr>
      <w:r>
        <w:rPr>
          <w:rFonts w:eastAsia="Malgun Gothic"/>
          <w:snapToGrid w:val="0"/>
          <w:kern w:val="22"/>
          <w:szCs w:val="22"/>
        </w:rPr>
        <w:t>8.</w:t>
      </w:r>
      <w:r>
        <w:rPr>
          <w:rFonts w:eastAsia="Malgun Gothic"/>
          <w:snapToGrid w:val="0"/>
          <w:kern w:val="22"/>
          <w:szCs w:val="22"/>
        </w:rPr>
        <w:tab/>
      </w:r>
      <w:r>
        <w:rPr>
          <w:i/>
          <w:iCs/>
          <w:snapToGrid w:val="0"/>
          <w:kern w:val="22"/>
          <w:szCs w:val="22"/>
        </w:rPr>
        <w:t>Encourages</w:t>
      </w:r>
      <w:r>
        <w:rPr>
          <w:snapToGrid w:val="0"/>
          <w:kern w:val="22"/>
          <w:szCs w:val="22"/>
        </w:rPr>
        <w:t xml:space="preserve"> Parties to take </w:t>
      </w:r>
      <w:r w:rsidRPr="00C56B11">
        <w:rPr>
          <w:snapToGrid w:val="0"/>
          <w:kern w:val="22"/>
          <w:szCs w:val="22"/>
        </w:rPr>
        <w:t xml:space="preserve">the </w:t>
      </w:r>
      <w:r w:rsidR="00C56B11" w:rsidRPr="00C56B11">
        <w:rPr>
          <w:rFonts w:eastAsia="Malgun Gothic"/>
          <w:iCs/>
          <w:color w:val="000000" w:themeColor="text1"/>
          <w:kern w:val="20"/>
        </w:rPr>
        <w:t>Kunming-Montreal G</w:t>
      </w:r>
      <w:r w:rsidRPr="00C56B11">
        <w:rPr>
          <w:snapToGrid w:val="0"/>
          <w:kern w:val="22"/>
          <w:szCs w:val="22"/>
        </w:rPr>
        <w:t xml:space="preserve">lobal </w:t>
      </w:r>
      <w:r w:rsidR="00C56B11" w:rsidRPr="00C56B11">
        <w:rPr>
          <w:snapToGrid w:val="0"/>
          <w:kern w:val="22"/>
          <w:szCs w:val="22"/>
        </w:rPr>
        <w:t>B</w:t>
      </w:r>
      <w:r w:rsidRPr="00C56B11">
        <w:rPr>
          <w:snapToGrid w:val="0"/>
          <w:kern w:val="22"/>
          <w:szCs w:val="22"/>
        </w:rPr>
        <w:t xml:space="preserve">iodiversity </w:t>
      </w:r>
      <w:r w:rsidR="00C56B11" w:rsidRPr="00C56B11">
        <w:rPr>
          <w:snapToGrid w:val="0"/>
          <w:kern w:val="22"/>
          <w:szCs w:val="22"/>
        </w:rPr>
        <w:t>F</w:t>
      </w:r>
      <w:r w:rsidRPr="00C56B11">
        <w:rPr>
          <w:snapToGrid w:val="0"/>
          <w:kern w:val="22"/>
          <w:szCs w:val="22"/>
        </w:rPr>
        <w:t xml:space="preserve">ramework as an opportunity to strengthen their efforts to implement their obligations under the Protocol </w:t>
      </w:r>
      <w:proofErr w:type="gramStart"/>
      <w:r w:rsidRPr="00C56B11">
        <w:rPr>
          <w:snapToGrid w:val="0"/>
          <w:kern w:val="22"/>
          <w:szCs w:val="22"/>
        </w:rPr>
        <w:t>effectively;</w:t>
      </w:r>
      <w:proofErr w:type="gramEnd"/>
    </w:p>
    <w:p w14:paraId="6B7EA98D" w14:textId="53928F6F" w:rsidR="00F6586C" w:rsidRPr="00FE7B68" w:rsidRDefault="009E2D8E" w:rsidP="00FE7B68">
      <w:pPr>
        <w:suppressLineNumbers/>
        <w:suppressAutoHyphens/>
        <w:kinsoku w:val="0"/>
        <w:overflowPunct w:val="0"/>
        <w:autoSpaceDE w:val="0"/>
        <w:autoSpaceDN w:val="0"/>
        <w:adjustRightInd w:val="0"/>
        <w:snapToGrid w:val="0"/>
        <w:spacing w:before="120" w:after="120"/>
        <w:ind w:firstLine="720"/>
        <w:rPr>
          <w:rFonts w:eastAsia="Malgun Gothic"/>
          <w:kern w:val="22"/>
          <w:szCs w:val="22"/>
        </w:rPr>
      </w:pPr>
      <w:r>
        <w:rPr>
          <w:snapToGrid w:val="0"/>
          <w:kern w:val="22"/>
          <w:szCs w:val="22"/>
        </w:rPr>
        <w:t>9.</w:t>
      </w:r>
      <w:r>
        <w:rPr>
          <w:snapToGrid w:val="0"/>
          <w:kern w:val="22"/>
          <w:szCs w:val="22"/>
        </w:rPr>
        <w:tab/>
      </w:r>
      <w:r>
        <w:rPr>
          <w:i/>
          <w:iCs/>
          <w:snapToGrid w:val="0"/>
          <w:kern w:val="22"/>
          <w:szCs w:val="22"/>
        </w:rPr>
        <w:t>Recalls</w:t>
      </w:r>
      <w:r>
        <w:rPr>
          <w:snapToGrid w:val="0"/>
          <w:kern w:val="22"/>
          <w:szCs w:val="22"/>
        </w:rPr>
        <w:t xml:space="preserve"> section G of the procedures and mechanisms on compliance</w:t>
      </w:r>
      <w:r>
        <w:rPr>
          <w:rStyle w:val="FootnoteReference"/>
          <w:snapToGrid w:val="0"/>
          <w:kern w:val="22"/>
          <w:szCs w:val="22"/>
        </w:rPr>
        <w:footnoteReference w:id="1"/>
      </w:r>
      <w:r>
        <w:rPr>
          <w:snapToGrid w:val="0"/>
          <w:kern w:val="22"/>
          <w:szCs w:val="22"/>
        </w:rPr>
        <w:t xml:space="preserve"> whereby a review of the effectiveness of the</w:t>
      </w:r>
      <w:r w:rsidR="001D0830">
        <w:rPr>
          <w:snapToGrid w:val="0"/>
          <w:kern w:val="22"/>
          <w:szCs w:val="22"/>
        </w:rPr>
        <w:t>se</w:t>
      </w:r>
      <w:r>
        <w:rPr>
          <w:snapToGrid w:val="0"/>
          <w:kern w:val="22"/>
          <w:szCs w:val="22"/>
        </w:rPr>
        <w:t xml:space="preserve"> procedures and mechanisms is to be undertaken as part of the assessment and review provided for in Article 31 of the Protocol.</w:t>
      </w:r>
      <w:r w:rsidRPr="5BAAFB42">
        <w:rPr>
          <w:rFonts w:eastAsia="Malgun Gothic"/>
        </w:rPr>
        <w:t xml:space="preserve"> </w:t>
      </w:r>
    </w:p>
    <w:p w14:paraId="3093D971" w14:textId="501535E6" w:rsidR="00B3369F" w:rsidRPr="00C9161D" w:rsidRDefault="00462FE8" w:rsidP="0003492E">
      <w:pPr>
        <w:jc w:val="center"/>
      </w:pPr>
      <w:r>
        <w:t>__________</w:t>
      </w:r>
    </w:p>
    <w:sectPr w:rsidR="00B3369F" w:rsidRPr="00C9161D" w:rsidSect="003D3E86">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12C03" w14:textId="77777777" w:rsidR="00BD1996" w:rsidRDefault="00BD1996" w:rsidP="00CF1848">
      <w:r>
        <w:separator/>
      </w:r>
    </w:p>
  </w:endnote>
  <w:endnote w:type="continuationSeparator" w:id="0">
    <w:p w14:paraId="48F38444" w14:textId="77777777" w:rsidR="00BD1996" w:rsidRDefault="00BD199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8E649" w14:textId="77777777" w:rsidR="00BD1996" w:rsidRDefault="00BD1996" w:rsidP="00CF1848">
      <w:r>
        <w:separator/>
      </w:r>
    </w:p>
  </w:footnote>
  <w:footnote w:type="continuationSeparator" w:id="0">
    <w:p w14:paraId="000817B2" w14:textId="77777777" w:rsidR="00BD1996" w:rsidRDefault="00BD1996" w:rsidP="00CF1848">
      <w:r>
        <w:continuationSeparator/>
      </w:r>
    </w:p>
  </w:footnote>
  <w:footnote w:id="1">
    <w:p w14:paraId="1F625203" w14:textId="77777777" w:rsidR="009E2D8E" w:rsidRPr="008D07BD" w:rsidRDefault="009E2D8E" w:rsidP="00825E8F">
      <w:pPr>
        <w:pStyle w:val="FootnoteText"/>
        <w:ind w:firstLine="0"/>
        <w:jc w:val="left"/>
        <w:rPr>
          <w:szCs w:val="18"/>
          <w:lang w:val="en-CA"/>
        </w:rPr>
      </w:pPr>
      <w:r w:rsidRPr="00C65B1A">
        <w:rPr>
          <w:rStyle w:val="FootnoteReference"/>
          <w:sz w:val="18"/>
          <w:szCs w:val="18"/>
        </w:rPr>
        <w:footnoteRef/>
      </w:r>
      <w:r w:rsidRPr="008D07BD">
        <w:rPr>
          <w:szCs w:val="18"/>
        </w:rPr>
        <w:t xml:space="preserve"> </w:t>
      </w:r>
      <w:r w:rsidRPr="008D07BD">
        <w:rPr>
          <w:szCs w:val="18"/>
          <w:lang w:val="en-CA"/>
        </w:rPr>
        <w:t>Decision NP-1/4,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D785" w14:textId="77777777" w:rsidR="00E871C7" w:rsidRPr="00C9161D" w:rsidRDefault="00BD1996" w:rsidP="00825E8F">
    <w:pPr>
      <w:rPr>
        <w:szCs w:val="22"/>
      </w:rPr>
    </w:pPr>
    <w:sdt>
      <w:sdtPr>
        <w:rPr>
          <w:snapToGrid w:val="0"/>
          <w:kern w:val="22"/>
          <w:szCs w:val="22"/>
          <w:lang w:val="en-CA"/>
        </w:rPr>
        <w:alias w:val="Subject"/>
        <w:tag w:val=""/>
        <w:id w:val="911042878"/>
        <w:placeholder>
          <w:docPart w:val="65782828816740DE8A24D08CD1FD4092"/>
        </w:placeholder>
        <w:dataBinding w:prefixMappings="xmlns:ns0='http://purl.org/dc/elements/1.1/' xmlns:ns1='http://schemas.openxmlformats.org/package/2006/metadata/core-properties' " w:xpath="/ns1:coreProperties[1]/ns0:subject[1]" w:storeItemID="{6C3C8BC8-F283-45AE-878A-BAB7291924A1}"/>
        <w:text/>
      </w:sdtPr>
      <w:sdtEndPr/>
      <w:sdtContent>
        <w:r w:rsidR="00E871C7" w:rsidRPr="007C2143">
          <w:rPr>
            <w:snapToGrid w:val="0"/>
            <w:kern w:val="22"/>
            <w:szCs w:val="22"/>
            <w:lang w:val="en-CA"/>
          </w:rPr>
          <w:t>CBD/NP/MOP/DEC/4/</w:t>
        </w:r>
        <w:r w:rsidR="00E871C7">
          <w:rPr>
            <w:snapToGrid w:val="0"/>
            <w:kern w:val="22"/>
            <w:szCs w:val="22"/>
            <w:lang w:val="en-CA"/>
          </w:rPr>
          <w:t>2</w:t>
        </w:r>
      </w:sdtContent>
    </w:sdt>
  </w:p>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4BBD8068" w:rsidR="009505C9" w:rsidRPr="00825E8F" w:rsidRDefault="00636C60" w:rsidP="009505C9">
        <w:pPr>
          <w:pStyle w:val="Header"/>
          <w:jc w:val="right"/>
          <w:rPr>
            <w:lang w:val="fr-CA"/>
          </w:rPr>
        </w:pPr>
        <w:r w:rsidRPr="00825E8F">
          <w:rPr>
            <w:lang w:val="fr-CA"/>
          </w:rPr>
          <w:t>CBD/NP/MOP/DEC/4/2</w:t>
        </w:r>
      </w:p>
    </w:sdtContent>
  </w:sdt>
  <w:p w14:paraId="64AE8439" w14:textId="77777777" w:rsidR="009505C9" w:rsidRPr="00825E8F" w:rsidRDefault="009505C9" w:rsidP="009505C9">
    <w:pPr>
      <w:pStyle w:val="Header"/>
      <w:jc w:val="right"/>
      <w:rPr>
        <w:lang w:val="fr-CA"/>
      </w:rPr>
    </w:pPr>
    <w:r w:rsidRPr="00825E8F">
      <w:rPr>
        <w:lang w:val="fr-CA"/>
      </w:rPr>
      <w:t xml:space="preserve">Page </w:t>
    </w:r>
    <w:r>
      <w:fldChar w:fldCharType="begin"/>
    </w:r>
    <w:r w:rsidRPr="00825E8F">
      <w:rPr>
        <w:lang w:val="fr-CA"/>
      </w:rPr>
      <w:instrText xml:space="preserve"> PAGE   \* MERGEFORMAT </w:instrText>
    </w:r>
    <w:r>
      <w:fldChar w:fldCharType="separate"/>
    </w:r>
    <w:r w:rsidR="00F6586C" w:rsidRPr="00825E8F">
      <w:rPr>
        <w:noProof/>
        <w:lang w:val="fr-CA"/>
      </w:rPr>
      <w:t>3</w:t>
    </w:r>
    <w:r>
      <w:rPr>
        <w:noProof/>
      </w:rPr>
      <w:fldChar w:fldCharType="end"/>
    </w:r>
  </w:p>
  <w:p w14:paraId="16137B8A" w14:textId="77777777" w:rsidR="009505C9" w:rsidRPr="00825E8F" w:rsidRDefault="009505C9">
    <w:pPr>
      <w:pStyle w:val="Head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4863470">
    <w:abstractNumId w:val="3"/>
  </w:num>
  <w:num w:numId="2" w16cid:durableId="868033581">
    <w:abstractNumId w:val="6"/>
  </w:num>
  <w:num w:numId="3" w16cid:durableId="1745374551">
    <w:abstractNumId w:val="4"/>
  </w:num>
  <w:num w:numId="4" w16cid:durableId="803426073">
    <w:abstractNumId w:val="6"/>
  </w:num>
  <w:num w:numId="5" w16cid:durableId="991715310">
    <w:abstractNumId w:val="5"/>
  </w:num>
  <w:num w:numId="6" w16cid:durableId="669337044">
    <w:abstractNumId w:val="0"/>
  </w:num>
  <w:num w:numId="7" w16cid:durableId="1219393411">
    <w:abstractNumId w:val="2"/>
  </w:num>
  <w:num w:numId="8" w16cid:durableId="846678319">
    <w:abstractNumId w:val="4"/>
    <w:lvlOverride w:ilvl="0">
      <w:startOverride w:val="1"/>
    </w:lvlOverride>
  </w:num>
  <w:num w:numId="9" w16cid:durableId="938878686">
    <w:abstractNumId w:val="9"/>
  </w:num>
  <w:num w:numId="10" w16cid:durableId="1450080998">
    <w:abstractNumId w:val="4"/>
    <w:lvlOverride w:ilvl="0">
      <w:startOverride w:val="1"/>
    </w:lvlOverride>
  </w:num>
  <w:num w:numId="11" w16cid:durableId="286475582">
    <w:abstractNumId w:val="4"/>
    <w:lvlOverride w:ilvl="0">
      <w:startOverride w:val="1"/>
    </w:lvlOverride>
  </w:num>
  <w:num w:numId="12" w16cid:durableId="1475756340">
    <w:abstractNumId w:val="4"/>
    <w:lvlOverride w:ilvl="0">
      <w:startOverride w:val="1"/>
    </w:lvlOverride>
  </w:num>
  <w:num w:numId="13" w16cid:durableId="384106791">
    <w:abstractNumId w:val="4"/>
    <w:lvlOverride w:ilvl="0">
      <w:startOverride w:val="1"/>
    </w:lvlOverride>
  </w:num>
  <w:num w:numId="14" w16cid:durableId="557712709">
    <w:abstractNumId w:val="8"/>
  </w:num>
  <w:num w:numId="15" w16cid:durableId="404300152">
    <w:abstractNumId w:val="7"/>
  </w:num>
  <w:num w:numId="16" w16cid:durableId="2073651840">
    <w:abstractNumId w:val="1"/>
  </w:num>
  <w:num w:numId="17" w16cid:durableId="1315992891">
    <w:abstractNumId w:val="10"/>
  </w:num>
  <w:num w:numId="18" w16cid:durableId="10405965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20A25"/>
    <w:rsid w:val="00033331"/>
    <w:rsid w:val="0003492E"/>
    <w:rsid w:val="00070EDD"/>
    <w:rsid w:val="0007171B"/>
    <w:rsid w:val="00072F8C"/>
    <w:rsid w:val="000C64C2"/>
    <w:rsid w:val="000D705A"/>
    <w:rsid w:val="000E673A"/>
    <w:rsid w:val="000F74F5"/>
    <w:rsid w:val="001023F7"/>
    <w:rsid w:val="00102657"/>
    <w:rsid w:val="00105372"/>
    <w:rsid w:val="001226B6"/>
    <w:rsid w:val="001312AD"/>
    <w:rsid w:val="00131E7A"/>
    <w:rsid w:val="00133C24"/>
    <w:rsid w:val="00134846"/>
    <w:rsid w:val="00172AF6"/>
    <w:rsid w:val="00176CEE"/>
    <w:rsid w:val="00186DD8"/>
    <w:rsid w:val="0019241E"/>
    <w:rsid w:val="001B13FE"/>
    <w:rsid w:val="001C5310"/>
    <w:rsid w:val="001D0830"/>
    <w:rsid w:val="001D64E3"/>
    <w:rsid w:val="001E38DB"/>
    <w:rsid w:val="0021699C"/>
    <w:rsid w:val="0030169D"/>
    <w:rsid w:val="003060EB"/>
    <w:rsid w:val="003153EB"/>
    <w:rsid w:val="00315A40"/>
    <w:rsid w:val="00321985"/>
    <w:rsid w:val="00344104"/>
    <w:rsid w:val="00351205"/>
    <w:rsid w:val="0037135A"/>
    <w:rsid w:val="00372F74"/>
    <w:rsid w:val="00376CEB"/>
    <w:rsid w:val="00386DD9"/>
    <w:rsid w:val="003A2249"/>
    <w:rsid w:val="003B7BB2"/>
    <w:rsid w:val="003D3E86"/>
    <w:rsid w:val="003F7224"/>
    <w:rsid w:val="00411CAF"/>
    <w:rsid w:val="00427D21"/>
    <w:rsid w:val="0043028B"/>
    <w:rsid w:val="00437A8B"/>
    <w:rsid w:val="00441603"/>
    <w:rsid w:val="00462FE8"/>
    <w:rsid w:val="004644C2"/>
    <w:rsid w:val="00465783"/>
    <w:rsid w:val="00467F9C"/>
    <w:rsid w:val="004711D8"/>
    <w:rsid w:val="00474FB1"/>
    <w:rsid w:val="004B539A"/>
    <w:rsid w:val="004C2F5E"/>
    <w:rsid w:val="004E188B"/>
    <w:rsid w:val="004F58DF"/>
    <w:rsid w:val="00506A58"/>
    <w:rsid w:val="00534681"/>
    <w:rsid w:val="00563442"/>
    <w:rsid w:val="00565B42"/>
    <w:rsid w:val="0059757C"/>
    <w:rsid w:val="005A59D8"/>
    <w:rsid w:val="005B465E"/>
    <w:rsid w:val="005B4ADC"/>
    <w:rsid w:val="005B4FF0"/>
    <w:rsid w:val="005B70AD"/>
    <w:rsid w:val="005C4CE6"/>
    <w:rsid w:val="005D0B51"/>
    <w:rsid w:val="005E0ED3"/>
    <w:rsid w:val="005F05A3"/>
    <w:rsid w:val="00604A13"/>
    <w:rsid w:val="006122BA"/>
    <w:rsid w:val="00636C60"/>
    <w:rsid w:val="006B2290"/>
    <w:rsid w:val="006F22CA"/>
    <w:rsid w:val="00717D88"/>
    <w:rsid w:val="00786056"/>
    <w:rsid w:val="007942D3"/>
    <w:rsid w:val="007B2099"/>
    <w:rsid w:val="007B6C09"/>
    <w:rsid w:val="007B7741"/>
    <w:rsid w:val="007C2143"/>
    <w:rsid w:val="007E09DA"/>
    <w:rsid w:val="007E0DA8"/>
    <w:rsid w:val="007E2A86"/>
    <w:rsid w:val="007E645B"/>
    <w:rsid w:val="007F7002"/>
    <w:rsid w:val="00803478"/>
    <w:rsid w:val="008044D2"/>
    <w:rsid w:val="00805035"/>
    <w:rsid w:val="00810A55"/>
    <w:rsid w:val="008178B6"/>
    <w:rsid w:val="0082485B"/>
    <w:rsid w:val="00825E8F"/>
    <w:rsid w:val="0083009D"/>
    <w:rsid w:val="00835C8E"/>
    <w:rsid w:val="00843ABF"/>
    <w:rsid w:val="008502AD"/>
    <w:rsid w:val="00857965"/>
    <w:rsid w:val="00865B74"/>
    <w:rsid w:val="00873756"/>
    <w:rsid w:val="00876CE9"/>
    <w:rsid w:val="0087727D"/>
    <w:rsid w:val="008974F0"/>
    <w:rsid w:val="008B012A"/>
    <w:rsid w:val="008B168D"/>
    <w:rsid w:val="008C6619"/>
    <w:rsid w:val="008D07BD"/>
    <w:rsid w:val="008D5920"/>
    <w:rsid w:val="0090000C"/>
    <w:rsid w:val="00906E17"/>
    <w:rsid w:val="00930BA1"/>
    <w:rsid w:val="0093169E"/>
    <w:rsid w:val="00937130"/>
    <w:rsid w:val="009505C9"/>
    <w:rsid w:val="00950752"/>
    <w:rsid w:val="00956289"/>
    <w:rsid w:val="00966424"/>
    <w:rsid w:val="00970591"/>
    <w:rsid w:val="009801E1"/>
    <w:rsid w:val="00985A7F"/>
    <w:rsid w:val="009B70B9"/>
    <w:rsid w:val="009C0AF4"/>
    <w:rsid w:val="009C2DE6"/>
    <w:rsid w:val="009D1606"/>
    <w:rsid w:val="009E2D8E"/>
    <w:rsid w:val="009F50E3"/>
    <w:rsid w:val="00A1252A"/>
    <w:rsid w:val="00AA2395"/>
    <w:rsid w:val="00AA40ED"/>
    <w:rsid w:val="00AA6F92"/>
    <w:rsid w:val="00AB6934"/>
    <w:rsid w:val="00AC3CDE"/>
    <w:rsid w:val="00AD2710"/>
    <w:rsid w:val="00AD7FFC"/>
    <w:rsid w:val="00AF12FF"/>
    <w:rsid w:val="00AF42DE"/>
    <w:rsid w:val="00B22BB5"/>
    <w:rsid w:val="00B257EC"/>
    <w:rsid w:val="00B26ACD"/>
    <w:rsid w:val="00B3369F"/>
    <w:rsid w:val="00B94E6C"/>
    <w:rsid w:val="00BA33A0"/>
    <w:rsid w:val="00BB4606"/>
    <w:rsid w:val="00BD1996"/>
    <w:rsid w:val="00BD2F2A"/>
    <w:rsid w:val="00BE5E8D"/>
    <w:rsid w:val="00BF11F9"/>
    <w:rsid w:val="00C02B5C"/>
    <w:rsid w:val="00C07B8C"/>
    <w:rsid w:val="00C23C62"/>
    <w:rsid w:val="00C23D2F"/>
    <w:rsid w:val="00C443BD"/>
    <w:rsid w:val="00C451C5"/>
    <w:rsid w:val="00C56B11"/>
    <w:rsid w:val="00C65B1A"/>
    <w:rsid w:val="00C9161D"/>
    <w:rsid w:val="00CA0C1D"/>
    <w:rsid w:val="00CC5B5C"/>
    <w:rsid w:val="00CF1848"/>
    <w:rsid w:val="00CF680A"/>
    <w:rsid w:val="00D11762"/>
    <w:rsid w:val="00D12044"/>
    <w:rsid w:val="00D30264"/>
    <w:rsid w:val="00D33EFC"/>
    <w:rsid w:val="00D372A5"/>
    <w:rsid w:val="00D40DBC"/>
    <w:rsid w:val="00D65F73"/>
    <w:rsid w:val="00D76A18"/>
    <w:rsid w:val="00D80849"/>
    <w:rsid w:val="00D82E8F"/>
    <w:rsid w:val="00DC4801"/>
    <w:rsid w:val="00DC4FC9"/>
    <w:rsid w:val="00DD118C"/>
    <w:rsid w:val="00DE02BF"/>
    <w:rsid w:val="00E023E2"/>
    <w:rsid w:val="00E155D4"/>
    <w:rsid w:val="00E427D6"/>
    <w:rsid w:val="00E43431"/>
    <w:rsid w:val="00E66235"/>
    <w:rsid w:val="00E735E1"/>
    <w:rsid w:val="00E83C24"/>
    <w:rsid w:val="00E8645F"/>
    <w:rsid w:val="00E871C7"/>
    <w:rsid w:val="00E9318D"/>
    <w:rsid w:val="00EB3DEB"/>
    <w:rsid w:val="00EC1F46"/>
    <w:rsid w:val="00EF15BD"/>
    <w:rsid w:val="00F53193"/>
    <w:rsid w:val="00F5357E"/>
    <w:rsid w:val="00F6586C"/>
    <w:rsid w:val="00F76CD4"/>
    <w:rsid w:val="00F94774"/>
    <w:rsid w:val="00FA0E9A"/>
    <w:rsid w:val="00FA568D"/>
    <w:rsid w:val="00FA663B"/>
    <w:rsid w:val="00FB2AE2"/>
    <w:rsid w:val="00FB5A31"/>
    <w:rsid w:val="00FC25F8"/>
    <w:rsid w:val="00FC53DB"/>
    <w:rsid w:val="00FC5FA8"/>
    <w:rsid w:val="00FD09C1"/>
    <w:rsid w:val="00FD4D94"/>
    <w:rsid w:val="00FE2131"/>
    <w:rsid w:val="00FE31C6"/>
    <w:rsid w:val="00FE7B68"/>
    <w:rsid w:val="02D79855"/>
    <w:rsid w:val="098E0786"/>
    <w:rsid w:val="0F61ECD4"/>
    <w:rsid w:val="1D73526F"/>
    <w:rsid w:val="1E58681D"/>
    <w:rsid w:val="1FFEA775"/>
    <w:rsid w:val="474F15B8"/>
    <w:rsid w:val="66F80632"/>
    <w:rsid w:val="6770E24F"/>
    <w:rsid w:val="68534D28"/>
    <w:rsid w:val="789863E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9E2D8E"/>
    <w:pPr>
      <w:spacing w:after="160" w:line="240" w:lineRule="exact"/>
      <w:jc w:val="lef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37135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37135A"/>
    <w:rPr>
      <w:rFonts w:ascii="Times New Roman" w:eastAsia="Times New Roman" w:hAnsi="Times New Roman" w:cs="Times New Roman"/>
      <w:b/>
      <w:bCs/>
      <w:sz w:val="20"/>
      <w:szCs w:val="20"/>
      <w:lang w:val="en-GB"/>
    </w:rPr>
  </w:style>
  <w:style w:type="paragraph" w:styleId="Revision">
    <w:name w:val="Revision"/>
    <w:hidden/>
    <w:uiPriority w:val="99"/>
    <w:semiHidden/>
    <w:rsid w:val="00506A58"/>
    <w:rPr>
      <w:rFonts w:ascii="Times New Roman" w:eastAsia="Times New Roman" w:hAnsi="Times New Roman" w:cs="Times New Roman"/>
      <w:sz w:val="22"/>
      <w:lang w:val="en-GB"/>
    </w:rPr>
  </w:style>
  <w:style w:type="paragraph" w:styleId="NormalWeb">
    <w:name w:val="Normal (Web)"/>
    <w:basedOn w:val="Normal"/>
    <w:uiPriority w:val="99"/>
    <w:unhideWhenUsed/>
    <w:rsid w:val="00857965"/>
    <w:pPr>
      <w:spacing w:before="100" w:beforeAutospacing="1" w:after="100" w:afterAutospacing="1"/>
      <w:jc w:val="left"/>
    </w:pPr>
    <w:rPr>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65782828816740DE8A24D08CD1FD4092"/>
        <w:category>
          <w:name w:val="General"/>
          <w:gallery w:val="placeholder"/>
        </w:category>
        <w:types>
          <w:type w:val="bbPlcHdr"/>
        </w:types>
        <w:behaviors>
          <w:behavior w:val="content"/>
        </w:behaviors>
        <w:guid w:val="{6F541CB1-B797-4FD3-A2C8-37ACC70B8A19}"/>
      </w:docPartPr>
      <w:docPartBody>
        <w:p w:rsidR="001D773C" w:rsidRDefault="00BE74F0" w:rsidP="00BE74F0">
          <w:pPr>
            <w:pStyle w:val="65782828816740DE8A24D08CD1FD4092"/>
          </w:pPr>
          <w:r w:rsidRPr="007E02EB">
            <w:rPr>
              <w:rStyle w:val="PlaceholderText"/>
            </w:rPr>
            <w:t>[Subject]</w:t>
          </w:r>
        </w:p>
      </w:docPartBody>
    </w:docPart>
    <w:docPart>
      <w:docPartPr>
        <w:name w:val="172CC8B26EE244C58D04BD205FCC9F29"/>
        <w:category>
          <w:name w:val="General"/>
          <w:gallery w:val="placeholder"/>
        </w:category>
        <w:types>
          <w:type w:val="bbPlcHdr"/>
        </w:types>
        <w:behaviors>
          <w:behavior w:val="content"/>
        </w:behaviors>
        <w:guid w:val="{5D6AFF77-E727-4A39-9A81-82C5AC707EEC}"/>
      </w:docPartPr>
      <w:docPartBody>
        <w:p w:rsidR="00194AF8" w:rsidRDefault="00F0244E" w:rsidP="00F0244E">
          <w:pPr>
            <w:pStyle w:val="172CC8B26EE244C58D04BD205FCC9F29"/>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C400B"/>
    <w:rsid w:val="00194AF8"/>
    <w:rsid w:val="001D773C"/>
    <w:rsid w:val="003D14D6"/>
    <w:rsid w:val="0046422C"/>
    <w:rsid w:val="004760CF"/>
    <w:rsid w:val="004E092F"/>
    <w:rsid w:val="004E4245"/>
    <w:rsid w:val="00500A2B"/>
    <w:rsid w:val="0058288D"/>
    <w:rsid w:val="005913B3"/>
    <w:rsid w:val="00665C6B"/>
    <w:rsid w:val="006801B3"/>
    <w:rsid w:val="007F6485"/>
    <w:rsid w:val="00810A55"/>
    <w:rsid w:val="00872320"/>
    <w:rsid w:val="008C6619"/>
    <w:rsid w:val="008D420E"/>
    <w:rsid w:val="0098642F"/>
    <w:rsid w:val="00A57BD2"/>
    <w:rsid w:val="00A75D51"/>
    <w:rsid w:val="00AA3783"/>
    <w:rsid w:val="00AB3938"/>
    <w:rsid w:val="00AD6312"/>
    <w:rsid w:val="00B207E8"/>
    <w:rsid w:val="00B27D2C"/>
    <w:rsid w:val="00BE74F0"/>
    <w:rsid w:val="00C8104B"/>
    <w:rsid w:val="00D31D12"/>
    <w:rsid w:val="00DA2755"/>
    <w:rsid w:val="00E56E0D"/>
    <w:rsid w:val="00F024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244E"/>
    <w:rPr>
      <w:color w:val="808080"/>
    </w:rPr>
  </w:style>
  <w:style w:type="paragraph" w:customStyle="1" w:styleId="65782828816740DE8A24D08CD1FD4092">
    <w:name w:val="65782828816740DE8A24D08CD1FD4092"/>
    <w:rsid w:val="00BE74F0"/>
    <w:pPr>
      <w:spacing w:after="160" w:line="259" w:lineRule="auto"/>
    </w:pPr>
    <w:rPr>
      <w:lang w:val="en-CA" w:eastAsia="en-CA"/>
    </w:rPr>
  </w:style>
  <w:style w:type="paragraph" w:customStyle="1" w:styleId="172CC8B26EE244C58D04BD205FCC9F29">
    <w:name w:val="172CC8B26EE244C58D04BD205FCC9F29"/>
    <w:rsid w:val="00F0244E"/>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683E360B-58DE-4597-A183-E4E4407B7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NP-4/2.		Compliance with the Protocol</vt:lpstr>
    </vt:vector>
  </TitlesOfParts>
  <Company>SCBD</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NP-4/2.		Compliance with the Protocol</dc:title>
  <dc:subject>CBD/NP/MOP/DEC/4/2</dc:subject>
  <dc:creator>SCBD</dc:creator>
  <cp:keywords>Decision adopted by the Parties to the Nagoya Protocol on Access and Benefit-sharing</cp:keywords>
  <cp:lastModifiedBy>Veronique Lefebvre</cp:lastModifiedBy>
  <cp:revision>7</cp:revision>
  <cp:lastPrinted>2020-01-21T16:56:00Z</cp:lastPrinted>
  <dcterms:created xsi:type="dcterms:W3CDTF">2023-02-17T16:28:00Z</dcterms:created>
  <dcterms:modified xsi:type="dcterms:W3CDTF">2023-02-17T16:31:00Z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