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78" w:type="dxa"/>
        <w:tblLayout w:type="fixed"/>
        <w:tblLook w:val="00A0"/>
      </w:tblPr>
      <w:tblGrid>
        <w:gridCol w:w="976"/>
        <w:gridCol w:w="5141"/>
        <w:gridCol w:w="4461"/>
      </w:tblGrid>
      <w:tr w:rsidR="00220D81" w:rsidRPr="005D29CB">
        <w:trPr>
          <w:trHeight w:val="851"/>
        </w:trPr>
        <w:tc>
          <w:tcPr>
            <w:tcW w:w="976" w:type="dxa"/>
            <w:tcBorders>
              <w:bottom w:val="single" w:sz="12" w:space="0" w:color="auto"/>
            </w:tcBorders>
          </w:tcPr>
          <w:p w:rsidR="00220D81" w:rsidRPr="005D29CB" w:rsidRDefault="002C4A79">
            <w:pPr>
              <w:rPr>
                <w:rFonts w:eastAsia="Times New Roman"/>
                <w:lang w:val="es-ES"/>
              </w:rPr>
            </w:pPr>
            <w:r w:rsidRPr="005D29CB">
              <w:rPr>
                <w:rFonts w:eastAsia="Times New Roman"/>
                <w:snapToGrid/>
                <w:lang w:val="es-ES" w:eastAsia="en-US"/>
              </w:rPr>
              <w:drawing>
                <wp:inline distT="0" distB="0" distL="0" distR="0">
                  <wp:extent cx="426720" cy="361950"/>
                  <wp:effectExtent l="19050" t="0" r="0" b="0"/>
                  <wp:docPr id="1"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mf"/>
                          <pic:cNvPicPr>
                            <a:picLocks noChangeAspect="1" noChangeArrowheads="1"/>
                          </pic:cNvPicPr>
                        </pic:nvPicPr>
                        <pic:blipFill>
                          <a:blip r:embed="rId7"/>
                          <a:srcRect/>
                          <a:stretch>
                            <a:fillRect/>
                          </a:stretch>
                        </pic:blipFill>
                        <pic:spPr bwMode="auto">
                          <a:xfrm>
                            <a:off x="0" y="0"/>
                            <a:ext cx="426720" cy="361950"/>
                          </a:xfrm>
                          <a:prstGeom prst="rect">
                            <a:avLst/>
                          </a:prstGeom>
                          <a:noFill/>
                          <a:ln w="9525">
                            <a:noFill/>
                            <a:miter lim="800000"/>
                            <a:headEnd/>
                            <a:tailEnd/>
                          </a:ln>
                        </pic:spPr>
                      </pic:pic>
                    </a:graphicData>
                  </a:graphic>
                </wp:inline>
              </w:drawing>
            </w:r>
          </w:p>
        </w:tc>
        <w:tc>
          <w:tcPr>
            <w:tcW w:w="5141" w:type="dxa"/>
            <w:tcBorders>
              <w:bottom w:val="single" w:sz="12" w:space="0" w:color="auto"/>
            </w:tcBorders>
            <w:tcFitText/>
          </w:tcPr>
          <w:p w:rsidR="00220D81" w:rsidRPr="005D29CB" w:rsidRDefault="002C4A79">
            <w:pPr>
              <w:rPr>
                <w:rFonts w:eastAsia="Times New Roman"/>
                <w:lang w:val="es-ES"/>
              </w:rPr>
            </w:pPr>
            <w:r w:rsidRPr="001B2128">
              <w:rPr>
                <w:rFonts w:eastAsia="Times New Roman"/>
                <w:snapToGrid/>
                <w:lang w:val="es-ES" w:eastAsia="en-US"/>
              </w:rPr>
              <w:drawing>
                <wp:inline distT="0" distB="0" distL="0" distR="0">
                  <wp:extent cx="609600" cy="350520"/>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09600" cy="350520"/>
                          </a:xfrm>
                          <a:prstGeom prst="rect">
                            <a:avLst/>
                          </a:prstGeom>
                          <a:noFill/>
                          <a:ln w="9525">
                            <a:noFill/>
                            <a:miter lim="800000"/>
                            <a:headEnd/>
                            <a:tailEnd/>
                          </a:ln>
                        </pic:spPr>
                      </pic:pic>
                    </a:graphicData>
                  </a:graphic>
                </wp:inline>
              </w:drawing>
            </w:r>
          </w:p>
        </w:tc>
        <w:tc>
          <w:tcPr>
            <w:tcW w:w="4461" w:type="dxa"/>
            <w:tcBorders>
              <w:bottom w:val="single" w:sz="12" w:space="0" w:color="auto"/>
            </w:tcBorders>
          </w:tcPr>
          <w:p w:rsidR="00220D81" w:rsidRPr="005D29CB" w:rsidRDefault="00220D81">
            <w:pPr>
              <w:jc w:val="right"/>
              <w:rPr>
                <w:rFonts w:ascii="Arial" w:eastAsia="Times New Roman" w:hAnsi="Arial" w:cs="Arial"/>
                <w:b/>
                <w:bCs/>
                <w:sz w:val="32"/>
                <w:szCs w:val="32"/>
                <w:lang w:val="es-ES"/>
              </w:rPr>
            </w:pPr>
            <w:r w:rsidRPr="005D29CB">
              <w:rPr>
                <w:rFonts w:ascii="Arial" w:eastAsia="Times New Roman" w:hAnsi="Arial" w:cs="Arial"/>
                <w:b/>
                <w:bCs/>
                <w:sz w:val="32"/>
                <w:szCs w:val="32"/>
                <w:lang w:val="es-ES"/>
              </w:rPr>
              <w:t>CBD</w:t>
            </w:r>
          </w:p>
        </w:tc>
      </w:tr>
      <w:tr w:rsidR="00220D81" w:rsidRPr="005D29CB">
        <w:tc>
          <w:tcPr>
            <w:tcW w:w="6117" w:type="dxa"/>
            <w:gridSpan w:val="2"/>
            <w:tcBorders>
              <w:top w:val="single" w:sz="12" w:space="0" w:color="auto"/>
              <w:bottom w:val="single" w:sz="36" w:space="0" w:color="auto"/>
            </w:tcBorders>
            <w:vAlign w:val="center"/>
          </w:tcPr>
          <w:p w:rsidR="00220D81" w:rsidRPr="005D29CB" w:rsidRDefault="002C4A79">
            <w:pPr>
              <w:rPr>
                <w:rFonts w:eastAsia="Times New Roman"/>
                <w:lang w:val="es-ES"/>
              </w:rPr>
            </w:pPr>
            <w:r w:rsidRPr="005D29CB">
              <w:rPr>
                <w:rFonts w:eastAsia="Times New Roman"/>
                <w:snapToGrid/>
                <w:lang w:val="es-ES" w:eastAsia="en-US"/>
              </w:rPr>
              <w:drawing>
                <wp:inline distT="0" distB="0" distL="0" distR="0">
                  <wp:extent cx="2872740" cy="1059180"/>
                  <wp:effectExtent l="19050" t="0" r="381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2872740" cy="1059180"/>
                          </a:xfrm>
                          <a:prstGeom prst="rect">
                            <a:avLst/>
                          </a:prstGeom>
                          <a:noFill/>
                          <a:ln w="9525">
                            <a:noFill/>
                            <a:miter lim="800000"/>
                            <a:headEnd/>
                            <a:tailEnd/>
                          </a:ln>
                        </pic:spPr>
                      </pic:pic>
                    </a:graphicData>
                  </a:graphic>
                </wp:inline>
              </w:drawing>
            </w:r>
          </w:p>
        </w:tc>
        <w:tc>
          <w:tcPr>
            <w:tcW w:w="4461" w:type="dxa"/>
            <w:tcBorders>
              <w:top w:val="single" w:sz="12" w:space="0" w:color="auto"/>
              <w:bottom w:val="single" w:sz="36" w:space="0" w:color="auto"/>
            </w:tcBorders>
          </w:tcPr>
          <w:p w:rsidR="00220D81" w:rsidRPr="005D29CB" w:rsidRDefault="00220D81">
            <w:pPr>
              <w:ind w:left="1022"/>
              <w:rPr>
                <w:rFonts w:eastAsia="Times New Roman"/>
                <w:lang w:val="es-ES"/>
              </w:rPr>
            </w:pPr>
            <w:r w:rsidRPr="005D29CB">
              <w:rPr>
                <w:rFonts w:eastAsia="Times New Roman"/>
                <w:lang w:val="es-ES"/>
              </w:rPr>
              <w:t>Distr.</w:t>
            </w:r>
          </w:p>
          <w:p w:rsidR="00220D81" w:rsidRPr="005D29CB" w:rsidRDefault="00220D81">
            <w:pPr>
              <w:ind w:left="1022"/>
              <w:rPr>
                <w:rFonts w:eastAsia="Times New Roman"/>
                <w:lang w:val="es-ES"/>
              </w:rPr>
            </w:pPr>
            <w:r w:rsidRPr="005D29CB">
              <w:rPr>
                <w:rFonts w:eastAsia="Times New Roman"/>
                <w:caps/>
                <w:lang w:val="es-ES"/>
              </w:rPr>
              <w:t>GENERAL</w:t>
            </w:r>
          </w:p>
          <w:p w:rsidR="00220D81" w:rsidRPr="005D29CB" w:rsidRDefault="00220D81">
            <w:pPr>
              <w:ind w:left="1022"/>
              <w:rPr>
                <w:rFonts w:eastAsia="Times New Roman"/>
                <w:lang w:val="es-ES"/>
              </w:rPr>
            </w:pPr>
          </w:p>
          <w:p w:rsidR="00220D81" w:rsidRPr="005D29CB" w:rsidRDefault="00220D81">
            <w:pPr>
              <w:ind w:left="1022"/>
              <w:rPr>
                <w:rFonts w:eastAsia="Times New Roman"/>
                <w:lang w:val="es-ES"/>
              </w:rPr>
            </w:pPr>
            <w:r w:rsidRPr="005D29CB">
              <w:rPr>
                <w:rFonts w:eastAsia="Times New Roman"/>
                <w:kern w:val="22"/>
                <w:lang w:val="es-ES"/>
              </w:rPr>
              <w:t>CBD/NP/MOP/DEC/4/2</w:t>
            </w:r>
          </w:p>
          <w:p w:rsidR="00220D81" w:rsidRPr="005D29CB" w:rsidRDefault="00220D81">
            <w:pPr>
              <w:ind w:left="1022"/>
              <w:rPr>
                <w:rFonts w:eastAsia="Times New Roman"/>
                <w:lang w:val="es-ES"/>
              </w:rPr>
            </w:pPr>
            <w:r w:rsidRPr="005D29CB">
              <w:rPr>
                <w:rFonts w:eastAsia="Times New Roman"/>
                <w:lang w:val="es-ES"/>
              </w:rPr>
              <w:t>19 de diciembre de 2022</w:t>
            </w:r>
          </w:p>
          <w:p w:rsidR="00220D81" w:rsidRPr="005D29CB" w:rsidRDefault="00220D81">
            <w:pPr>
              <w:ind w:left="1022"/>
              <w:rPr>
                <w:rFonts w:eastAsia="Times New Roman"/>
                <w:lang w:val="es-ES"/>
              </w:rPr>
            </w:pPr>
          </w:p>
          <w:p w:rsidR="00220D81" w:rsidRPr="005D29CB" w:rsidRDefault="00220D81">
            <w:pPr>
              <w:ind w:left="1022"/>
              <w:rPr>
                <w:rFonts w:eastAsia="Times New Roman"/>
                <w:lang w:val="es-ES"/>
              </w:rPr>
            </w:pPr>
            <w:r w:rsidRPr="005D29CB">
              <w:rPr>
                <w:rFonts w:eastAsia="Times New Roman"/>
                <w:lang w:val="es-ES"/>
              </w:rPr>
              <w:t>ESPAÑOL</w:t>
            </w:r>
          </w:p>
          <w:p w:rsidR="00220D81" w:rsidRPr="005D29CB" w:rsidRDefault="00220D81">
            <w:pPr>
              <w:ind w:left="1022"/>
              <w:rPr>
                <w:rFonts w:eastAsia="Times New Roman"/>
                <w:lang w:val="es-ES"/>
              </w:rPr>
            </w:pPr>
            <w:r w:rsidRPr="005D29CB">
              <w:rPr>
                <w:rFonts w:eastAsia="Times New Roman"/>
                <w:lang w:val="es-ES"/>
              </w:rPr>
              <w:t>ORIGINAL: INGLÉS</w:t>
            </w:r>
          </w:p>
          <w:p w:rsidR="00220D81" w:rsidRPr="005D29CB" w:rsidRDefault="00220D81">
            <w:pPr>
              <w:rPr>
                <w:rFonts w:eastAsia="Times New Roman"/>
                <w:lang w:val="es-ES"/>
              </w:rPr>
            </w:pPr>
          </w:p>
        </w:tc>
      </w:tr>
    </w:tbl>
    <w:p w:rsidR="00220D81" w:rsidRPr="005D29CB" w:rsidRDefault="00220D81">
      <w:pPr>
        <w:pStyle w:val="Cornernotation"/>
        <w:kinsoku w:val="0"/>
        <w:overflowPunct w:val="0"/>
        <w:autoSpaceDE w:val="0"/>
        <w:autoSpaceDN w:val="0"/>
        <w:spacing w:before="60"/>
        <w:ind w:left="227" w:right="3792" w:hanging="227"/>
        <w:rPr>
          <w:rFonts w:eastAsia="Times New Roman"/>
          <w:kern w:val="22"/>
          <w:lang w:val="es-ES"/>
        </w:rPr>
      </w:pPr>
      <w:r w:rsidRPr="005D29CB">
        <w:rPr>
          <w:rFonts w:eastAsia="Times New Roman"/>
          <w:kern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220D81" w:rsidRPr="005D29CB" w:rsidRDefault="00220D81">
      <w:pPr>
        <w:pStyle w:val="Cornernotation"/>
        <w:kinsoku w:val="0"/>
        <w:overflowPunct w:val="0"/>
        <w:autoSpaceDE w:val="0"/>
        <w:autoSpaceDN w:val="0"/>
        <w:ind w:left="0" w:right="3792" w:firstLine="0"/>
        <w:rPr>
          <w:rFonts w:eastAsia="Times New Roman"/>
          <w:kern w:val="22"/>
          <w:lang w:val="es-ES"/>
        </w:rPr>
      </w:pPr>
      <w:r w:rsidRPr="005D29CB">
        <w:rPr>
          <w:rFonts w:eastAsia="Times New Roman"/>
          <w:kern w:val="22"/>
          <w:lang w:val="es-ES"/>
        </w:rPr>
        <w:t>Cuarta reunión – Parte II</w:t>
      </w:r>
    </w:p>
    <w:p w:rsidR="00220D81" w:rsidRPr="005D29CB" w:rsidRDefault="00220D81">
      <w:pPr>
        <w:pStyle w:val="Cornernotation"/>
        <w:kinsoku w:val="0"/>
        <w:overflowPunct w:val="0"/>
        <w:autoSpaceDE w:val="0"/>
        <w:autoSpaceDN w:val="0"/>
        <w:ind w:left="227" w:right="3792" w:hanging="227"/>
        <w:rPr>
          <w:rFonts w:eastAsia="Times New Roman"/>
          <w:kern w:val="22"/>
          <w:lang w:val="es-ES"/>
        </w:rPr>
      </w:pPr>
      <w:r w:rsidRPr="005D29CB">
        <w:rPr>
          <w:rFonts w:eastAsia="Times New Roman"/>
          <w:kern w:val="22"/>
          <w:lang w:val="es-ES"/>
        </w:rPr>
        <w:t>Montreal (Canadá), 7 a 19 de diciembre de 2022</w:t>
      </w:r>
    </w:p>
    <w:p w:rsidR="00220D81" w:rsidRPr="005D29CB" w:rsidRDefault="00220D81">
      <w:pPr>
        <w:ind w:right="3792"/>
        <w:rPr>
          <w:rFonts w:eastAsia="Times New Roman"/>
          <w:kern w:val="22"/>
          <w:lang w:val="es-ES"/>
        </w:rPr>
      </w:pPr>
      <w:r w:rsidRPr="005D29CB">
        <w:rPr>
          <w:rFonts w:eastAsia="Times New Roman"/>
          <w:kern w:val="22"/>
          <w:lang w:val="es-ES"/>
        </w:rPr>
        <w:t>Tema 5 del programa</w:t>
      </w:r>
    </w:p>
    <w:p w:rsidR="00220D81" w:rsidRPr="005D29CB" w:rsidRDefault="00220D81">
      <w:pPr>
        <w:pStyle w:val="NormalWeb"/>
        <w:spacing w:before="240" w:beforeAutospacing="0" w:after="240" w:afterAutospacing="0"/>
        <w:jc w:val="center"/>
        <w:rPr>
          <w:rFonts w:eastAsia="Times New Roman"/>
          <w:b/>
          <w:bCs/>
          <w:caps/>
          <w:sz w:val="22"/>
          <w:szCs w:val="22"/>
          <w:lang w:val="es-ES"/>
        </w:rPr>
      </w:pPr>
      <w:r w:rsidRPr="005D29CB">
        <w:rPr>
          <w:rFonts w:eastAsia="Times New Roman"/>
          <w:b/>
          <w:bCs/>
          <w:caps/>
          <w:sz w:val="22"/>
          <w:szCs w:val="22"/>
          <w:lang w:val="es-ES"/>
        </w:rPr>
        <w:t>DECISIÓN ADOPTADA POR LAS PARTES EN EL Protocolo de Nagoya sobre Acceso y Participación en los Beneficios</w:t>
      </w:r>
    </w:p>
    <w:p w:rsidR="00220D81" w:rsidRPr="005D29CB" w:rsidRDefault="00220D81">
      <w:pPr>
        <w:spacing w:before="240" w:after="240"/>
        <w:jc w:val="center"/>
        <w:outlineLvl w:val="1"/>
        <w:rPr>
          <w:rFonts w:eastAsia="Times New Roman"/>
          <w:caps/>
          <w:lang w:val="es-ES"/>
        </w:rPr>
      </w:pPr>
      <w:r w:rsidRPr="005D29CB">
        <w:rPr>
          <w:rFonts w:eastAsia="Times New Roman"/>
          <w:b/>
          <w:bCs/>
          <w:lang w:val="es-ES"/>
        </w:rPr>
        <w:t>NP-4/2.</w:t>
      </w:r>
      <w:r w:rsidRPr="005D29CB">
        <w:rPr>
          <w:rFonts w:eastAsia="Times New Roman"/>
          <w:b/>
          <w:bCs/>
          <w:lang w:val="es-ES"/>
        </w:rPr>
        <w:tab/>
      </w:r>
      <w:r w:rsidRPr="005D29CB">
        <w:rPr>
          <w:rFonts w:eastAsia="Times New Roman"/>
          <w:b/>
          <w:bCs/>
          <w:lang w:val="es-ES"/>
        </w:rPr>
        <w:tab/>
        <w:t>Cumplimiento del Protocolo</w:t>
      </w:r>
    </w:p>
    <w:p w:rsidR="00220D81" w:rsidRPr="005D29CB" w:rsidRDefault="00220D81">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5D29CB">
        <w:rPr>
          <w:rFonts w:eastAsia="Times New Roman"/>
          <w:i/>
          <w:iCs/>
          <w:kern w:val="22"/>
          <w:lang w:val="es-ES"/>
        </w:rPr>
        <w:t>La Conferencia de las Partes que actúa como reunión de las Partes en el Protocolo de Nagoya</w:t>
      </w:r>
    </w:p>
    <w:p w:rsidR="00220D81" w:rsidRPr="005D29CB" w:rsidRDefault="00220D81">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5D29CB">
        <w:rPr>
          <w:rFonts w:eastAsia="Times New Roman"/>
          <w:kern w:val="22"/>
          <w:lang w:val="es-ES"/>
        </w:rPr>
        <w:t>1.</w:t>
      </w:r>
      <w:r w:rsidRPr="005D29CB">
        <w:rPr>
          <w:rFonts w:eastAsia="Times New Roman"/>
          <w:kern w:val="22"/>
          <w:lang w:val="es-ES"/>
        </w:rPr>
        <w:tab/>
      </w:r>
      <w:r w:rsidRPr="005D29CB">
        <w:rPr>
          <w:rFonts w:eastAsia="Times New Roman"/>
          <w:i/>
          <w:iCs/>
          <w:kern w:val="22"/>
          <w:lang w:val="es-ES"/>
        </w:rPr>
        <w:t>Acoge con aprecio</w:t>
      </w:r>
      <w:r w:rsidRPr="005D29CB">
        <w:rPr>
          <w:rFonts w:eastAsia="Times New Roman"/>
          <w:kern w:val="22"/>
          <w:lang w:val="es-ES"/>
        </w:rPr>
        <w:t xml:space="preserve"> los progresos </w:t>
      </w:r>
      <w:r w:rsidR="008B3E8C">
        <w:rPr>
          <w:rFonts w:eastAsia="Times New Roman"/>
          <w:kern w:val="22"/>
          <w:lang w:val="es-ES"/>
        </w:rPr>
        <w:t>alcanzados</w:t>
      </w:r>
      <w:r w:rsidRPr="005D29CB">
        <w:rPr>
          <w:rFonts w:eastAsia="Times New Roman"/>
          <w:kern w:val="22"/>
          <w:lang w:val="es-ES"/>
        </w:rPr>
        <w:t xml:space="preserve"> por las Partes en la aplicación del Protocolo;</w:t>
      </w:r>
    </w:p>
    <w:p w:rsidR="00220D81" w:rsidRPr="005D29CB" w:rsidRDefault="00220D81">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5D29CB">
        <w:rPr>
          <w:rFonts w:eastAsia="Times New Roman"/>
          <w:kern w:val="22"/>
          <w:lang w:val="es-ES"/>
        </w:rPr>
        <w:t>2.</w:t>
      </w:r>
      <w:r w:rsidRPr="005D29CB">
        <w:rPr>
          <w:rFonts w:eastAsia="Times New Roman"/>
          <w:kern w:val="22"/>
          <w:lang w:val="es-ES"/>
        </w:rPr>
        <w:tab/>
      </w:r>
      <w:r w:rsidRPr="005D29CB">
        <w:rPr>
          <w:rFonts w:eastAsia="Times New Roman"/>
          <w:i/>
          <w:iCs/>
          <w:kern w:val="22"/>
          <w:lang w:val="es-ES"/>
        </w:rPr>
        <w:t>Insta</w:t>
      </w:r>
      <w:r w:rsidRPr="005D29CB">
        <w:rPr>
          <w:rFonts w:eastAsia="Times New Roman"/>
          <w:kern w:val="22"/>
          <w:lang w:val="es-ES"/>
        </w:rPr>
        <w:t xml:space="preserve"> a las Partes </w:t>
      </w:r>
      <w:r w:rsidR="00496F06">
        <w:rPr>
          <w:rFonts w:eastAsia="Times New Roman"/>
          <w:kern w:val="22"/>
          <w:lang w:val="es-ES"/>
        </w:rPr>
        <w:t xml:space="preserve">que </w:t>
      </w:r>
      <w:r w:rsidRPr="005D29CB">
        <w:rPr>
          <w:rFonts w:eastAsia="Times New Roman"/>
          <w:kern w:val="22"/>
          <w:lang w:val="es-ES"/>
        </w:rPr>
        <w:t>correspond</w:t>
      </w:r>
      <w:r w:rsidR="00496F06">
        <w:rPr>
          <w:rFonts w:eastAsia="Times New Roman"/>
          <w:kern w:val="22"/>
          <w:lang w:val="es-ES"/>
        </w:rPr>
        <w:t>a</w:t>
      </w:r>
      <w:r w:rsidRPr="005D29CB">
        <w:rPr>
          <w:rFonts w:eastAsia="Times New Roman"/>
          <w:kern w:val="22"/>
          <w:lang w:val="es-ES"/>
        </w:rPr>
        <w:t xml:space="preserve"> a que aceleren la adopción y la aplicación de medidas legislativas, administrativas o de políticas y arreglos institucionales </w:t>
      </w:r>
      <w:r w:rsidR="008B3E8C">
        <w:rPr>
          <w:rFonts w:eastAsia="Times New Roman"/>
          <w:kern w:val="22"/>
          <w:lang w:val="es-ES"/>
        </w:rPr>
        <w:t xml:space="preserve">en materia </w:t>
      </w:r>
      <w:r w:rsidRPr="005D29CB">
        <w:rPr>
          <w:rFonts w:eastAsia="Times New Roman"/>
          <w:kern w:val="22"/>
          <w:lang w:val="es-ES"/>
        </w:rPr>
        <w:t xml:space="preserve">de acceso y participación en los beneficios, entre </w:t>
      </w:r>
      <w:r w:rsidR="00496F06">
        <w:rPr>
          <w:rFonts w:eastAsia="Times New Roman"/>
          <w:kern w:val="22"/>
          <w:lang w:val="es-ES"/>
        </w:rPr>
        <w:t>otras cosas</w:t>
      </w:r>
      <w:r w:rsidRPr="005D29CB">
        <w:rPr>
          <w:rFonts w:eastAsia="Times New Roman"/>
          <w:kern w:val="22"/>
          <w:lang w:val="es-ES"/>
        </w:rPr>
        <w:t>, la designación de puntos de verificación, de conformidad con el Protocolo;</w:t>
      </w:r>
    </w:p>
    <w:p w:rsidR="00220D81" w:rsidRPr="005D29CB" w:rsidRDefault="00220D81">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5D29CB">
        <w:rPr>
          <w:rFonts w:eastAsia="Times New Roman"/>
          <w:kern w:val="22"/>
          <w:lang w:val="es-ES"/>
        </w:rPr>
        <w:t>3.</w:t>
      </w:r>
      <w:r w:rsidRPr="005D29CB">
        <w:rPr>
          <w:rFonts w:eastAsia="Times New Roman"/>
          <w:kern w:val="22"/>
          <w:lang w:val="es-ES"/>
        </w:rPr>
        <w:tab/>
      </w:r>
      <w:r w:rsidRPr="005D29CB">
        <w:rPr>
          <w:rFonts w:eastAsia="Times New Roman"/>
          <w:i/>
          <w:iCs/>
          <w:kern w:val="22"/>
          <w:lang w:val="es-ES"/>
        </w:rPr>
        <w:t>Insta también</w:t>
      </w:r>
      <w:r w:rsidRPr="005D29CB">
        <w:rPr>
          <w:rFonts w:eastAsia="Times New Roman"/>
          <w:kern w:val="22"/>
          <w:lang w:val="es-ES"/>
        </w:rPr>
        <w:t xml:space="preserve"> a aquellas Partes que tengan información nacional pertinente que, con arreglo al artículo</w:t>
      </w:r>
      <w:r w:rsidR="008B3E8C">
        <w:rPr>
          <w:rFonts w:eastAsia="Times New Roman"/>
          <w:kern w:val="22"/>
          <w:lang w:val="es-ES"/>
        </w:rPr>
        <w:t> </w:t>
      </w:r>
      <w:r w:rsidRPr="005D29CB">
        <w:rPr>
          <w:rFonts w:eastAsia="Times New Roman"/>
          <w:kern w:val="22"/>
          <w:lang w:val="es-ES"/>
        </w:rPr>
        <w:t>14</w:t>
      </w:r>
      <w:r w:rsidR="00496F06">
        <w:rPr>
          <w:rFonts w:eastAsia="Times New Roman"/>
          <w:kern w:val="22"/>
          <w:lang w:val="es-ES"/>
        </w:rPr>
        <w:t xml:space="preserve">, </w:t>
      </w:r>
      <w:r w:rsidR="00496F06" w:rsidRPr="005D29CB">
        <w:rPr>
          <w:rFonts w:eastAsia="Times New Roman"/>
          <w:kern w:val="22"/>
          <w:lang w:val="es-ES"/>
        </w:rPr>
        <w:t>párrafo</w:t>
      </w:r>
      <w:r w:rsidR="00496F06">
        <w:rPr>
          <w:rFonts w:eastAsia="Times New Roman"/>
          <w:kern w:val="22"/>
          <w:lang w:val="es-ES"/>
        </w:rPr>
        <w:t> 2,</w:t>
      </w:r>
      <w:r w:rsidRPr="005D29CB">
        <w:rPr>
          <w:rFonts w:eastAsia="Times New Roman"/>
          <w:kern w:val="22"/>
          <w:lang w:val="es-ES"/>
        </w:rPr>
        <w:t xml:space="preserve"> del Protocolo, deba ser facilitada al Centro de Intercambio de Información sobre Acceso y Participación en los Beneficios, a que faciliten dicha información lo antes posible;</w:t>
      </w:r>
    </w:p>
    <w:p w:rsidR="00220D81" w:rsidRPr="005D29CB" w:rsidRDefault="00220D81">
      <w:pPr>
        <w:suppressLineNumbers/>
        <w:suppressAutoHyphens/>
        <w:kinsoku w:val="0"/>
        <w:overflowPunct w:val="0"/>
        <w:autoSpaceDE w:val="0"/>
        <w:autoSpaceDN w:val="0"/>
        <w:adjustRightInd w:val="0"/>
        <w:snapToGrid w:val="0"/>
        <w:spacing w:before="120" w:after="120"/>
        <w:ind w:firstLine="720"/>
        <w:rPr>
          <w:rFonts w:eastAsia="Times New Roman"/>
          <w:lang w:val="es-ES"/>
        </w:rPr>
      </w:pPr>
      <w:r w:rsidRPr="005D29CB">
        <w:rPr>
          <w:rFonts w:eastAsia="Times New Roman"/>
          <w:kern w:val="22"/>
          <w:lang w:val="es-ES"/>
        </w:rPr>
        <w:t>4.</w:t>
      </w:r>
      <w:r w:rsidRPr="005D29CB">
        <w:rPr>
          <w:rFonts w:eastAsia="Times New Roman"/>
          <w:kern w:val="22"/>
          <w:lang w:val="es-ES"/>
        </w:rPr>
        <w:tab/>
      </w:r>
      <w:r w:rsidRPr="005D29CB">
        <w:rPr>
          <w:rFonts w:eastAsia="Times New Roman"/>
          <w:i/>
          <w:iCs/>
          <w:lang w:val="es-ES"/>
        </w:rPr>
        <w:t>Reconoce</w:t>
      </w:r>
      <w:r w:rsidRPr="005D29CB">
        <w:rPr>
          <w:rFonts w:eastAsia="Times New Roman"/>
          <w:lang w:val="es-ES"/>
        </w:rPr>
        <w:t xml:space="preserve"> la necesidad de ampliar la creación y el desarrollo de capacidad, la cooperación científica y técnica, la transferencia de tecnología y la movilización de recursos para acelerar la puesta en práctica del Protocolo e invita a las Partes, otros Gobiernos, donantes y organizaciones pertinentes a proporcionar recursos adicionales y a prestar apoyar para la aplicación del Protocolo, en particular en los </w:t>
      </w:r>
      <w:r w:rsidR="008B3E8C">
        <w:rPr>
          <w:rFonts w:eastAsia="Times New Roman"/>
          <w:lang w:val="es-ES"/>
        </w:rPr>
        <w:t>país</w:t>
      </w:r>
      <w:r w:rsidRPr="005D29CB">
        <w:rPr>
          <w:rFonts w:eastAsia="Times New Roman"/>
          <w:lang w:val="es-ES"/>
        </w:rPr>
        <w:t>es en desarrollo, incluidos los países con economías en transición, los pequeños Estados insulares en desarrollo y los países menos adelantados;</w:t>
      </w:r>
    </w:p>
    <w:p w:rsidR="00220D81" w:rsidRPr="005D29CB" w:rsidRDefault="00220D81">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5D29CB">
        <w:rPr>
          <w:rFonts w:eastAsia="Times New Roman"/>
          <w:kern w:val="22"/>
          <w:lang w:val="es-ES"/>
        </w:rPr>
        <w:t>5.</w:t>
      </w:r>
      <w:r w:rsidRPr="005D29CB">
        <w:rPr>
          <w:rFonts w:eastAsia="Times New Roman"/>
          <w:kern w:val="22"/>
          <w:lang w:val="es-ES"/>
        </w:rPr>
        <w:tab/>
      </w:r>
      <w:r w:rsidRPr="005D29CB">
        <w:rPr>
          <w:rFonts w:eastAsia="Times New Roman"/>
          <w:i/>
          <w:iCs/>
          <w:kern w:val="22"/>
          <w:lang w:val="es-ES"/>
        </w:rPr>
        <w:t>Acoge con satisfacción</w:t>
      </w:r>
      <w:r w:rsidRPr="005D29CB">
        <w:rPr>
          <w:rFonts w:eastAsia="Times New Roman"/>
          <w:kern w:val="22"/>
          <w:lang w:val="es-ES"/>
        </w:rPr>
        <w:t xml:space="preserve"> la presentación de otros 11 informes nacionales desde la última reunión de las Partes en el Protocolo;</w:t>
      </w:r>
    </w:p>
    <w:p w:rsidR="00220D81" w:rsidRPr="005D29CB" w:rsidRDefault="00220D81">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5D29CB">
        <w:rPr>
          <w:rFonts w:eastAsia="Times New Roman"/>
          <w:kern w:val="22"/>
          <w:lang w:val="es-ES"/>
        </w:rPr>
        <w:t>6.</w:t>
      </w:r>
      <w:r w:rsidRPr="005D29CB">
        <w:rPr>
          <w:rFonts w:eastAsia="Times New Roman"/>
          <w:kern w:val="22"/>
          <w:lang w:val="es-ES"/>
        </w:rPr>
        <w:tab/>
      </w:r>
      <w:r w:rsidRPr="005D29CB">
        <w:rPr>
          <w:rFonts w:eastAsia="Times New Roman"/>
          <w:i/>
          <w:iCs/>
          <w:kern w:val="22"/>
          <w:lang w:val="es-ES"/>
        </w:rPr>
        <w:t>Expresa su agradecimiento</w:t>
      </w:r>
      <w:r w:rsidRPr="005D29CB">
        <w:rPr>
          <w:rFonts w:eastAsia="Times New Roman"/>
          <w:kern w:val="22"/>
          <w:lang w:val="es-ES"/>
        </w:rPr>
        <w:t xml:space="preserve"> a aquellos Estados que no son Parte en el Protocolo que presentaron informes nacionales sobre el cumplimiento de los requisitos del Protocolo de Nagoya;</w:t>
      </w:r>
    </w:p>
    <w:p w:rsidR="00220D81" w:rsidRPr="005D29CB" w:rsidRDefault="00220D81">
      <w:pPr>
        <w:suppressLineNumbers/>
        <w:suppressAutoHyphens/>
        <w:kinsoku w:val="0"/>
        <w:overflowPunct w:val="0"/>
        <w:autoSpaceDE w:val="0"/>
        <w:autoSpaceDN w:val="0"/>
        <w:adjustRightInd w:val="0"/>
        <w:snapToGrid w:val="0"/>
        <w:spacing w:before="120" w:after="120"/>
        <w:ind w:firstLine="720"/>
        <w:rPr>
          <w:rFonts w:eastAsia="Times New Roman"/>
          <w:spacing w:val="-8"/>
          <w:kern w:val="22"/>
          <w:lang w:val="es-ES"/>
        </w:rPr>
      </w:pPr>
      <w:r w:rsidRPr="005D29CB">
        <w:rPr>
          <w:rFonts w:eastAsia="Times New Roman"/>
          <w:spacing w:val="-8"/>
          <w:kern w:val="22"/>
          <w:lang w:val="es-ES"/>
        </w:rPr>
        <w:t>7.</w:t>
      </w:r>
      <w:r w:rsidRPr="005D29CB">
        <w:rPr>
          <w:rFonts w:eastAsia="Times New Roman"/>
          <w:spacing w:val="-8"/>
          <w:kern w:val="22"/>
          <w:lang w:val="es-ES"/>
        </w:rPr>
        <w:tab/>
      </w:r>
      <w:r w:rsidRPr="005D29CB">
        <w:rPr>
          <w:rFonts w:eastAsia="Times New Roman"/>
          <w:i/>
          <w:iCs/>
          <w:kern w:val="22"/>
          <w:lang w:val="es-ES"/>
        </w:rPr>
        <w:t>Insta</w:t>
      </w:r>
      <w:r w:rsidRPr="005D29CB">
        <w:rPr>
          <w:rFonts w:eastAsia="Times New Roman"/>
          <w:kern w:val="22"/>
          <w:lang w:val="es-ES"/>
        </w:rPr>
        <w:t xml:space="preserve"> a las Partes que aún no lo hayan hecho a que presenten sus informes nacionales sin más demora;</w:t>
      </w:r>
    </w:p>
    <w:p w:rsidR="00220D81" w:rsidRPr="005D29CB" w:rsidRDefault="00220D81">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5D29CB">
        <w:rPr>
          <w:rFonts w:eastAsia="Times New Roman"/>
          <w:kern w:val="22"/>
          <w:lang w:val="es-ES"/>
        </w:rPr>
        <w:lastRenderedPageBreak/>
        <w:t>8.</w:t>
      </w:r>
      <w:r w:rsidRPr="005D29CB">
        <w:rPr>
          <w:rFonts w:eastAsia="Times New Roman"/>
          <w:kern w:val="22"/>
          <w:lang w:val="es-ES"/>
        </w:rPr>
        <w:tab/>
      </w:r>
      <w:r w:rsidRPr="005D29CB">
        <w:rPr>
          <w:rFonts w:eastAsia="Times New Roman"/>
          <w:i/>
          <w:iCs/>
          <w:lang w:val="es-ES"/>
        </w:rPr>
        <w:t>Alienta</w:t>
      </w:r>
      <w:r w:rsidRPr="005D29CB">
        <w:rPr>
          <w:rFonts w:eastAsia="Times New Roman"/>
          <w:lang w:val="es-ES"/>
        </w:rPr>
        <w:t xml:space="preserve"> a las Partes a que tomen </w:t>
      </w:r>
      <w:r w:rsidR="008B3E8C">
        <w:rPr>
          <w:rFonts w:eastAsia="Times New Roman"/>
          <w:lang w:val="es-ES"/>
        </w:rPr>
        <w:t>a</w:t>
      </w:r>
      <w:r w:rsidRPr="005D29CB">
        <w:rPr>
          <w:rFonts w:eastAsia="Times New Roman"/>
          <w:lang w:val="es-ES"/>
        </w:rPr>
        <w:t xml:space="preserve">l Marco Mundial de Biodiversidad de </w:t>
      </w:r>
      <w:r w:rsidRPr="005D29CB">
        <w:rPr>
          <w:rFonts w:eastAsia="Times New Roman"/>
          <w:color w:val="000000"/>
          <w:kern w:val="20"/>
          <w:lang w:val="es-ES"/>
        </w:rPr>
        <w:t>Kunming-Montreal</w:t>
      </w:r>
      <w:r w:rsidRPr="005D29CB">
        <w:rPr>
          <w:rFonts w:eastAsia="Times New Roman"/>
          <w:lang w:val="es-ES"/>
        </w:rPr>
        <w:t xml:space="preserve"> como una oportunidad para redoblar sus esfuerzos tendientes a cumplir eficazmente las obligaciones asumidas en virtud del Protocolo.</w:t>
      </w:r>
    </w:p>
    <w:p w:rsidR="00220D81" w:rsidRPr="005D29CB" w:rsidRDefault="00220D81">
      <w:pPr>
        <w:suppressLineNumbers/>
        <w:suppressAutoHyphens/>
        <w:kinsoku w:val="0"/>
        <w:overflowPunct w:val="0"/>
        <w:autoSpaceDE w:val="0"/>
        <w:autoSpaceDN w:val="0"/>
        <w:adjustRightInd w:val="0"/>
        <w:snapToGrid w:val="0"/>
        <w:spacing w:before="120" w:after="120"/>
        <w:ind w:firstLine="720"/>
        <w:rPr>
          <w:rFonts w:eastAsia="Times New Roman"/>
          <w:kern w:val="22"/>
          <w:lang w:val="es-ES"/>
        </w:rPr>
      </w:pPr>
      <w:r w:rsidRPr="005D29CB">
        <w:rPr>
          <w:rFonts w:eastAsia="Times New Roman"/>
          <w:kern w:val="22"/>
          <w:lang w:val="es-ES"/>
        </w:rPr>
        <w:t>9.</w:t>
      </w:r>
      <w:r w:rsidRPr="005D29CB">
        <w:rPr>
          <w:rFonts w:eastAsia="Times New Roman"/>
          <w:kern w:val="22"/>
          <w:lang w:val="es-ES"/>
        </w:rPr>
        <w:tab/>
      </w:r>
      <w:r w:rsidRPr="005D29CB">
        <w:rPr>
          <w:rFonts w:eastAsia="Times New Roman"/>
          <w:i/>
          <w:iCs/>
          <w:kern w:val="22"/>
          <w:lang w:val="es-ES"/>
        </w:rPr>
        <w:t>Recuerda</w:t>
      </w:r>
      <w:r w:rsidRPr="005D29CB">
        <w:rPr>
          <w:rFonts w:eastAsia="Times New Roman"/>
          <w:kern w:val="22"/>
          <w:lang w:val="es-ES"/>
        </w:rPr>
        <w:t xml:space="preserve"> la sección G de los procedimientos y mecanismos para el cumplimiento</w:t>
      </w:r>
      <w:r w:rsidRPr="005D29CB">
        <w:rPr>
          <w:rStyle w:val="FootnoteReference"/>
          <w:rFonts w:eastAsia="Times New Roman"/>
          <w:kern w:val="22"/>
          <w:lang w:val="es-ES"/>
        </w:rPr>
        <w:footnoteReference w:id="2"/>
      </w:r>
      <w:r w:rsidRPr="005D29CB">
        <w:rPr>
          <w:rFonts w:eastAsia="Times New Roman"/>
          <w:kern w:val="22"/>
          <w:lang w:val="es-ES"/>
        </w:rPr>
        <w:t xml:space="preserve">, donde se </w:t>
      </w:r>
      <w:r w:rsidR="008B3E8C">
        <w:rPr>
          <w:rFonts w:eastAsia="Times New Roman"/>
          <w:kern w:val="22"/>
          <w:lang w:val="es-ES"/>
        </w:rPr>
        <w:t>prevé la realización de</w:t>
      </w:r>
      <w:r w:rsidRPr="005D29CB">
        <w:rPr>
          <w:rFonts w:eastAsia="Times New Roman"/>
          <w:kern w:val="22"/>
          <w:lang w:val="es-ES"/>
        </w:rPr>
        <w:t xml:space="preserve"> una revisión de la eficacia de esos procedimientos y mecanismos como parte de la evaluación y revisión previstas en </w:t>
      </w:r>
      <w:r w:rsidR="008B3E8C">
        <w:rPr>
          <w:rFonts w:eastAsia="Times New Roman"/>
          <w:kern w:val="22"/>
          <w:lang w:val="es-ES"/>
        </w:rPr>
        <w:t>el artículo</w:t>
      </w:r>
      <w:r w:rsidRPr="005D29CB">
        <w:rPr>
          <w:rFonts w:eastAsia="Times New Roman"/>
          <w:kern w:val="22"/>
          <w:lang w:val="es-ES"/>
        </w:rPr>
        <w:t> 31 del Protocolo.</w:t>
      </w:r>
    </w:p>
    <w:p w:rsidR="00220D81" w:rsidRPr="005D29CB" w:rsidRDefault="00220D81">
      <w:pPr>
        <w:jc w:val="center"/>
        <w:rPr>
          <w:rFonts w:eastAsia="Times New Roman"/>
          <w:lang w:val="es-ES"/>
        </w:rPr>
      </w:pPr>
      <w:r w:rsidRPr="005D29CB">
        <w:rPr>
          <w:rFonts w:eastAsia="Times New Roman"/>
          <w:lang w:val="es-ES"/>
        </w:rPr>
        <w:t>__________</w:t>
      </w:r>
    </w:p>
    <w:sectPr w:rsidR="00220D81" w:rsidRPr="005D29CB">
      <w:headerReference w:type="even" r:id="rId10"/>
      <w:headerReference w:type="default" r:id="rId11"/>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D81" w:rsidRDefault="00220D81">
      <w:pPr>
        <w:rPr>
          <w:rFonts w:eastAsia="Times New Roman"/>
        </w:rPr>
      </w:pPr>
      <w:r>
        <w:rPr>
          <w:rFonts w:eastAsia="Times New Roman"/>
        </w:rPr>
        <w:separator/>
      </w:r>
    </w:p>
  </w:endnote>
  <w:endnote w:type="continuationSeparator" w:id="1">
    <w:p w:rsidR="00220D81" w:rsidRDefault="00220D81">
      <w:pPr>
        <w:rPr>
          <w:rFonts w:eastAsia="Times New Roman"/>
        </w:rPr>
      </w:pPr>
      <w:r>
        <w:rPr>
          <w:rFonts w:eastAsia="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D81" w:rsidRDefault="00220D81">
      <w:pPr>
        <w:rPr>
          <w:rFonts w:eastAsia="Times New Roman"/>
        </w:rPr>
      </w:pPr>
      <w:r>
        <w:rPr>
          <w:rFonts w:eastAsia="Times New Roman"/>
        </w:rPr>
        <w:separator/>
      </w:r>
    </w:p>
  </w:footnote>
  <w:footnote w:type="continuationSeparator" w:id="1">
    <w:p w:rsidR="00220D81" w:rsidRDefault="00220D81">
      <w:pPr>
        <w:rPr>
          <w:rFonts w:eastAsia="Times New Roman"/>
        </w:rPr>
      </w:pPr>
      <w:r>
        <w:rPr>
          <w:rFonts w:eastAsia="Times New Roman"/>
        </w:rPr>
        <w:continuationSeparator/>
      </w:r>
    </w:p>
  </w:footnote>
  <w:footnote w:id="2">
    <w:p w:rsidR="00220D81" w:rsidRPr="005D29CB" w:rsidRDefault="00220D81">
      <w:pPr>
        <w:pStyle w:val="FootnoteText"/>
        <w:ind w:firstLine="0"/>
        <w:jc w:val="left"/>
        <w:rPr>
          <w:rFonts w:eastAsia="Times New Roman"/>
          <w:lang w:val="es-ES"/>
        </w:rPr>
      </w:pPr>
      <w:r w:rsidRPr="005D29CB">
        <w:rPr>
          <w:rStyle w:val="FootnoteReference"/>
          <w:rFonts w:eastAsia="Times New Roman"/>
          <w:lang w:val="es-ES"/>
        </w:rPr>
        <w:footnoteRef/>
      </w:r>
      <w:r w:rsidRPr="005D29CB">
        <w:rPr>
          <w:rFonts w:eastAsia="Times New Roman"/>
          <w:lang w:val="es-ES"/>
        </w:rPr>
        <w:t xml:space="preserve"> Decisión </w:t>
      </w:r>
      <w:hyperlink r:id="rId1" w:history="1">
        <w:r w:rsidRPr="005D29CB">
          <w:rPr>
            <w:rFonts w:eastAsia="Times New Roman"/>
            <w:lang w:val="es-ES"/>
          </w:rPr>
          <w:t>NP-1/4</w:t>
        </w:r>
      </w:hyperlink>
      <w:r w:rsidRPr="005D29CB">
        <w:rPr>
          <w:rFonts w:eastAsia="Times New Roman"/>
          <w:lang w:val="es-ES"/>
        </w:rPr>
        <w:t>, anexo.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D81" w:rsidRDefault="00220D81">
    <w:pPr>
      <w:rPr>
        <w:rFonts w:eastAsia="Times New Roman"/>
        <w:lang/>
      </w:rPr>
    </w:pPr>
    <w:r>
      <w:rPr>
        <w:rFonts w:eastAsia="Times New Roman"/>
        <w:noProof/>
        <w:kern w:val="22"/>
        <w:lang/>
      </w:rPr>
      <w:t>CBD/NP/MOP/DEC/4/2</w:t>
    </w:r>
  </w:p>
  <w:p w:rsidR="00220D81" w:rsidRDefault="00220D81">
    <w:pPr>
      <w:pStyle w:val="Header"/>
      <w:rPr>
        <w:rFonts w:eastAsia="Times New Roman"/>
        <w:lang/>
      </w:rPr>
    </w:pPr>
    <w:r>
      <w:rPr>
        <w:rFonts w:eastAsia="Times New Roman"/>
        <w:lang/>
      </w:rPr>
      <w:t xml:space="preserve">Página </w:t>
    </w:r>
    <w:r>
      <w:rPr>
        <w:rFonts w:eastAsia="Times New Roman"/>
        <w:lang/>
      </w:rPr>
      <w:fldChar w:fldCharType="begin"/>
    </w:r>
    <w:r>
      <w:rPr>
        <w:rFonts w:eastAsia="Times New Roman"/>
        <w:lang/>
      </w:rPr>
      <w:instrText xml:space="preserve"> PAGE   \* MERGEFORMAT </w:instrText>
    </w:r>
    <w:r>
      <w:rPr>
        <w:rFonts w:eastAsia="Times New Roman"/>
        <w:lang/>
      </w:rPr>
      <w:fldChar w:fldCharType="separate"/>
    </w:r>
    <w:r w:rsidR="001B2128" w:rsidRPr="001B2128">
      <w:rPr>
        <w:rFonts w:eastAsia="Times New Roman"/>
        <w:noProof/>
      </w:rPr>
      <w:t>2</w:t>
    </w:r>
    <w:r>
      <w:rPr>
        <w:rFonts w:eastAsia="Times New Roman"/>
        <w:lang/>
      </w:rPr>
      <w:fldChar w:fldCharType="end"/>
    </w:r>
  </w:p>
  <w:p w:rsidR="00220D81" w:rsidRDefault="00220D81">
    <w:pPr>
      <w:pStyle w:val="Header"/>
      <w:rPr>
        <w:rFonts w:eastAsia="Times New Roman"/>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D81" w:rsidRDefault="00220D81">
    <w:pPr>
      <w:pStyle w:val="Header"/>
      <w:jc w:val="right"/>
      <w:rPr>
        <w:rFonts w:eastAsia="Times New Roman"/>
        <w:lang w:val="fr-CA"/>
      </w:rPr>
    </w:pPr>
    <w:r>
      <w:rPr>
        <w:rFonts w:eastAsia="Times New Roman"/>
        <w:noProof/>
        <w:lang w:val="fr-CA"/>
      </w:rPr>
      <w:t>CBD/NP/MOP/DEC/4/2</w:t>
    </w:r>
  </w:p>
  <w:p w:rsidR="00220D81" w:rsidRDefault="00220D81">
    <w:pPr>
      <w:pStyle w:val="Header"/>
      <w:jc w:val="right"/>
      <w:rPr>
        <w:rFonts w:eastAsia="Times New Roman"/>
        <w:lang w:val="fr-CA"/>
      </w:rPr>
    </w:pPr>
    <w:r>
      <w:rPr>
        <w:rFonts w:eastAsia="Times New Roman"/>
        <w:lang w:val="fr-CA"/>
      </w:rPr>
      <w:t xml:space="preserve">Page </w:t>
    </w:r>
    <w:r>
      <w:rPr>
        <w:rFonts w:eastAsia="Times New Roman"/>
        <w:lang w:val="fr-CA"/>
      </w:rPr>
      <w:fldChar w:fldCharType="begin"/>
    </w:r>
    <w:r>
      <w:rPr>
        <w:rFonts w:eastAsia="Times New Roman"/>
        <w:lang w:val="fr-CA"/>
      </w:rPr>
      <w:instrText xml:space="preserve"> PAGE   \* MERGEFORMAT </w:instrText>
    </w:r>
    <w:r>
      <w:rPr>
        <w:rFonts w:eastAsia="Times New Roman"/>
        <w:lang w:val="fr-CA"/>
      </w:rPr>
      <w:fldChar w:fldCharType="separate"/>
    </w:r>
    <w:r>
      <w:rPr>
        <w:rFonts w:eastAsia="Times New Roman"/>
        <w:noProof/>
      </w:rPr>
      <w:t>3</w:t>
    </w:r>
    <w:r>
      <w:rPr>
        <w:rFonts w:eastAsia="Times New Roman"/>
        <w:lang w:val="fr-CA"/>
      </w:rPr>
      <w:fldChar w:fldCharType="end"/>
    </w:r>
  </w:p>
  <w:p w:rsidR="00220D81" w:rsidRDefault="00220D81">
    <w:pPr>
      <w:pStyle w:val="Header"/>
      <w:rPr>
        <w:rFonts w:eastAsia="Times New Roman"/>
        <w:lang w:val="fr-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pPr>
      <w:rPr>
        <w:rFonts w:hint="default"/>
      </w:rPr>
    </w:lvl>
    <w:lvl w:ilvl="1" w:tplc="561613B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oNotHyphenateCaps/>
  <w:evenAndOddHeaders/>
  <w:characterSpacingControl w:val="doNotCompress"/>
  <w:doNotValidateAgainstSchema/>
  <w:doNotDemarcateInvalidXml/>
  <w:footnotePr>
    <w:footnote w:id="0"/>
    <w:footnote w:id="1"/>
  </w:footnotePr>
  <w:endnotePr>
    <w:endnote w:id="0"/>
    <w:endnote w:id="1"/>
  </w:endnotePr>
  <w:compat/>
  <w:rsids>
    <w:rsidRoot w:val="00C9161D"/>
    <w:rsid w:val="00001BAC"/>
    <w:rsid w:val="00020A25"/>
    <w:rsid w:val="00033331"/>
    <w:rsid w:val="0003492E"/>
    <w:rsid w:val="00070EDD"/>
    <w:rsid w:val="0007171B"/>
    <w:rsid w:val="00072F8C"/>
    <w:rsid w:val="000C64C2"/>
    <w:rsid w:val="000D705A"/>
    <w:rsid w:val="000E673A"/>
    <w:rsid w:val="000F74F5"/>
    <w:rsid w:val="001023F7"/>
    <w:rsid w:val="00102657"/>
    <w:rsid w:val="00105372"/>
    <w:rsid w:val="001226B6"/>
    <w:rsid w:val="001312AD"/>
    <w:rsid w:val="00131E7A"/>
    <w:rsid w:val="00133C24"/>
    <w:rsid w:val="00134846"/>
    <w:rsid w:val="00145456"/>
    <w:rsid w:val="00172AF6"/>
    <w:rsid w:val="00176CEE"/>
    <w:rsid w:val="00177942"/>
    <w:rsid w:val="00186DD8"/>
    <w:rsid w:val="0019241E"/>
    <w:rsid w:val="001B13FE"/>
    <w:rsid w:val="001B2128"/>
    <w:rsid w:val="001C5310"/>
    <w:rsid w:val="001C66B3"/>
    <w:rsid w:val="001D0830"/>
    <w:rsid w:val="001D64E3"/>
    <w:rsid w:val="001E38DB"/>
    <w:rsid w:val="0021699C"/>
    <w:rsid w:val="00220D81"/>
    <w:rsid w:val="002C4A79"/>
    <w:rsid w:val="0030169D"/>
    <w:rsid w:val="003060EB"/>
    <w:rsid w:val="003153EB"/>
    <w:rsid w:val="00315A40"/>
    <w:rsid w:val="00321985"/>
    <w:rsid w:val="00344104"/>
    <w:rsid w:val="00351205"/>
    <w:rsid w:val="0037135A"/>
    <w:rsid w:val="00372F74"/>
    <w:rsid w:val="00376CEB"/>
    <w:rsid w:val="003843D3"/>
    <w:rsid w:val="00386DD9"/>
    <w:rsid w:val="003A2249"/>
    <w:rsid w:val="003B7BB2"/>
    <w:rsid w:val="003C7CD1"/>
    <w:rsid w:val="003D3E86"/>
    <w:rsid w:val="003F7224"/>
    <w:rsid w:val="00427D21"/>
    <w:rsid w:val="0043028B"/>
    <w:rsid w:val="00437A8B"/>
    <w:rsid w:val="00441603"/>
    <w:rsid w:val="00462FE8"/>
    <w:rsid w:val="004644C2"/>
    <w:rsid w:val="00465783"/>
    <w:rsid w:val="00467F9C"/>
    <w:rsid w:val="004711D8"/>
    <w:rsid w:val="004741B3"/>
    <w:rsid w:val="00474FB1"/>
    <w:rsid w:val="00496F06"/>
    <w:rsid w:val="004B44DE"/>
    <w:rsid w:val="004B539A"/>
    <w:rsid w:val="004B7AE5"/>
    <w:rsid w:val="004C2F5E"/>
    <w:rsid w:val="004E188B"/>
    <w:rsid w:val="004F58DF"/>
    <w:rsid w:val="00506A58"/>
    <w:rsid w:val="00534681"/>
    <w:rsid w:val="00563442"/>
    <w:rsid w:val="00565B42"/>
    <w:rsid w:val="0059757C"/>
    <w:rsid w:val="005A59D8"/>
    <w:rsid w:val="005B465E"/>
    <w:rsid w:val="005B4ADC"/>
    <w:rsid w:val="005B4FF0"/>
    <w:rsid w:val="005B70AD"/>
    <w:rsid w:val="005C4CE6"/>
    <w:rsid w:val="005D0B51"/>
    <w:rsid w:val="005D29CB"/>
    <w:rsid w:val="005E0ED3"/>
    <w:rsid w:val="005F05A3"/>
    <w:rsid w:val="00604A13"/>
    <w:rsid w:val="006122BA"/>
    <w:rsid w:val="00615450"/>
    <w:rsid w:val="00636C60"/>
    <w:rsid w:val="0065796D"/>
    <w:rsid w:val="00660CB5"/>
    <w:rsid w:val="006A3A0D"/>
    <w:rsid w:val="006B2290"/>
    <w:rsid w:val="006E7A47"/>
    <w:rsid w:val="006F1419"/>
    <w:rsid w:val="006F22CA"/>
    <w:rsid w:val="00717D88"/>
    <w:rsid w:val="00786056"/>
    <w:rsid w:val="007868B5"/>
    <w:rsid w:val="007942D3"/>
    <w:rsid w:val="007B2099"/>
    <w:rsid w:val="007B6C09"/>
    <w:rsid w:val="007B7741"/>
    <w:rsid w:val="007C2143"/>
    <w:rsid w:val="007E09DA"/>
    <w:rsid w:val="007E0DA8"/>
    <w:rsid w:val="007E2A86"/>
    <w:rsid w:val="007E645B"/>
    <w:rsid w:val="007F7002"/>
    <w:rsid w:val="008044D2"/>
    <w:rsid w:val="00810A55"/>
    <w:rsid w:val="008178B6"/>
    <w:rsid w:val="0082485B"/>
    <w:rsid w:val="00825E8F"/>
    <w:rsid w:val="0083009D"/>
    <w:rsid w:val="00835C8E"/>
    <w:rsid w:val="00843ABF"/>
    <w:rsid w:val="008502AD"/>
    <w:rsid w:val="00857965"/>
    <w:rsid w:val="0086227E"/>
    <w:rsid w:val="00865B74"/>
    <w:rsid w:val="00873756"/>
    <w:rsid w:val="00876CE9"/>
    <w:rsid w:val="0087727D"/>
    <w:rsid w:val="008974F0"/>
    <w:rsid w:val="008B012A"/>
    <w:rsid w:val="008B168D"/>
    <w:rsid w:val="008B3E8C"/>
    <w:rsid w:val="008C6619"/>
    <w:rsid w:val="008D07BD"/>
    <w:rsid w:val="008D5920"/>
    <w:rsid w:val="0090000C"/>
    <w:rsid w:val="00906E17"/>
    <w:rsid w:val="00910961"/>
    <w:rsid w:val="00930BA1"/>
    <w:rsid w:val="0093169E"/>
    <w:rsid w:val="00937130"/>
    <w:rsid w:val="009505C9"/>
    <w:rsid w:val="00950752"/>
    <w:rsid w:val="00956289"/>
    <w:rsid w:val="00962D89"/>
    <w:rsid w:val="00966424"/>
    <w:rsid w:val="00970591"/>
    <w:rsid w:val="009801E1"/>
    <w:rsid w:val="00985A7F"/>
    <w:rsid w:val="00993C73"/>
    <w:rsid w:val="009A6A1C"/>
    <w:rsid w:val="009B70B9"/>
    <w:rsid w:val="009C0AF4"/>
    <w:rsid w:val="009C2DE6"/>
    <w:rsid w:val="009D1606"/>
    <w:rsid w:val="009E2D8E"/>
    <w:rsid w:val="009F50E3"/>
    <w:rsid w:val="00A1252A"/>
    <w:rsid w:val="00AA2395"/>
    <w:rsid w:val="00AA40ED"/>
    <w:rsid w:val="00AA6F92"/>
    <w:rsid w:val="00AB6934"/>
    <w:rsid w:val="00AC3CDE"/>
    <w:rsid w:val="00AD2710"/>
    <w:rsid w:val="00AD7FFC"/>
    <w:rsid w:val="00AF12FF"/>
    <w:rsid w:val="00AF42DE"/>
    <w:rsid w:val="00B22BB5"/>
    <w:rsid w:val="00B257EC"/>
    <w:rsid w:val="00B26ACD"/>
    <w:rsid w:val="00B3369F"/>
    <w:rsid w:val="00B94E6C"/>
    <w:rsid w:val="00BA33A0"/>
    <w:rsid w:val="00BB4606"/>
    <w:rsid w:val="00BD2F2A"/>
    <w:rsid w:val="00BF11F9"/>
    <w:rsid w:val="00C02B5C"/>
    <w:rsid w:val="00C07B8C"/>
    <w:rsid w:val="00C23C62"/>
    <w:rsid w:val="00C23D2F"/>
    <w:rsid w:val="00C443BD"/>
    <w:rsid w:val="00C451C5"/>
    <w:rsid w:val="00C56B11"/>
    <w:rsid w:val="00C65B1A"/>
    <w:rsid w:val="00C66973"/>
    <w:rsid w:val="00C9161D"/>
    <w:rsid w:val="00CA0C1D"/>
    <w:rsid w:val="00CC5B5C"/>
    <w:rsid w:val="00CF1848"/>
    <w:rsid w:val="00CF680A"/>
    <w:rsid w:val="00D11762"/>
    <w:rsid w:val="00D12044"/>
    <w:rsid w:val="00D30264"/>
    <w:rsid w:val="00D33EFC"/>
    <w:rsid w:val="00D372A5"/>
    <w:rsid w:val="00D40DBC"/>
    <w:rsid w:val="00D65F73"/>
    <w:rsid w:val="00D76A18"/>
    <w:rsid w:val="00D80849"/>
    <w:rsid w:val="00D82E8F"/>
    <w:rsid w:val="00DC4801"/>
    <w:rsid w:val="00DC4FC9"/>
    <w:rsid w:val="00DD118C"/>
    <w:rsid w:val="00DE02BF"/>
    <w:rsid w:val="00E023E2"/>
    <w:rsid w:val="00E155D4"/>
    <w:rsid w:val="00E427D6"/>
    <w:rsid w:val="00E43431"/>
    <w:rsid w:val="00E66235"/>
    <w:rsid w:val="00E735E1"/>
    <w:rsid w:val="00E83C24"/>
    <w:rsid w:val="00E8645F"/>
    <w:rsid w:val="00E871C7"/>
    <w:rsid w:val="00E9318D"/>
    <w:rsid w:val="00EB3DEB"/>
    <w:rsid w:val="00EC1F46"/>
    <w:rsid w:val="00EF15BD"/>
    <w:rsid w:val="00EF4181"/>
    <w:rsid w:val="00F53193"/>
    <w:rsid w:val="00F5357E"/>
    <w:rsid w:val="00F6586C"/>
    <w:rsid w:val="00F76CD4"/>
    <w:rsid w:val="00F94774"/>
    <w:rsid w:val="00FA0E9A"/>
    <w:rsid w:val="00FA568D"/>
    <w:rsid w:val="00FA663B"/>
    <w:rsid w:val="00FB2AE2"/>
    <w:rsid w:val="00FB5A31"/>
    <w:rsid w:val="00FC25F8"/>
    <w:rsid w:val="00FC53DB"/>
    <w:rsid w:val="00FC5FA8"/>
    <w:rsid w:val="00FD09C1"/>
    <w:rsid w:val="00FD4D94"/>
    <w:rsid w:val="00FE2131"/>
    <w:rsid w:val="00FE31C6"/>
    <w:rsid w:val="00FE7B68"/>
    <w:rsid w:val="02D79855"/>
    <w:rsid w:val="02F796AA"/>
    <w:rsid w:val="098E0786"/>
    <w:rsid w:val="0F61ECD4"/>
    <w:rsid w:val="1D73526F"/>
    <w:rsid w:val="1E58681D"/>
    <w:rsid w:val="1FFEA775"/>
    <w:rsid w:val="474F15B8"/>
    <w:rsid w:val="5BAAFB42"/>
    <w:rsid w:val="66F80632"/>
    <w:rsid w:val="6770E24F"/>
    <w:rsid w:val="68534D28"/>
    <w:rsid w:val="78986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footer" w:locked="1"/>
    <w:lsdException w:name="caption" w:locked="1" w:qFormat="1"/>
    <w:lsdException w:name="footnote reference" w:locked="1"/>
    <w:lsdException w:name="annotation reference" w:locked="1"/>
    <w:lsdException w:name="page number" w:locked="1"/>
    <w:lsdException w:name="endnote reference" w:locked="1"/>
    <w:lsdException w:name="endnote text" w:locked="1"/>
    <w:lsdException w:name="toa heading" w:locked="1"/>
    <w:lsdException w:name="Title" w:locked="1" w:qFormat="1"/>
    <w:lsdException w:name="Default Paragraph Font" w:locked="1"/>
    <w:lsdException w:name="Body Text" w:locked="1"/>
    <w:lsdException w:name="Body Text Indent" w:locked="1"/>
    <w:lsdException w:name="Subtitle" w:locked="1" w:qFormat="1"/>
    <w:lsdException w:name="Hyperlink" w:locked="1"/>
    <w:lsdException w:name="FollowedHyperlink"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Heading8Char"/>
    <w:qFormat/>
    <w:pPr>
      <w:jc w:val="both"/>
    </w:pPr>
    <w:rPr>
      <w:rFonts w:eastAsia="MS Mincho" w:cs="Times New Roman"/>
      <w:snapToGrid w:val="0"/>
      <w:sz w:val="22"/>
      <w:szCs w:val="22"/>
      <w:lang w:val="en-GB" w:eastAsia="ko-KR"/>
    </w:rPr>
  </w:style>
  <w:style w:type="paragraph" w:styleId="Heading1">
    <w:name w:val="heading 1"/>
    <w:basedOn w:val="Normal"/>
    <w:next w:val="Heading2"/>
    <w:qFormat/>
    <w:pPr>
      <w:keepNext/>
      <w:tabs>
        <w:tab w:val="left" w:pos="720"/>
      </w:tabs>
      <w:spacing w:before="240" w:after="120"/>
      <w:jc w:val="center"/>
      <w:outlineLvl w:val="0"/>
    </w:pPr>
    <w:rPr>
      <w:b/>
      <w:bCs/>
      <w:caps/>
    </w:rPr>
  </w:style>
  <w:style w:type="paragraph" w:styleId="Heading2">
    <w:name w:val="heading 2"/>
    <w:basedOn w:val="Normal"/>
    <w:next w:val="Normal"/>
    <w:link w:val="PlaceholderText"/>
    <w:qFormat/>
    <w:pPr>
      <w:keepNext/>
      <w:tabs>
        <w:tab w:val="left" w:pos="720"/>
      </w:tabs>
      <w:spacing w:before="120" w:after="120"/>
      <w:jc w:val="center"/>
      <w:outlineLvl w:val="1"/>
    </w:pPr>
    <w:rPr>
      <w:b/>
      <w:b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Times New Roman"/>
      <w:b/>
      <w:bCs/>
      <w:i/>
      <w:iCs/>
    </w:rPr>
  </w:style>
  <w:style w:type="paragraph" w:styleId="Heading5">
    <w:name w:val="heading 5"/>
    <w:basedOn w:val="Normal"/>
    <w:next w:val="Normal"/>
    <w:qFormat/>
    <w:pPr>
      <w:keepNext/>
      <w:numPr>
        <w:ilvl w:val="4"/>
        <w:numId w:val="1"/>
      </w:numPr>
      <w:spacing w:before="120" w:after="120"/>
      <w:jc w:val="left"/>
      <w:outlineLvl w:val="4"/>
    </w:pPr>
    <w:rPr>
      <w:i/>
      <w:iCs/>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b/>
      <w:bCs/>
      <w:sz w:val="28"/>
      <w:szCs w:val="28"/>
    </w:rPr>
  </w:style>
  <w:style w:type="paragraph" w:styleId="Heading8">
    <w:name w:val="heading 8"/>
    <w:basedOn w:val="Normal"/>
    <w:next w:val="Normal"/>
    <w:qFormat/>
    <w:pPr>
      <w:keepNext/>
      <w:jc w:val="right"/>
      <w:outlineLvl w:val="7"/>
    </w:pPr>
    <w:rPr>
      <w:b/>
      <w:bCs/>
      <w:sz w:val="32"/>
      <w:szCs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rFonts w:eastAsia="MS Mincho" w:cs="Times New Roman"/>
      <w:snapToGrid w:val="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semiHidden/>
    <w:rPr>
      <w:sz w:val="18"/>
      <w:szCs w:val="18"/>
    </w:rPr>
  </w:style>
  <w:style w:type="character" w:customStyle="1" w:styleId="BalloonTextChar">
    <w:name w:val="Balloon Text Char"/>
    <w:basedOn w:val="DefaultParagraphFont"/>
    <w:semiHidden/>
    <w:locked/>
    <w:rPr>
      <w:rFonts w:ascii="Times New Roman" w:hAnsi="Times New Roman" w:cs="Times New Roman"/>
      <w:sz w:val="18"/>
      <w:szCs w:val="18"/>
      <w:lang w:val="en-US"/>
    </w:rPr>
  </w:style>
  <w:style w:type="character" w:styleId="PlaceholderText">
    <w:name w:val="Placeholder Text"/>
    <w:aliases w:val="Heading 2 Char1"/>
    <w:basedOn w:val="DefaultParagraphFont"/>
    <w:link w:val="Heading2"/>
    <w:semiHidden/>
    <w:rPr>
      <w:color w:val="808080"/>
    </w:rPr>
  </w:style>
  <w:style w:type="paragraph" w:styleId="Header">
    <w:name w:val="header"/>
    <w:basedOn w:val="Normal"/>
    <w:pPr>
      <w:tabs>
        <w:tab w:val="center" w:pos="4320"/>
        <w:tab w:val="right" w:pos="8640"/>
      </w:tabs>
    </w:pPr>
  </w:style>
  <w:style w:type="character" w:customStyle="1" w:styleId="HeaderChar">
    <w:name w:val="Header Char"/>
    <w:basedOn w:val="DefaultParagraphFont"/>
    <w:locked/>
    <w:rPr>
      <w:rFonts w:ascii="Times New Roman" w:hAnsi="Times New Roman" w:cs="Times New Roman"/>
      <w:sz w:val="22"/>
      <w:szCs w:val="22"/>
      <w:lang w:val="en-GB"/>
    </w:rPr>
  </w:style>
  <w:style w:type="paragraph" w:styleId="Footer">
    <w:name w:val="footer"/>
    <w:basedOn w:val="Normal"/>
    <w:pPr>
      <w:tabs>
        <w:tab w:val="center" w:pos="4320"/>
        <w:tab w:val="right" w:pos="8640"/>
      </w:tabs>
      <w:ind w:firstLine="720"/>
      <w:jc w:val="right"/>
    </w:pPr>
  </w:style>
  <w:style w:type="character" w:customStyle="1" w:styleId="FooterChar">
    <w:name w:val="Footer Char"/>
    <w:basedOn w:val="DefaultParagraphFont"/>
    <w:locked/>
    <w:rPr>
      <w:rFonts w:ascii="Times New Roman" w:hAnsi="Times New Roman" w:cs="Times New Roman"/>
      <w:sz w:val="22"/>
      <w:szCs w:val="22"/>
      <w:lang w:val="en-GB"/>
    </w:rPr>
  </w:style>
  <w:style w:type="paragraph" w:customStyle="1" w:styleId="meetingname">
    <w:name w:val="meeting name"/>
    <w:basedOn w:val="Normal"/>
    <w:pPr>
      <w:ind w:left="142" w:right="4218" w:hanging="142"/>
    </w:pPr>
    <w:rPr>
      <w:caps/>
    </w:rPr>
  </w:style>
  <w:style w:type="paragraph" w:styleId="Title">
    <w:name w:val="Title"/>
    <w:basedOn w:val="Normal"/>
    <w:next w:val="Normal"/>
    <w:qFormat/>
    <w:pPr>
      <w:pBdr>
        <w:bottom w:val="single" w:sz="8" w:space="4" w:color="4F81BD"/>
      </w:pBdr>
      <w:spacing w:after="300"/>
    </w:pPr>
    <w:rPr>
      <w:rFonts w:eastAsia="Times New Roman"/>
      <w:color w:val="17365D"/>
      <w:spacing w:val="5"/>
      <w:kern w:val="28"/>
      <w:sz w:val="52"/>
      <w:szCs w:val="52"/>
    </w:rPr>
  </w:style>
  <w:style w:type="character" w:customStyle="1" w:styleId="TitleChar">
    <w:name w:val="Title Char"/>
    <w:basedOn w:val="DefaultParagraphFont"/>
    <w:locked/>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pPr>
      <w:numPr>
        <w:ilvl w:val="1"/>
      </w:numPr>
    </w:pPr>
    <w:rPr>
      <w:rFonts w:eastAsia="Times New Roman"/>
      <w:i/>
      <w:iCs/>
      <w:color w:val="4F81BD"/>
      <w:spacing w:val="15"/>
      <w:sz w:val="24"/>
      <w:szCs w:val="24"/>
    </w:rPr>
  </w:style>
  <w:style w:type="character" w:customStyle="1" w:styleId="SubtitleChar">
    <w:name w:val="Subtitle Char"/>
    <w:basedOn w:val="DefaultParagraphFont"/>
    <w:locked/>
    <w:rPr>
      <w:rFonts w:ascii="Times New Roman" w:eastAsia="Times New Roman" w:hAnsi="Times New Roman" w:cs="Times New Roman"/>
      <w:i/>
      <w:iCs/>
      <w:color w:val="4F81BD"/>
      <w:spacing w:val="15"/>
      <w:lang w:val="en-US"/>
    </w:rPr>
  </w:style>
  <w:style w:type="character" w:customStyle="1" w:styleId="Heading1Char">
    <w:name w:val="Heading 1 Char"/>
    <w:basedOn w:val="DefaultParagraphFont"/>
    <w:locked/>
    <w:rPr>
      <w:rFonts w:ascii="Times New Roman" w:hAnsi="Times New Roman" w:cs="Times New Roman"/>
      <w:b/>
      <w:bCs/>
      <w:caps/>
      <w:sz w:val="22"/>
      <w:szCs w:val="22"/>
      <w:lang w:val="en-GB"/>
    </w:rPr>
  </w:style>
  <w:style w:type="paragraph" w:styleId="BodyText">
    <w:name w:val="Body Text"/>
    <w:basedOn w:val="Normal"/>
    <w:pPr>
      <w:spacing w:before="120" w:after="120"/>
      <w:ind w:firstLine="720"/>
    </w:pPr>
  </w:style>
  <w:style w:type="character" w:customStyle="1" w:styleId="BalloonTextChar1">
    <w:name w:val="Balloon Text Char1"/>
    <w:basedOn w:val="DefaultParagraphFont"/>
    <w:link w:val="BalloonText"/>
    <w:locked/>
    <w:rPr>
      <w:rFonts w:ascii="Times New Roman" w:hAnsi="Times New Roman" w:cs="Times New Roman"/>
      <w:sz w:val="22"/>
      <w:szCs w:val="22"/>
      <w:lang w:val="en-GB"/>
    </w:rPr>
  </w:style>
  <w:style w:type="paragraph" w:styleId="BodyTextIndent">
    <w:name w:val="Body Text Indent"/>
    <w:basedOn w:val="Normal"/>
    <w:pPr>
      <w:spacing w:before="120" w:after="120"/>
      <w:ind w:left="1440" w:hanging="720"/>
      <w:jc w:val="left"/>
    </w:pPr>
  </w:style>
  <w:style w:type="character" w:customStyle="1" w:styleId="BodyTextIndentChar">
    <w:name w:val="Body Text Indent Char"/>
    <w:basedOn w:val="DefaultParagraphFont"/>
    <w:locked/>
    <w:rPr>
      <w:rFonts w:ascii="Times New Roman" w:hAnsi="Times New Roman" w:cs="Times New Roman"/>
      <w:sz w:val="22"/>
      <w:szCs w:val="22"/>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spacing w:after="120" w:line="240" w:lineRule="exact"/>
    </w:pPr>
  </w:style>
  <w:style w:type="character" w:customStyle="1" w:styleId="CommentTextChar">
    <w:name w:val="Comment Text Char"/>
    <w:basedOn w:val="DefaultParagraphFont"/>
    <w:semiHidden/>
    <w:locked/>
    <w:rPr>
      <w:rFonts w:ascii="Times New Roman" w:hAnsi="Times New Roman" w:cs="Times New Roman"/>
      <w:sz w:val="22"/>
      <w:szCs w:val="22"/>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semiHidden/>
    <w:locked/>
    <w:rPr>
      <w:rFonts w:ascii="Courier New" w:hAnsi="Courier New" w:cs="Courier New"/>
      <w:sz w:val="22"/>
      <w:szCs w:val="22"/>
      <w:lang w:val="en-GB"/>
    </w:rPr>
  </w:style>
  <w:style w:type="character" w:styleId="FollowedHyperlink">
    <w:name w:val="FollowedHyperlink"/>
    <w:basedOn w:val="DefaultParagraphFont"/>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semiHidden/>
    <w:locked/>
    <w:rPr>
      <w:sz w:val="22"/>
      <w:szCs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semiHidden/>
    <w:pPr>
      <w:keepLines/>
      <w:spacing w:after="60"/>
      <w:ind w:firstLine="720"/>
    </w:pPr>
    <w:rPr>
      <w:sz w:val="18"/>
      <w:szCs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ocked/>
    <w:rPr>
      <w:rFonts w:ascii="Times New Roman" w:hAnsi="Times New Roman" w:cs="Times New Roman"/>
      <w:sz w:val="18"/>
      <w:szCs w:val="18"/>
      <w:lang w:val="en-GB"/>
    </w:rPr>
  </w:style>
  <w:style w:type="paragraph" w:customStyle="1" w:styleId="HEADING">
    <w:name w:val="HEADING"/>
    <w:basedOn w:val="Normal"/>
    <w:pPr>
      <w:keepNext/>
      <w:spacing w:before="240" w:after="120"/>
      <w:jc w:val="center"/>
    </w:pPr>
    <w:rPr>
      <w:b/>
      <w:bCs/>
      <w:caps/>
    </w:rPr>
  </w:style>
  <w:style w:type="character" w:customStyle="1" w:styleId="Heading2Char">
    <w:name w:val="Heading 2 Char"/>
    <w:basedOn w:val="DefaultParagraphFont"/>
    <w:locked/>
    <w:rPr>
      <w:rFonts w:ascii="Times New Roman" w:hAnsi="Times New Roman" w:cs="Times New Roman"/>
      <w:b/>
      <w:bCs/>
      <w:sz w:val="22"/>
      <w:szCs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Heading3Char">
    <w:name w:val="Heading 3 Char"/>
    <w:basedOn w:val="DefaultParagraphFont"/>
    <w:locked/>
    <w:rPr>
      <w:rFonts w:ascii="Times New Roman" w:hAnsi="Times New Roman" w:cs="Times New Roman"/>
      <w:i/>
      <w:iCs/>
      <w:sz w:val="22"/>
      <w:szCs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Heading4Char">
    <w:name w:val="Heading 4 Char"/>
    <w:basedOn w:val="DefaultParagraphFont"/>
    <w:locked/>
    <w:rPr>
      <w:rFonts w:ascii="Times New Roman" w:eastAsia="Times New Roman" w:hAnsi="Times New Roman" w:cs="Times New Roman"/>
      <w:b/>
      <w:bCs/>
      <w:i/>
      <w:iCs/>
      <w:sz w:val="22"/>
      <w:szCs w:val="22"/>
      <w:lang w:val="en-GB"/>
    </w:rPr>
  </w:style>
  <w:style w:type="paragraph" w:customStyle="1" w:styleId="Heading4indent">
    <w:name w:val="Heading 4 indent"/>
    <w:basedOn w:val="Heading4"/>
    <w:pPr>
      <w:ind w:left="720"/>
      <w:outlineLvl w:val="9"/>
    </w:pPr>
  </w:style>
  <w:style w:type="character" w:customStyle="1" w:styleId="Heading5Char">
    <w:name w:val="Heading 5 Char"/>
    <w:basedOn w:val="DefaultParagraphFont"/>
    <w:locked/>
    <w:rPr>
      <w:rFonts w:ascii="Times New Roman" w:hAnsi="Times New Roman" w:cs="Times New Roman"/>
      <w:i/>
      <w:iCs/>
      <w:sz w:val="26"/>
      <w:szCs w:val="26"/>
      <w:lang w:val="en-CA"/>
    </w:rPr>
  </w:style>
  <w:style w:type="character" w:customStyle="1" w:styleId="Heading6Char">
    <w:name w:val="Heading 6 Char"/>
    <w:basedOn w:val="DefaultParagraphFont"/>
    <w:locked/>
    <w:rPr>
      <w:rFonts w:ascii="Times New Roman" w:hAnsi="Times New Roman" w:cs="Times New Roman"/>
      <w:sz w:val="22"/>
      <w:szCs w:val="22"/>
      <w:u w:val="single"/>
      <w:lang w:val="en-GB"/>
    </w:rPr>
  </w:style>
  <w:style w:type="character" w:customStyle="1" w:styleId="Heading7Char">
    <w:name w:val="Heading 7 Char"/>
    <w:basedOn w:val="DefaultParagraphFont"/>
    <w:locked/>
    <w:rPr>
      <w:rFonts w:ascii="Times New Roman" w:hAnsi="Times New Roman" w:cs="Times New Roman"/>
      <w:b/>
      <w:bCs/>
      <w:sz w:val="28"/>
      <w:szCs w:val="28"/>
      <w:lang w:val="en-GB"/>
    </w:rPr>
  </w:style>
  <w:style w:type="character" w:customStyle="1" w:styleId="Heading8Char">
    <w:name w:val="Heading 8 Char"/>
    <w:basedOn w:val="DefaultParagraphFont"/>
    <w:locked/>
    <w:rPr>
      <w:rFonts w:ascii="Times New Roman" w:hAnsi="Times New Roman" w:cs="Times New Roman"/>
      <w:b/>
      <w:bCs/>
      <w:sz w:val="32"/>
      <w:szCs w:val="32"/>
      <w:lang w:val="en-GB"/>
    </w:rPr>
  </w:style>
  <w:style w:type="character" w:customStyle="1" w:styleId="Heading9Char">
    <w:name w:val="Heading 9 Char"/>
    <w:basedOn w:val="DefaultParagraphFont"/>
    <w:locked/>
    <w:rPr>
      <w:rFonts w:ascii="Times New Roman" w:hAnsi="Times New Roman" w:cs="Times New Roman"/>
      <w:i/>
      <w:iCs/>
      <w:sz w:val="22"/>
      <w:szCs w:val="22"/>
      <w:lang w:val="en-GB"/>
    </w:rPr>
  </w:style>
  <w:style w:type="character" w:styleId="PageNumber">
    <w:name w:val="page number"/>
    <w:basedOn w:val="DefaultParagraphFont"/>
    <w:rPr>
      <w:rFonts w:ascii="Times New Roman" w:hAnsi="Times New Roman" w:cs="Times New Roman"/>
      <w:sz w:val="22"/>
      <w:szCs w:val="22"/>
    </w:rPr>
  </w:style>
  <w:style w:type="paragraph" w:customStyle="1" w:styleId="Para1">
    <w:name w:val="Para1"/>
    <w:basedOn w:val="Normal"/>
    <w:pPr>
      <w:numPr>
        <w:numId w:val="4"/>
      </w:numPr>
      <w:tabs>
        <w:tab w:val="clear" w:pos="360"/>
      </w:tabs>
      <w:spacing w:before="120" w:after="120"/>
    </w:p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5"/>
      </w:numPr>
      <w:tabs>
        <w:tab w:val="left" w:pos="1980"/>
      </w:tabs>
      <w:spacing w:before="80" w:after="80"/>
    </w:pPr>
  </w:style>
  <w:style w:type="paragraph" w:customStyle="1" w:styleId="para4">
    <w:name w:val="para4"/>
    <w:basedOn w:val="Normal"/>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pPr>
      <w:spacing w:before="120" w:after="120"/>
      <w:ind w:left="720" w:right="720"/>
    </w:pPr>
  </w:style>
  <w:style w:type="paragraph" w:customStyle="1" w:styleId="recommendationheader">
    <w:name w:val="recommendation header"/>
    <w:basedOn w:val="Heading2"/>
  </w:style>
  <w:style w:type="paragraph" w:customStyle="1" w:styleId="recommendationheaderlong">
    <w:name w:val="recommendation header long"/>
    <w:basedOn w:val="Heading2longmultiline"/>
  </w:style>
  <w:style w:type="paragraph" w:customStyle="1" w:styleId="reference">
    <w:name w:val="reference"/>
    <w:basedOn w:val="Heading9"/>
    <w:rPr>
      <w:i w:val="0"/>
      <w:iCs w:val="0"/>
      <w:sz w:val="18"/>
      <w:szCs w:val="18"/>
    </w:rPr>
  </w:style>
  <w:style w:type="character" w:customStyle="1" w:styleId="StyleFootnoteReferenceNounderline">
    <w:name w:val="Style Footnote Reference + No underline"/>
    <w:rPr>
      <w:sz w:val="18"/>
      <w:szCs w:val="18"/>
      <w:u w:val="none"/>
      <w:vertAlign w:val="baseline"/>
    </w:rPr>
  </w:style>
  <w:style w:type="paragraph" w:customStyle="1" w:styleId="tabletitle">
    <w:name w:val="table title"/>
    <w:basedOn w:val="Heading2"/>
    <w:pPr>
      <w:jc w:val="left"/>
      <w:outlineLvl w:val="9"/>
    </w:pPr>
    <w:rPr>
      <w:i/>
      <w:iCs/>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lang w:val="en-U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TOC9">
    <w:name w:val="toc 9"/>
    <w:basedOn w:val="Normal"/>
    <w:next w:val="Normal"/>
    <w:autoRedefine/>
    <w:semiHidden/>
    <w:pPr>
      <w:spacing w:before="120" w:after="120"/>
      <w:ind w:left="1760"/>
      <w:jc w:val="left"/>
    </w:pPr>
  </w:style>
  <w:style w:type="character" w:styleId="Hyperlink">
    <w:name w:val="Hyperlink"/>
    <w:basedOn w:val="DefaultParagraphFont"/>
    <w:rPr>
      <w:color w:val="0000FF"/>
      <w:sz w:val="18"/>
      <w:szCs w:val="18"/>
      <w:u w:val="single"/>
    </w:rPr>
  </w:style>
  <w:style w:type="character" w:customStyle="1" w:styleId="Para1Char">
    <w:name w:val="Para1 Char"/>
    <w:locked/>
    <w:rPr>
      <w:rFonts w:ascii="Times New Roman" w:hAnsi="Times New Roman" w:cs="Times New Roman"/>
      <w:snapToGrid w:val="0"/>
      <w:sz w:val="18"/>
      <w:szCs w:val="18"/>
      <w:lang w:val="en-GB"/>
    </w:rPr>
  </w:style>
  <w:style w:type="paragraph" w:customStyle="1" w:styleId="CBD-Doc-Type">
    <w:name w:val="CBD-Doc-Type"/>
    <w:basedOn w:val="Normal"/>
    <w:pPr>
      <w:keepLines/>
      <w:spacing w:before="240" w:after="120"/>
    </w:pPr>
    <w:rPr>
      <w:b/>
      <w:bCs/>
      <w:i/>
      <w:iCs/>
      <w:sz w:val="24"/>
      <w:szCs w:val="24"/>
    </w:rPr>
  </w:style>
  <w:style w:type="paragraph" w:customStyle="1" w:styleId="CBD-Doc">
    <w:name w:val="CBD-Doc"/>
    <w:basedOn w:val="Normal"/>
    <w:pPr>
      <w:keepLines/>
      <w:numPr>
        <w:numId w:val="9"/>
      </w:numPr>
      <w:spacing w:after="120"/>
    </w:pPr>
  </w:style>
  <w:style w:type="paragraph" w:styleId="ListParagraph">
    <w:name w:val="List Paragraph"/>
    <w:basedOn w:val="Normal"/>
    <w:qFormat/>
    <w:pPr>
      <w:ind w:left="720"/>
    </w:pPr>
  </w:style>
  <w:style w:type="paragraph" w:styleId="Caption">
    <w:name w:val="caption"/>
    <w:basedOn w:val="Normal"/>
    <w:next w:val="Normal"/>
    <w:qFormat/>
    <w:pPr>
      <w:keepNext/>
      <w:keepLines/>
      <w:spacing w:after="200"/>
    </w:pPr>
    <w:rPr>
      <w:b/>
      <w:bCs/>
    </w:rPr>
  </w:style>
  <w:style w:type="paragraph" w:customStyle="1" w:styleId="Style1">
    <w:name w:val="Style1"/>
    <w:basedOn w:val="Heading2"/>
    <w:rPr>
      <w:i/>
      <w:iC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pPr>
      <w:spacing w:after="160" w:line="240" w:lineRule="exact"/>
      <w:jc w:val="left"/>
    </w:pPr>
    <w:rPr>
      <w:vertAlign w:val="superscript"/>
      <w:lang w:val="en-US"/>
    </w:rPr>
  </w:style>
  <w:style w:type="paragraph" w:styleId="CommentSubject">
    <w:name w:val="annotation subject"/>
    <w:basedOn w:val="CommentText"/>
    <w:next w:val="CommentText"/>
    <w:semiHidden/>
    <w:pPr>
      <w:spacing w:after="0" w:line="240" w:lineRule="auto"/>
    </w:pPr>
    <w:rPr>
      <w:b/>
      <w:bCs/>
      <w:sz w:val="20"/>
      <w:szCs w:val="20"/>
    </w:rPr>
  </w:style>
  <w:style w:type="character" w:customStyle="1" w:styleId="CommentSubjectChar">
    <w:name w:val="Comment Subject Char"/>
    <w:basedOn w:val="CommentTextChar"/>
    <w:semiHidden/>
    <w:locked/>
    <w:rPr>
      <w:b/>
      <w:bCs/>
      <w:sz w:val="20"/>
      <w:szCs w:val="20"/>
    </w:rPr>
  </w:style>
  <w:style w:type="paragraph" w:styleId="Revision">
    <w:name w:val="Revision"/>
    <w:hidden/>
    <w:semiHidden/>
    <w:rPr>
      <w:rFonts w:eastAsia="MS Mincho" w:cs="Times New Roman"/>
      <w:snapToGrid w:val="0"/>
      <w:sz w:val="22"/>
      <w:szCs w:val="22"/>
      <w:lang w:val="en-GB" w:eastAsia="ko-KR"/>
    </w:rPr>
  </w:style>
  <w:style w:type="paragraph" w:styleId="NormalWeb">
    <w:name w:val="Normal (Web)"/>
    <w:basedOn w:val="Normal"/>
    <w:pPr>
      <w:spacing w:before="100" w:beforeAutospacing="1" w:after="100" w:afterAutospacing="1"/>
      <w:jc w:val="left"/>
    </w:pPr>
    <w:rPr>
      <w:sz w:val="24"/>
      <w:szCs w:val="24"/>
      <w:lang w:val="en-US"/>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np-mop-03/np-mop-03-dec-1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449</Words>
  <Characters>2412</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NP-4/2.		Compliance with the Protocol</vt:lpstr>
    </vt:vector>
  </TitlesOfParts>
  <Company>SCBD</Company>
  <LinksUpToDate>false</LinksUpToDate>
  <CharactersWithSpaces>2833</CharactersWithSpaces>
  <SharedDoc>false</SharedDoc>
  <HLinks>
    <vt:vector size="6" baseType="variant">
      <vt:variant>
        <vt:i4>7405613</vt:i4>
      </vt:variant>
      <vt:variant>
        <vt:i4>0</vt:i4>
      </vt:variant>
      <vt:variant>
        <vt:i4>0</vt:i4>
      </vt:variant>
      <vt:variant>
        <vt:i4>5</vt:i4>
      </vt:variant>
      <vt:variant>
        <vt:lpwstr>https://www.cbd.int/doc/decisions/np-mop-03/np-mop-03-dec-15-es.pdf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NP-4/2.		Compliance with the Protocol</dc:title>
  <dc:subject>CBD/NP/MOP/DEC/4/2</dc:subject>
  <dc:creator>SCBD</dc:creator>
  <cp:keywords>Decision adopted by the Parties to the Nagoya Protocol on Access and Benefit-sharing</cp:keywords>
  <cp:lastModifiedBy>Laura Perez</cp:lastModifiedBy>
  <cp:revision>5</cp:revision>
  <cp:lastPrinted>2020-01-21T16:56:00Z</cp:lastPrinted>
  <dcterms:created xsi:type="dcterms:W3CDTF">2023-02-20T19:23:00Z</dcterms:created>
  <dcterms:modified xsi:type="dcterms:W3CDTF">2023-02-20T20:07:00Z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