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F13560" w14:paraId="07F6750D" w14:textId="77777777" w:rsidTr="009C2DE6">
        <w:trPr>
          <w:trHeight w:val="851"/>
        </w:trPr>
        <w:tc>
          <w:tcPr>
            <w:tcW w:w="976" w:type="dxa"/>
            <w:tcBorders>
              <w:bottom w:val="single" w:sz="12" w:space="0" w:color="auto"/>
            </w:tcBorders>
          </w:tcPr>
          <w:p w14:paraId="1DEFF495" w14:textId="77777777" w:rsidR="00C9161D" w:rsidRPr="00F13560" w:rsidRDefault="00C9161D" w:rsidP="00321985">
            <w:pPr>
              <w:rPr>
                <w:lang w:val="fr-FR"/>
              </w:rPr>
            </w:pPr>
            <w:r w:rsidRPr="00F13560">
              <w:rPr>
                <w:noProof/>
                <w:lang w:val="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3F13E2FC" w:rsidR="00FA663B" w:rsidRPr="00F13560" w:rsidRDefault="004550B4" w:rsidP="00321985">
            <w:pPr>
              <w:rPr>
                <w:lang w:val="fr-FR"/>
              </w:rPr>
            </w:pPr>
            <w:r w:rsidRPr="00F13560">
              <w:rPr>
                <w:noProof/>
                <w:lang w:val="fr-FR" w:eastAsia="fr-CA"/>
              </w:rPr>
              <w:drawing>
                <wp:inline distT="0" distB="0" distL="0" distR="0" wp14:anchorId="78F7C0AD" wp14:editId="53A79299">
                  <wp:extent cx="593090" cy="3403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F13560" w:rsidRDefault="00C9161D" w:rsidP="00C9161D">
            <w:pPr>
              <w:jc w:val="right"/>
              <w:rPr>
                <w:rFonts w:ascii="Arial" w:hAnsi="Arial" w:cs="Arial"/>
                <w:b/>
                <w:sz w:val="32"/>
                <w:szCs w:val="32"/>
                <w:lang w:val="fr-FR"/>
              </w:rPr>
            </w:pPr>
            <w:r w:rsidRPr="00F13560">
              <w:rPr>
                <w:rFonts w:ascii="Arial" w:hAnsi="Arial" w:cs="Arial"/>
                <w:b/>
                <w:sz w:val="32"/>
                <w:szCs w:val="32"/>
                <w:lang w:val="fr-FR"/>
              </w:rPr>
              <w:t>CBD</w:t>
            </w:r>
          </w:p>
        </w:tc>
      </w:tr>
      <w:tr w:rsidR="00C9161D" w:rsidRPr="00F13560" w14:paraId="6F751905" w14:textId="77777777" w:rsidTr="00CF1848">
        <w:tc>
          <w:tcPr>
            <w:tcW w:w="6117" w:type="dxa"/>
            <w:gridSpan w:val="2"/>
            <w:tcBorders>
              <w:top w:val="single" w:sz="12" w:space="0" w:color="auto"/>
              <w:bottom w:val="single" w:sz="36" w:space="0" w:color="auto"/>
            </w:tcBorders>
            <w:vAlign w:val="center"/>
          </w:tcPr>
          <w:p w14:paraId="14F52A6C" w14:textId="3F111239" w:rsidR="00C9161D" w:rsidRPr="00F13560" w:rsidRDefault="004550B4" w:rsidP="00C9161D">
            <w:pPr>
              <w:rPr>
                <w:lang w:val="fr-FR"/>
              </w:rPr>
            </w:pPr>
            <w:r w:rsidRPr="00F13560">
              <w:rPr>
                <w:noProof/>
                <w:szCs w:val="22"/>
                <w:lang w:val="fr-FR" w:eastAsia="fr-CA"/>
              </w:rPr>
              <w:drawing>
                <wp:inline distT="0" distB="0" distL="0" distR="0" wp14:anchorId="0CF4F585" wp14:editId="2C7B9681">
                  <wp:extent cx="2358390" cy="939800"/>
                  <wp:effectExtent l="0" t="0" r="0" b="0"/>
                  <wp:docPr id="3"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F13560" w:rsidRDefault="00C9161D" w:rsidP="00176CEE">
            <w:pPr>
              <w:ind w:left="1215"/>
              <w:rPr>
                <w:szCs w:val="22"/>
                <w:lang w:val="fr-FR"/>
              </w:rPr>
            </w:pPr>
            <w:proofErr w:type="spellStart"/>
            <w:r w:rsidRPr="00F13560">
              <w:rPr>
                <w:szCs w:val="22"/>
                <w:lang w:val="fr-FR"/>
              </w:rPr>
              <w:t>Distr</w:t>
            </w:r>
            <w:proofErr w:type="spellEnd"/>
            <w:r w:rsidRPr="00F13560">
              <w:rPr>
                <w:szCs w:val="22"/>
                <w:lang w:val="fr-FR"/>
              </w:rPr>
              <w:t>.</w:t>
            </w:r>
          </w:p>
          <w:p w14:paraId="0C21C438" w14:textId="4BAF1551" w:rsidR="00C9161D" w:rsidRPr="00F13560" w:rsidRDefault="00941352" w:rsidP="00176CEE">
            <w:pPr>
              <w:ind w:left="1215"/>
              <w:rPr>
                <w:szCs w:val="22"/>
                <w:lang w:val="fr-FR"/>
              </w:rPr>
            </w:pPr>
            <w:r>
              <w:rPr>
                <w:caps/>
                <w:szCs w:val="22"/>
                <w:lang w:val="fr-FR"/>
              </w:rPr>
              <w:t>GÉNÉRALE</w:t>
            </w:r>
          </w:p>
          <w:p w14:paraId="06715052" w14:textId="77777777" w:rsidR="00C9161D" w:rsidRPr="00F13560" w:rsidRDefault="00C9161D" w:rsidP="00176CEE">
            <w:pPr>
              <w:ind w:left="1215"/>
              <w:rPr>
                <w:szCs w:val="22"/>
                <w:lang w:val="fr-FR"/>
              </w:rPr>
            </w:pPr>
          </w:p>
          <w:p w14:paraId="44230134" w14:textId="3454AC47" w:rsidR="00C9161D" w:rsidRPr="00F13560" w:rsidRDefault="00000000" w:rsidP="00176CEE">
            <w:pPr>
              <w:ind w:left="1215"/>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B53F92" w:rsidRPr="00F13560">
                  <w:rPr>
                    <w:lang w:val="fr-FR"/>
                  </w:rPr>
                  <w:t>CBD/NP/MOP/</w:t>
                </w:r>
                <w:r w:rsidR="00941352">
                  <w:rPr>
                    <w:lang w:val="fr-FR"/>
                  </w:rPr>
                  <w:t>DEC/</w:t>
                </w:r>
                <w:r w:rsidR="00B53F92" w:rsidRPr="00F13560">
                  <w:rPr>
                    <w:lang w:val="fr-FR"/>
                  </w:rPr>
                  <w:t>4</w:t>
                </w:r>
                <w:r w:rsidR="00941352">
                  <w:rPr>
                    <w:lang w:val="fr-FR"/>
                  </w:rPr>
                  <w:t>/2</w:t>
                </w:r>
              </w:sdtContent>
            </w:sdt>
          </w:p>
          <w:p w14:paraId="0DF1F033" w14:textId="4132B60B" w:rsidR="00C9161D" w:rsidRPr="00F13560" w:rsidRDefault="00941352" w:rsidP="00176CEE">
            <w:pPr>
              <w:ind w:left="1215"/>
              <w:rPr>
                <w:szCs w:val="22"/>
                <w:lang w:val="fr-FR"/>
              </w:rPr>
            </w:pPr>
            <w:r>
              <w:rPr>
                <w:szCs w:val="22"/>
                <w:lang w:val="fr-FR"/>
              </w:rPr>
              <w:t>1</w:t>
            </w:r>
            <w:r w:rsidR="00BD2F2A" w:rsidRPr="00F13560">
              <w:rPr>
                <w:szCs w:val="22"/>
                <w:lang w:val="fr-FR"/>
              </w:rPr>
              <w:t xml:space="preserve">9 </w:t>
            </w:r>
            <w:r w:rsidR="004550B4" w:rsidRPr="00F13560">
              <w:rPr>
                <w:szCs w:val="22"/>
                <w:lang w:val="fr-FR"/>
              </w:rPr>
              <w:t>décembre</w:t>
            </w:r>
            <w:r w:rsidR="00F6586C" w:rsidRPr="00F13560">
              <w:rPr>
                <w:szCs w:val="22"/>
                <w:lang w:val="fr-FR"/>
              </w:rPr>
              <w:t xml:space="preserve"> 20</w:t>
            </w:r>
            <w:r w:rsidR="00FC25F8" w:rsidRPr="00F13560">
              <w:rPr>
                <w:szCs w:val="22"/>
                <w:lang w:val="fr-FR"/>
              </w:rPr>
              <w:t>2</w:t>
            </w:r>
            <w:r w:rsidR="00B26ACD" w:rsidRPr="00F13560">
              <w:rPr>
                <w:szCs w:val="22"/>
                <w:lang w:val="fr-FR"/>
              </w:rPr>
              <w:t>2</w:t>
            </w:r>
          </w:p>
          <w:p w14:paraId="07710CAA" w14:textId="77777777" w:rsidR="004550B4" w:rsidRPr="00F13560" w:rsidRDefault="004550B4" w:rsidP="00176CEE">
            <w:pPr>
              <w:ind w:left="1215"/>
              <w:rPr>
                <w:szCs w:val="22"/>
                <w:lang w:val="fr-FR"/>
              </w:rPr>
            </w:pPr>
          </w:p>
          <w:p w14:paraId="159892DF" w14:textId="11F651C0" w:rsidR="00C9161D" w:rsidRPr="00F13560" w:rsidRDefault="004550B4" w:rsidP="00176CEE">
            <w:pPr>
              <w:ind w:left="1215"/>
              <w:rPr>
                <w:szCs w:val="22"/>
                <w:lang w:val="fr-FR"/>
              </w:rPr>
            </w:pPr>
            <w:r w:rsidRPr="00F13560">
              <w:rPr>
                <w:szCs w:val="22"/>
                <w:lang w:val="fr-FR"/>
              </w:rPr>
              <w:t>FRANÇAIS</w:t>
            </w:r>
          </w:p>
          <w:p w14:paraId="19472D49" w14:textId="5F97EEE9" w:rsidR="00C9161D" w:rsidRPr="00F13560" w:rsidRDefault="006B2290" w:rsidP="00176CEE">
            <w:pPr>
              <w:ind w:left="1215"/>
              <w:rPr>
                <w:szCs w:val="22"/>
                <w:lang w:val="fr-FR"/>
              </w:rPr>
            </w:pPr>
            <w:r w:rsidRPr="00F13560">
              <w:rPr>
                <w:szCs w:val="22"/>
                <w:lang w:val="fr-FR"/>
              </w:rPr>
              <w:t>ORIGINAL</w:t>
            </w:r>
            <w:r w:rsidR="004550B4" w:rsidRPr="00F13560">
              <w:rPr>
                <w:szCs w:val="22"/>
                <w:lang w:val="fr-FR"/>
              </w:rPr>
              <w:t xml:space="preserve"> </w:t>
            </w:r>
            <w:r w:rsidRPr="00F13560">
              <w:rPr>
                <w:szCs w:val="22"/>
                <w:lang w:val="fr-FR"/>
              </w:rPr>
              <w:t xml:space="preserve">: </w:t>
            </w:r>
            <w:r w:rsidR="004550B4" w:rsidRPr="00F13560">
              <w:rPr>
                <w:szCs w:val="22"/>
                <w:lang w:val="fr-FR"/>
              </w:rPr>
              <w:t>ANGLAIS</w:t>
            </w:r>
          </w:p>
          <w:p w14:paraId="5AA10CCE" w14:textId="77777777" w:rsidR="00C9161D" w:rsidRPr="00F13560" w:rsidRDefault="00C9161D">
            <w:pPr>
              <w:rPr>
                <w:lang w:val="fr-FR"/>
              </w:rPr>
            </w:pPr>
          </w:p>
        </w:tc>
      </w:tr>
    </w:tbl>
    <w:p w14:paraId="1BF4A9A2" w14:textId="17837125" w:rsidR="003B7BB2" w:rsidRPr="00F13560" w:rsidRDefault="00B53F92" w:rsidP="00BA33A0">
      <w:pPr>
        <w:pStyle w:val="Cornernotation"/>
        <w:kinsoku w:val="0"/>
        <w:overflowPunct w:val="0"/>
        <w:autoSpaceDE w:val="0"/>
        <w:autoSpaceDN w:val="0"/>
        <w:spacing w:before="60"/>
        <w:ind w:left="227" w:right="3792" w:hanging="227"/>
        <w:rPr>
          <w:snapToGrid w:val="0"/>
          <w:kern w:val="22"/>
          <w:lang w:val="fr-FR"/>
        </w:rPr>
      </w:pPr>
      <w:r w:rsidRPr="00F13560">
        <w:rPr>
          <w:snapToGrid w:val="0"/>
          <w:kern w:val="22"/>
          <w:szCs w:val="22"/>
          <w:lang w:val="fr-FR"/>
        </w:rPr>
        <w:t>CONFÉRENCE DES PARTIES À LA CONVENTION SUR LA DIVERSITÉ BIOLOGIQUE SIÉGEANT EN TANT QUE RÉUNION DES PARTIES AU PROTOCOLE DE NAGOYA SUR L’ACCÈS AUX RESSOURCES GÉNÉTIQUES ET LE PARTAGE JUSTE ET ÉQUITABLE DES AVANTAGES DÉCOULANT DE LEUR UTILISATION</w:t>
      </w:r>
    </w:p>
    <w:p w14:paraId="414F6C91" w14:textId="77777777" w:rsidR="00941352" w:rsidRPr="00941352" w:rsidRDefault="00B53F92" w:rsidP="00941352">
      <w:pPr>
        <w:pStyle w:val="Cornernotation"/>
        <w:kinsoku w:val="0"/>
        <w:overflowPunct w:val="0"/>
        <w:autoSpaceDE w:val="0"/>
        <w:autoSpaceDN w:val="0"/>
        <w:ind w:left="0" w:right="3792" w:firstLine="0"/>
        <w:rPr>
          <w:snapToGrid w:val="0"/>
          <w:kern w:val="22"/>
          <w:lang w:val="fr-FR"/>
        </w:rPr>
      </w:pPr>
      <w:r w:rsidRPr="00F13560">
        <w:rPr>
          <w:snapToGrid w:val="0"/>
          <w:color w:val="000000"/>
          <w:kern w:val="22"/>
          <w:szCs w:val="22"/>
          <w:lang w:val="fr-FR"/>
        </w:rPr>
        <w:t>Quatrième réunion</w:t>
      </w:r>
      <w:r w:rsidR="00941352" w:rsidRPr="00941352">
        <w:rPr>
          <w:snapToGrid w:val="0"/>
          <w:lang w:val="fr-FR"/>
        </w:rPr>
        <w:t xml:space="preserve"> – Partie II</w:t>
      </w:r>
    </w:p>
    <w:p w14:paraId="4268D28C" w14:textId="1F04D10B" w:rsidR="003B7BB2" w:rsidRPr="00941352" w:rsidRDefault="00941352" w:rsidP="00941352">
      <w:pPr>
        <w:pStyle w:val="Cornernotation"/>
        <w:kinsoku w:val="0"/>
        <w:overflowPunct w:val="0"/>
        <w:autoSpaceDE w:val="0"/>
        <w:autoSpaceDN w:val="0"/>
        <w:ind w:left="0" w:right="3792" w:firstLine="0"/>
        <w:rPr>
          <w:snapToGrid w:val="0"/>
          <w:kern w:val="22"/>
          <w:szCs w:val="22"/>
          <w:lang w:val="fr-FR" w:eastAsia="nb-NO"/>
        </w:rPr>
      </w:pPr>
      <w:r w:rsidRPr="00941352">
        <w:rPr>
          <w:snapToGrid w:val="0"/>
          <w:szCs w:val="22"/>
          <w:lang w:val="fr-FR"/>
        </w:rPr>
        <w:t>Montréal (Canada), 7-19 décembre 2022</w:t>
      </w:r>
    </w:p>
    <w:p w14:paraId="5ECF7635" w14:textId="758AC81D" w:rsidR="00C9161D" w:rsidRDefault="00B53F92" w:rsidP="00BA33A0">
      <w:pPr>
        <w:ind w:right="3792"/>
        <w:rPr>
          <w:snapToGrid w:val="0"/>
          <w:kern w:val="22"/>
          <w:szCs w:val="22"/>
          <w:lang w:val="fr-FR"/>
        </w:rPr>
      </w:pPr>
      <w:r w:rsidRPr="00F13560">
        <w:rPr>
          <w:szCs w:val="22"/>
          <w:lang w:val="fr-FR"/>
        </w:rPr>
        <w:t>Point 5 de l’ordre du jour</w:t>
      </w:r>
      <w:r w:rsidR="00134846" w:rsidRPr="00F13560">
        <w:rPr>
          <w:snapToGrid w:val="0"/>
          <w:kern w:val="22"/>
          <w:szCs w:val="22"/>
          <w:lang w:val="fr-FR"/>
        </w:rPr>
        <w:t xml:space="preserve"> </w:t>
      </w:r>
    </w:p>
    <w:p w14:paraId="24C05B46" w14:textId="77777777" w:rsidR="003A470A" w:rsidRPr="0065796D" w:rsidRDefault="007D1B35" w:rsidP="003A470A">
      <w:pPr>
        <w:pStyle w:val="NormalWeb"/>
        <w:spacing w:before="240" w:beforeAutospacing="0" w:after="240" w:afterAutospacing="0"/>
        <w:jc w:val="center"/>
        <w:rPr>
          <w:rFonts w:ascii="Times New Roman Bold" w:hAnsi="Times New Roman Bold" w:cstheme="majorBidi"/>
          <w:b/>
          <w:bCs/>
          <w:caps/>
          <w:sz w:val="22"/>
          <w:szCs w:val="22"/>
        </w:rPr>
      </w:pPr>
      <w:r w:rsidRPr="003A470A">
        <w:rPr>
          <w:rFonts w:ascii="Times New Roman Bold" w:hAnsi="Times New Roman Bold"/>
          <w:b/>
          <w:bCs/>
          <w:caps/>
          <w:sz w:val="22"/>
          <w:szCs w:val="22"/>
          <w:lang w:val="fr-FR"/>
        </w:rPr>
        <w:t>Décision adoptée par les Parties au Protocole de Nagoya sur l'accès et le partage des avantages</w:t>
      </w:r>
    </w:p>
    <w:p w14:paraId="027A5AE2" w14:textId="32AA8B9B" w:rsidR="003A470A" w:rsidRPr="003A470A" w:rsidRDefault="003A470A" w:rsidP="003A470A">
      <w:pPr>
        <w:spacing w:before="240" w:after="240"/>
        <w:jc w:val="center"/>
        <w:outlineLvl w:val="1"/>
        <w:rPr>
          <w:b/>
          <w:caps/>
          <w:lang w:val="fr-FR"/>
        </w:rPr>
      </w:pPr>
      <w:sdt>
        <w:sdtPr>
          <w:rPr>
            <w:rFonts w:asciiTheme="majorBidi" w:hAnsiTheme="majorBidi" w:cstheme="majorBidi"/>
            <w:b/>
            <w:bCs/>
            <w:szCs w:val="22"/>
            <w:lang w:val="fr-FR"/>
          </w:rPr>
          <w:alias w:val="Title"/>
          <w:tag w:val=""/>
          <w:id w:val="772832786"/>
          <w:placeholder>
            <w:docPart w:val="FC79C1C0E3874F059355CF1137F51220"/>
          </w:placeholder>
          <w:dataBinding w:prefixMappings="xmlns:ns0='http://purl.org/dc/elements/1.1/' xmlns:ns1='http://schemas.openxmlformats.org/package/2006/metadata/core-properties' " w:xpath="/ns1:coreProperties[1]/ns0:title[1]" w:storeItemID="{6C3C8BC8-F283-45AE-878A-BAB7291924A1}"/>
          <w:text/>
        </w:sdtPr>
        <w:sdtContent>
          <w:r w:rsidRPr="003A470A">
            <w:rPr>
              <w:rFonts w:asciiTheme="majorBidi" w:hAnsiTheme="majorBidi" w:cstheme="majorBidi"/>
              <w:b/>
              <w:bCs/>
              <w:szCs w:val="22"/>
              <w:lang w:val="fr-FR"/>
            </w:rPr>
            <w:t>NP-4/2.</w:t>
          </w:r>
          <w:r w:rsidRPr="003A470A">
            <w:rPr>
              <w:rFonts w:asciiTheme="majorBidi" w:hAnsiTheme="majorBidi" w:cstheme="majorBidi"/>
              <w:b/>
              <w:bCs/>
              <w:szCs w:val="22"/>
              <w:lang w:val="fr-FR"/>
            </w:rPr>
            <w:tab/>
          </w:r>
          <w:r w:rsidRPr="003A470A">
            <w:rPr>
              <w:rFonts w:asciiTheme="majorBidi" w:hAnsiTheme="majorBidi" w:cstheme="majorBidi"/>
              <w:b/>
              <w:bCs/>
              <w:szCs w:val="22"/>
              <w:lang w:val="fr-FR"/>
            </w:rPr>
            <w:tab/>
            <w:t>Conformité avec le Protocol</w:t>
          </w:r>
          <w:r>
            <w:rPr>
              <w:rFonts w:asciiTheme="majorBidi" w:hAnsiTheme="majorBidi" w:cstheme="majorBidi"/>
              <w:b/>
              <w:bCs/>
              <w:szCs w:val="22"/>
              <w:lang w:val="fr-FR"/>
            </w:rPr>
            <w:t>e</w:t>
          </w:r>
        </w:sdtContent>
      </w:sdt>
      <w:r w:rsidRPr="003A470A">
        <w:rPr>
          <w:b/>
          <w:lang w:val="fr-FR"/>
        </w:rPr>
        <w:t xml:space="preserve"> </w:t>
      </w:r>
    </w:p>
    <w:p w14:paraId="79526C0D" w14:textId="77777777" w:rsidR="00B53F92" w:rsidRPr="00F13560" w:rsidRDefault="00B53F92" w:rsidP="00B53F92">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F13560">
        <w:rPr>
          <w:i/>
          <w:iCs/>
          <w:snapToGrid w:val="0"/>
          <w:kern w:val="22"/>
          <w:szCs w:val="22"/>
          <w:lang w:val="fr-FR"/>
        </w:rPr>
        <w:t>La Conférence des Parties siégeant en tant que réunion des Parties au Protocole de Nagoya</w:t>
      </w:r>
      <w:r w:rsidRPr="00F13560">
        <w:rPr>
          <w:snapToGrid w:val="0"/>
          <w:kern w:val="22"/>
          <w:szCs w:val="22"/>
          <w:lang w:val="fr-FR"/>
        </w:rPr>
        <w:t>,</w:t>
      </w:r>
    </w:p>
    <w:p w14:paraId="6A081E24" w14:textId="77777777" w:rsidR="00B53F92" w:rsidRPr="00F13560" w:rsidRDefault="00B53F92" w:rsidP="00B53F92">
      <w:pPr>
        <w:pStyle w:val="Paragraphedeliste"/>
        <w:numPr>
          <w:ilvl w:val="0"/>
          <w:numId w:val="19"/>
        </w:numPr>
        <w:suppressLineNumbers/>
        <w:suppressAutoHyphens/>
        <w:kinsoku w:val="0"/>
        <w:overflowPunct w:val="0"/>
        <w:autoSpaceDE w:val="0"/>
        <w:autoSpaceDN w:val="0"/>
        <w:adjustRightInd w:val="0"/>
        <w:snapToGrid w:val="0"/>
        <w:spacing w:before="120" w:after="120"/>
        <w:ind w:left="0" w:firstLine="567"/>
        <w:contextualSpacing w:val="0"/>
        <w:rPr>
          <w:snapToGrid w:val="0"/>
          <w:kern w:val="22"/>
          <w:szCs w:val="22"/>
          <w:lang w:val="fr-FR"/>
        </w:rPr>
      </w:pPr>
      <w:r w:rsidRPr="00F13560">
        <w:rPr>
          <w:i/>
          <w:snapToGrid w:val="0"/>
          <w:kern w:val="22"/>
          <w:szCs w:val="22"/>
          <w:lang w:val="fr-FR" w:bidi="fr-FR"/>
        </w:rPr>
        <w:t>Accueille</w:t>
      </w:r>
      <w:r w:rsidRPr="00F13560">
        <w:rPr>
          <w:snapToGrid w:val="0"/>
          <w:kern w:val="22"/>
          <w:szCs w:val="22"/>
          <w:lang w:val="fr-FR" w:bidi="fr-FR"/>
        </w:rPr>
        <w:t xml:space="preserve"> avec satisfaction les progrès accomplis par les Parties dans la mise en œuvre du Protocole ;</w:t>
      </w:r>
    </w:p>
    <w:p w14:paraId="547928D0" w14:textId="77777777" w:rsidR="00B53F92" w:rsidRPr="00F13560" w:rsidRDefault="00B53F92" w:rsidP="00B53F92">
      <w:pPr>
        <w:pStyle w:val="Paragraphedeliste"/>
        <w:numPr>
          <w:ilvl w:val="0"/>
          <w:numId w:val="19"/>
        </w:numPr>
        <w:suppressLineNumbers/>
        <w:suppressAutoHyphens/>
        <w:kinsoku w:val="0"/>
        <w:overflowPunct w:val="0"/>
        <w:autoSpaceDE w:val="0"/>
        <w:autoSpaceDN w:val="0"/>
        <w:adjustRightInd w:val="0"/>
        <w:snapToGrid w:val="0"/>
        <w:spacing w:before="120" w:after="120"/>
        <w:ind w:left="0" w:firstLine="567"/>
        <w:contextualSpacing w:val="0"/>
        <w:rPr>
          <w:snapToGrid w:val="0"/>
          <w:kern w:val="22"/>
          <w:szCs w:val="22"/>
          <w:lang w:val="fr-FR"/>
        </w:rPr>
      </w:pPr>
      <w:r w:rsidRPr="00F13560">
        <w:rPr>
          <w:i/>
          <w:snapToGrid w:val="0"/>
          <w:kern w:val="22"/>
          <w:szCs w:val="22"/>
          <w:lang w:val="fr-FR" w:bidi="fr-FR"/>
        </w:rPr>
        <w:t>Exhorte</w:t>
      </w:r>
      <w:r w:rsidRPr="00F13560">
        <w:rPr>
          <w:snapToGrid w:val="0"/>
          <w:kern w:val="22"/>
          <w:szCs w:val="22"/>
          <w:lang w:val="fr-FR" w:bidi="fr-FR"/>
        </w:rPr>
        <w:t xml:space="preserve"> les Parties concernées à accélérer l'adoption et la mise en œuvre de leurs mesures législatives, administratives ou politiques en matière d'accès et de partage des avantages et de leurs </w:t>
      </w:r>
      <w:proofErr w:type="gramStart"/>
      <w:r w:rsidRPr="00F13560">
        <w:rPr>
          <w:snapToGrid w:val="0"/>
          <w:kern w:val="22"/>
          <w:szCs w:val="22"/>
          <w:lang w:val="fr-FR" w:bidi="fr-FR"/>
        </w:rPr>
        <w:t>dispositions</w:t>
      </w:r>
      <w:proofErr w:type="gramEnd"/>
      <w:r w:rsidRPr="00F13560">
        <w:rPr>
          <w:snapToGrid w:val="0"/>
          <w:kern w:val="22"/>
          <w:szCs w:val="22"/>
          <w:lang w:val="fr-FR" w:bidi="fr-FR"/>
        </w:rPr>
        <w:t xml:space="preserve"> institutionnelles, notamment la désignation de points de contrôle, conformément au Protocole ;</w:t>
      </w:r>
    </w:p>
    <w:p w14:paraId="471F9651" w14:textId="4D55A51C" w:rsidR="00B53F92" w:rsidRPr="00F13560" w:rsidRDefault="00B53F92" w:rsidP="00B53F92">
      <w:pPr>
        <w:pStyle w:val="Paragraphedeliste"/>
        <w:numPr>
          <w:ilvl w:val="0"/>
          <w:numId w:val="19"/>
        </w:numPr>
        <w:suppressLineNumbers/>
        <w:suppressAutoHyphens/>
        <w:kinsoku w:val="0"/>
        <w:overflowPunct w:val="0"/>
        <w:autoSpaceDE w:val="0"/>
        <w:autoSpaceDN w:val="0"/>
        <w:adjustRightInd w:val="0"/>
        <w:snapToGrid w:val="0"/>
        <w:spacing w:before="120" w:after="120"/>
        <w:ind w:left="0" w:firstLine="567"/>
        <w:contextualSpacing w:val="0"/>
        <w:rPr>
          <w:snapToGrid w:val="0"/>
          <w:kern w:val="22"/>
          <w:szCs w:val="22"/>
          <w:lang w:val="fr-FR"/>
        </w:rPr>
      </w:pPr>
      <w:r w:rsidRPr="00F13560">
        <w:rPr>
          <w:i/>
          <w:snapToGrid w:val="0"/>
          <w:kern w:val="22"/>
          <w:szCs w:val="22"/>
          <w:lang w:val="fr-FR" w:bidi="fr-FR"/>
        </w:rPr>
        <w:t>Exhorte également</w:t>
      </w:r>
      <w:r w:rsidRPr="00F13560">
        <w:rPr>
          <w:snapToGrid w:val="0"/>
          <w:kern w:val="22"/>
          <w:szCs w:val="22"/>
          <w:lang w:val="fr-FR" w:bidi="fr-FR"/>
        </w:rPr>
        <w:t xml:space="preserve"> les Parties disposant d'informations nationales pertinentes devant être mises à la disposition du Centre d'échange sur l'accès et le partage des avantages, conformément à l'exigence de l'article</w:t>
      </w:r>
      <w:r w:rsidR="00350B72">
        <w:rPr>
          <w:snapToGrid w:val="0"/>
          <w:kern w:val="22"/>
          <w:szCs w:val="22"/>
          <w:lang w:val="fr-FR" w:bidi="fr-FR"/>
        </w:rPr>
        <w:t> </w:t>
      </w:r>
      <w:r w:rsidRPr="00F13560">
        <w:rPr>
          <w:snapToGrid w:val="0"/>
          <w:kern w:val="22"/>
          <w:szCs w:val="22"/>
          <w:lang w:val="fr-FR" w:bidi="fr-FR"/>
        </w:rPr>
        <w:t>14, paragraphe</w:t>
      </w:r>
      <w:r w:rsidR="00350B72">
        <w:rPr>
          <w:snapToGrid w:val="0"/>
          <w:kern w:val="22"/>
          <w:szCs w:val="22"/>
          <w:lang w:val="fr-FR" w:bidi="fr-FR"/>
        </w:rPr>
        <w:t> </w:t>
      </w:r>
      <w:r w:rsidRPr="00F13560">
        <w:rPr>
          <w:snapToGrid w:val="0"/>
          <w:kern w:val="22"/>
          <w:szCs w:val="22"/>
          <w:lang w:val="fr-FR" w:bidi="fr-FR"/>
        </w:rPr>
        <w:t>2, du Protocole, à mettre ces informations à disposition dès que possible ;</w:t>
      </w:r>
    </w:p>
    <w:p w14:paraId="21D68AB4" w14:textId="77777777" w:rsidR="00B53F92" w:rsidRPr="00F13560" w:rsidRDefault="00B53F92" w:rsidP="00B53F92">
      <w:pPr>
        <w:pStyle w:val="Paragraphedeliste"/>
        <w:numPr>
          <w:ilvl w:val="0"/>
          <w:numId w:val="19"/>
        </w:numPr>
        <w:suppressLineNumbers/>
        <w:suppressAutoHyphens/>
        <w:kinsoku w:val="0"/>
        <w:overflowPunct w:val="0"/>
        <w:autoSpaceDE w:val="0"/>
        <w:autoSpaceDN w:val="0"/>
        <w:adjustRightInd w:val="0"/>
        <w:snapToGrid w:val="0"/>
        <w:spacing w:before="120" w:after="120"/>
        <w:ind w:left="0" w:firstLine="567"/>
        <w:contextualSpacing w:val="0"/>
        <w:rPr>
          <w:snapToGrid w:val="0"/>
          <w:kern w:val="22"/>
          <w:szCs w:val="22"/>
          <w:lang w:val="fr-FR"/>
        </w:rPr>
      </w:pPr>
      <w:r w:rsidRPr="00F13560">
        <w:rPr>
          <w:i/>
          <w:snapToGrid w:val="0"/>
          <w:kern w:val="22"/>
          <w:szCs w:val="22"/>
          <w:lang w:val="fr-FR" w:bidi="fr-FR"/>
        </w:rPr>
        <w:t>Reconnaît</w:t>
      </w:r>
      <w:r w:rsidRPr="00F13560">
        <w:rPr>
          <w:snapToGrid w:val="0"/>
          <w:kern w:val="22"/>
          <w:szCs w:val="22"/>
          <w:lang w:val="fr-FR" w:bidi="fr-FR"/>
        </w:rPr>
        <w:t xml:space="preserve"> la nécessité de poursuivre le développement et le renforcement des capacités, la coopération technique et scientifique, le transfert de technologie et la mobilisation des ressources pour accélérer la mise en œuvre du Protocole et </w:t>
      </w:r>
      <w:r w:rsidRPr="00F13560">
        <w:rPr>
          <w:i/>
          <w:iCs/>
          <w:snapToGrid w:val="0"/>
          <w:kern w:val="22"/>
          <w:szCs w:val="22"/>
          <w:lang w:val="fr-FR" w:bidi="fr-FR"/>
        </w:rPr>
        <w:t>invite</w:t>
      </w:r>
      <w:r w:rsidRPr="00F13560">
        <w:rPr>
          <w:snapToGrid w:val="0"/>
          <w:kern w:val="22"/>
          <w:szCs w:val="22"/>
          <w:lang w:val="fr-FR" w:bidi="fr-FR"/>
        </w:rPr>
        <w:t xml:space="preserve"> les Parties, les autres gouvernements, les donateurs et les organisations compétentes à fournir des ressources supplémentaires et à soutenir la mise en œuvre du Protocole, en particulier dans les pays en développement, y compris les pays à économie en transition, les petits États insulaires en développement et les pays les moins développés ;</w:t>
      </w:r>
    </w:p>
    <w:p w14:paraId="3E93D6BC" w14:textId="77777777" w:rsidR="00B53F92" w:rsidRPr="00F13560" w:rsidRDefault="00B53F92" w:rsidP="00B53F92">
      <w:pPr>
        <w:pStyle w:val="Paragraphedeliste"/>
        <w:numPr>
          <w:ilvl w:val="0"/>
          <w:numId w:val="19"/>
        </w:numPr>
        <w:suppressLineNumbers/>
        <w:suppressAutoHyphens/>
        <w:kinsoku w:val="0"/>
        <w:overflowPunct w:val="0"/>
        <w:autoSpaceDE w:val="0"/>
        <w:autoSpaceDN w:val="0"/>
        <w:adjustRightInd w:val="0"/>
        <w:snapToGrid w:val="0"/>
        <w:spacing w:before="120" w:after="120"/>
        <w:ind w:left="0" w:firstLine="567"/>
        <w:contextualSpacing w:val="0"/>
        <w:rPr>
          <w:snapToGrid w:val="0"/>
          <w:kern w:val="22"/>
          <w:szCs w:val="22"/>
          <w:lang w:val="fr-FR"/>
        </w:rPr>
      </w:pPr>
      <w:r w:rsidRPr="00F13560">
        <w:rPr>
          <w:i/>
          <w:snapToGrid w:val="0"/>
          <w:kern w:val="22"/>
          <w:szCs w:val="22"/>
          <w:lang w:val="fr-FR" w:bidi="fr-FR"/>
        </w:rPr>
        <w:t>Se réjouit</w:t>
      </w:r>
      <w:r w:rsidRPr="00F13560">
        <w:rPr>
          <w:snapToGrid w:val="0"/>
          <w:kern w:val="22"/>
          <w:szCs w:val="22"/>
          <w:lang w:val="fr-FR" w:bidi="fr-FR"/>
        </w:rPr>
        <w:t xml:space="preserve"> de la présentation d’onze rapports nationaux supplémentaires après la dernière réunion des Parties au Protocole ;</w:t>
      </w:r>
    </w:p>
    <w:p w14:paraId="48A1BEBE" w14:textId="2F1BC68F" w:rsidR="00B53F92" w:rsidRPr="00F13560" w:rsidRDefault="00B53F92" w:rsidP="00B53F92">
      <w:pPr>
        <w:pStyle w:val="Paragraphedeliste"/>
        <w:numPr>
          <w:ilvl w:val="0"/>
          <w:numId w:val="19"/>
        </w:numPr>
        <w:suppressLineNumbers/>
        <w:suppressAutoHyphens/>
        <w:kinsoku w:val="0"/>
        <w:overflowPunct w:val="0"/>
        <w:autoSpaceDE w:val="0"/>
        <w:autoSpaceDN w:val="0"/>
        <w:adjustRightInd w:val="0"/>
        <w:snapToGrid w:val="0"/>
        <w:spacing w:before="120" w:after="120"/>
        <w:ind w:left="0" w:firstLine="567"/>
        <w:contextualSpacing w:val="0"/>
        <w:rPr>
          <w:snapToGrid w:val="0"/>
          <w:kern w:val="22"/>
          <w:szCs w:val="22"/>
          <w:lang w:val="fr-FR"/>
        </w:rPr>
      </w:pPr>
      <w:r w:rsidRPr="00F13560">
        <w:rPr>
          <w:i/>
          <w:snapToGrid w:val="0"/>
          <w:kern w:val="22"/>
          <w:szCs w:val="22"/>
          <w:lang w:val="fr-FR" w:bidi="fr-FR"/>
        </w:rPr>
        <w:t>Remercie</w:t>
      </w:r>
      <w:r w:rsidRPr="00F13560">
        <w:rPr>
          <w:snapToGrid w:val="0"/>
          <w:kern w:val="22"/>
          <w:szCs w:val="22"/>
          <w:lang w:val="fr-FR" w:bidi="fr-FR"/>
        </w:rPr>
        <w:t xml:space="preserve"> les </w:t>
      </w:r>
      <w:r w:rsidR="00FA586B">
        <w:rPr>
          <w:snapToGrid w:val="0"/>
          <w:kern w:val="22"/>
          <w:szCs w:val="22"/>
          <w:lang w:val="fr-FR" w:bidi="fr-FR"/>
        </w:rPr>
        <w:t xml:space="preserve">États </w:t>
      </w:r>
      <w:r w:rsidRPr="00F13560">
        <w:rPr>
          <w:snapToGrid w:val="0"/>
          <w:kern w:val="22"/>
          <w:szCs w:val="22"/>
          <w:lang w:val="fr-FR" w:bidi="fr-FR"/>
        </w:rPr>
        <w:t>non-Parties qui ont soumis des rapports nationaux sur la mise en œuvre des exigences du Protocole de Nagoya ;</w:t>
      </w:r>
    </w:p>
    <w:p w14:paraId="001F4DB4" w14:textId="77777777" w:rsidR="00B53F92" w:rsidRPr="00F13560" w:rsidRDefault="00B53F92" w:rsidP="00B53F92">
      <w:pPr>
        <w:pStyle w:val="Paragraphedeliste"/>
        <w:numPr>
          <w:ilvl w:val="0"/>
          <w:numId w:val="19"/>
        </w:numPr>
        <w:suppressLineNumbers/>
        <w:suppressAutoHyphens/>
        <w:kinsoku w:val="0"/>
        <w:overflowPunct w:val="0"/>
        <w:autoSpaceDE w:val="0"/>
        <w:autoSpaceDN w:val="0"/>
        <w:adjustRightInd w:val="0"/>
        <w:snapToGrid w:val="0"/>
        <w:spacing w:before="120" w:after="120"/>
        <w:ind w:left="0" w:firstLine="567"/>
        <w:contextualSpacing w:val="0"/>
        <w:rPr>
          <w:snapToGrid w:val="0"/>
          <w:kern w:val="22"/>
          <w:szCs w:val="22"/>
          <w:lang w:val="fr-FR"/>
        </w:rPr>
      </w:pPr>
      <w:r w:rsidRPr="00F13560">
        <w:rPr>
          <w:i/>
          <w:snapToGrid w:val="0"/>
          <w:kern w:val="22"/>
          <w:szCs w:val="22"/>
          <w:lang w:val="fr-FR" w:bidi="fr-FR"/>
        </w:rPr>
        <w:t>Exhorte</w:t>
      </w:r>
      <w:r w:rsidRPr="00F13560">
        <w:rPr>
          <w:snapToGrid w:val="0"/>
          <w:kern w:val="22"/>
          <w:szCs w:val="22"/>
          <w:lang w:val="fr-FR" w:bidi="fr-FR"/>
        </w:rPr>
        <w:t xml:space="preserve"> les Parties qui ne l'ont pas encore fait à soumettre leur rapport national sans plus tarder ;</w:t>
      </w:r>
    </w:p>
    <w:p w14:paraId="4BF49B3A" w14:textId="71545EA4" w:rsidR="00B53F92" w:rsidRPr="00F13560" w:rsidRDefault="00B53F92" w:rsidP="00B53F92">
      <w:pPr>
        <w:pStyle w:val="Paragraphedeliste"/>
        <w:numPr>
          <w:ilvl w:val="0"/>
          <w:numId w:val="19"/>
        </w:numPr>
        <w:suppressLineNumbers/>
        <w:suppressAutoHyphens/>
        <w:kinsoku w:val="0"/>
        <w:overflowPunct w:val="0"/>
        <w:autoSpaceDE w:val="0"/>
        <w:autoSpaceDN w:val="0"/>
        <w:adjustRightInd w:val="0"/>
        <w:snapToGrid w:val="0"/>
        <w:spacing w:before="120" w:after="120"/>
        <w:ind w:left="0" w:firstLine="567"/>
        <w:contextualSpacing w:val="0"/>
        <w:rPr>
          <w:snapToGrid w:val="0"/>
          <w:kern w:val="22"/>
          <w:szCs w:val="22"/>
          <w:lang w:val="fr-FR"/>
        </w:rPr>
      </w:pPr>
      <w:r w:rsidRPr="00F13560">
        <w:rPr>
          <w:i/>
          <w:snapToGrid w:val="0"/>
          <w:kern w:val="22"/>
          <w:szCs w:val="22"/>
          <w:lang w:val="fr-FR" w:bidi="fr-FR"/>
        </w:rPr>
        <w:lastRenderedPageBreak/>
        <w:t>Encourage</w:t>
      </w:r>
      <w:r w:rsidRPr="00F13560">
        <w:rPr>
          <w:snapToGrid w:val="0"/>
          <w:kern w:val="22"/>
          <w:szCs w:val="22"/>
          <w:lang w:val="fr-FR" w:bidi="fr-FR"/>
        </w:rPr>
        <w:t xml:space="preserve"> les Parties à considérer le </w:t>
      </w:r>
      <w:r w:rsidR="00FA586B">
        <w:rPr>
          <w:snapToGrid w:val="0"/>
          <w:kern w:val="22"/>
          <w:szCs w:val="22"/>
          <w:lang w:val="fr-FR" w:bidi="fr-FR"/>
        </w:rPr>
        <w:t>C</w:t>
      </w:r>
      <w:r w:rsidRPr="00F13560">
        <w:rPr>
          <w:snapToGrid w:val="0"/>
          <w:kern w:val="22"/>
          <w:szCs w:val="22"/>
          <w:lang w:val="fr-FR" w:bidi="fr-FR"/>
        </w:rPr>
        <w:t xml:space="preserve">adre mondial de la biodiversité </w:t>
      </w:r>
      <w:r w:rsidR="00FA586B">
        <w:rPr>
          <w:snapToGrid w:val="0"/>
          <w:kern w:val="22"/>
          <w:szCs w:val="22"/>
          <w:lang w:val="fr-FR" w:bidi="fr-FR"/>
        </w:rPr>
        <w:t>de Kunming-Montréal</w:t>
      </w:r>
      <w:r w:rsidRPr="00F13560">
        <w:rPr>
          <w:snapToGrid w:val="0"/>
          <w:kern w:val="22"/>
          <w:szCs w:val="22"/>
          <w:lang w:val="fr-FR" w:bidi="fr-FR"/>
        </w:rPr>
        <w:t xml:space="preserve"> comme une occasion de renforcer leurs efforts pour s'acquitter efficacement de leurs obligations au titre du Protocole.</w:t>
      </w:r>
    </w:p>
    <w:p w14:paraId="6B7EA98D" w14:textId="6E9829D2" w:rsidR="00F6586C" w:rsidRPr="00F13560" w:rsidRDefault="00B53F92" w:rsidP="00283BB9">
      <w:pPr>
        <w:pStyle w:val="Paragraphedeliste"/>
        <w:numPr>
          <w:ilvl w:val="0"/>
          <w:numId w:val="19"/>
        </w:numPr>
        <w:suppressLineNumbers/>
        <w:suppressAutoHyphens/>
        <w:kinsoku w:val="0"/>
        <w:overflowPunct w:val="0"/>
        <w:autoSpaceDE w:val="0"/>
        <w:autoSpaceDN w:val="0"/>
        <w:adjustRightInd w:val="0"/>
        <w:snapToGrid w:val="0"/>
        <w:spacing w:before="120" w:after="120"/>
        <w:ind w:left="0" w:firstLine="567"/>
        <w:rPr>
          <w:snapToGrid w:val="0"/>
          <w:kern w:val="22"/>
          <w:szCs w:val="22"/>
          <w:lang w:val="fr-FR"/>
        </w:rPr>
      </w:pPr>
      <w:r w:rsidRPr="00F13560">
        <w:rPr>
          <w:i/>
          <w:iCs/>
          <w:snapToGrid w:val="0"/>
          <w:kern w:val="22"/>
          <w:szCs w:val="22"/>
          <w:lang w:val="fr-FR"/>
        </w:rPr>
        <w:t>Rappelle</w:t>
      </w:r>
      <w:r w:rsidRPr="00F13560">
        <w:rPr>
          <w:snapToGrid w:val="0"/>
          <w:kern w:val="22"/>
          <w:szCs w:val="22"/>
          <w:lang w:val="fr-FR"/>
        </w:rPr>
        <w:t xml:space="preserve"> la section G des procédures et mécanismes relatifs au respect des dispositions</w:t>
      </w:r>
      <w:r w:rsidRPr="00F13560">
        <w:rPr>
          <w:rStyle w:val="Appelnotedebasdep"/>
          <w:snapToGrid w:val="0"/>
          <w:kern w:val="22"/>
          <w:szCs w:val="22"/>
          <w:lang w:val="fr-FR"/>
        </w:rPr>
        <w:footnoteReference w:id="1"/>
      </w:r>
      <w:r w:rsidRPr="00F13560">
        <w:rPr>
          <w:snapToGrid w:val="0"/>
          <w:kern w:val="22"/>
          <w:szCs w:val="22"/>
          <w:lang w:val="fr-FR"/>
        </w:rPr>
        <w:t>, selon laquelle un examen de l'efficacité de ces procédures et mécanismes doit être entrepris dans le cadre de l'évaluation et de l'examen prévus à l'article</w:t>
      </w:r>
      <w:r w:rsidR="00FA586B">
        <w:rPr>
          <w:snapToGrid w:val="0"/>
          <w:kern w:val="22"/>
          <w:szCs w:val="22"/>
          <w:lang w:val="fr-FR"/>
        </w:rPr>
        <w:t> </w:t>
      </w:r>
      <w:r w:rsidRPr="00F13560">
        <w:rPr>
          <w:snapToGrid w:val="0"/>
          <w:kern w:val="22"/>
          <w:szCs w:val="22"/>
          <w:lang w:val="fr-FR"/>
        </w:rPr>
        <w:t>31 du Protocole.</w:t>
      </w:r>
    </w:p>
    <w:p w14:paraId="3093D971" w14:textId="501535E6" w:rsidR="00B3369F" w:rsidRPr="00F13560" w:rsidRDefault="00462FE8" w:rsidP="0003492E">
      <w:pPr>
        <w:jc w:val="center"/>
        <w:rPr>
          <w:lang w:val="fr-FR"/>
        </w:rPr>
      </w:pPr>
      <w:r w:rsidRPr="00F13560">
        <w:rPr>
          <w:lang w:val="fr-FR"/>
        </w:rPr>
        <w:t>__________</w:t>
      </w:r>
    </w:p>
    <w:sectPr w:rsidR="00B3369F" w:rsidRPr="00F13560" w:rsidSect="003D3E86">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67EDC" w14:textId="77777777" w:rsidR="00910AD5" w:rsidRDefault="00910AD5" w:rsidP="00CF1848">
      <w:r>
        <w:separator/>
      </w:r>
    </w:p>
  </w:endnote>
  <w:endnote w:type="continuationSeparator" w:id="0">
    <w:p w14:paraId="57ADDF4E" w14:textId="77777777" w:rsidR="00910AD5" w:rsidRDefault="00910AD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90C0" w14:textId="77777777" w:rsidR="00910AD5" w:rsidRDefault="00910AD5" w:rsidP="00CF1848">
      <w:r>
        <w:separator/>
      </w:r>
    </w:p>
  </w:footnote>
  <w:footnote w:type="continuationSeparator" w:id="0">
    <w:p w14:paraId="75DB5E78" w14:textId="77777777" w:rsidR="00910AD5" w:rsidRDefault="00910AD5" w:rsidP="00CF1848">
      <w:r>
        <w:continuationSeparator/>
      </w:r>
    </w:p>
  </w:footnote>
  <w:footnote w:id="1">
    <w:p w14:paraId="02F30018" w14:textId="77777777" w:rsidR="00B53F92" w:rsidRPr="00CE0CA4" w:rsidRDefault="00B53F92" w:rsidP="0057219D">
      <w:pPr>
        <w:pStyle w:val="Notedebasdepage"/>
        <w:ind w:firstLine="0"/>
        <w:jc w:val="left"/>
      </w:pPr>
      <w:r w:rsidRPr="00164B0E">
        <w:rPr>
          <w:rStyle w:val="Appelnotedebasdep"/>
        </w:rPr>
        <w:footnoteRef/>
      </w:r>
      <w:r w:rsidRPr="00164B0E">
        <w:rPr>
          <w:vertAlign w:val="superscript"/>
        </w:rPr>
        <w:t xml:space="preserve"> </w:t>
      </w:r>
      <w:proofErr w:type="spellStart"/>
      <w:r w:rsidRPr="00CE0CA4">
        <w:t>Décision</w:t>
      </w:r>
      <w:proofErr w:type="spellEnd"/>
      <w:r w:rsidRPr="00CE0CA4">
        <w:t xml:space="preserve"> NP-1/4,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212F1F5B" w:rsidR="00534681" w:rsidRPr="00134846" w:rsidRDefault="008E1E7E" w:rsidP="00534681">
    <w:pPr>
      <w:pStyle w:val="En-tte"/>
      <w:rPr>
        <w:lang w:val="fr-FR"/>
      </w:rPr>
    </w:pPr>
    <w:sdt>
      <w:sdtPr>
        <w:rPr>
          <w:lang w:val="fr-FR"/>
        </w:rPr>
        <w:alias w:val="Subject"/>
        <w:tag w:val=""/>
        <w:id w:val="-32050635"/>
        <w:placeholder>
          <w:docPart w:val="6F06F31FC3964E06A63422C530BD3E7D"/>
        </w:placeholder>
        <w:dataBinding w:prefixMappings="xmlns:ns0='http://purl.org/dc/elements/1.1/' xmlns:ns1='http://schemas.openxmlformats.org/package/2006/metadata/core-properties' " w:xpath="/ns1:coreProperties[1]/ns0:subject[1]" w:storeItemID="{6C3C8BC8-F283-45AE-878A-BAB7291924A1}"/>
        <w:text/>
      </w:sdtPr>
      <w:sdtContent>
        <w:r w:rsidRPr="00F13560">
          <w:rPr>
            <w:lang w:val="fr-FR"/>
          </w:rPr>
          <w:t>CBD/NP/MOP/</w:t>
        </w:r>
        <w:r>
          <w:rPr>
            <w:lang w:val="fr-FR"/>
          </w:rPr>
          <w:t>DEC/</w:t>
        </w:r>
        <w:r w:rsidRPr="00F13560">
          <w:rPr>
            <w:lang w:val="fr-FR"/>
          </w:rPr>
          <w:t>4</w:t>
        </w:r>
        <w:r>
          <w:rPr>
            <w:lang w:val="fr-FR"/>
          </w:rPr>
          <w:t>/2</w:t>
        </w:r>
      </w:sdtContent>
    </w:sdt>
  </w:p>
  <w:p w14:paraId="1E0FDE0B" w14:textId="77777777" w:rsidR="00534681" w:rsidRPr="00134846" w:rsidRDefault="00534681" w:rsidP="00534681">
    <w:pPr>
      <w:pStyle w:val="En-tte"/>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5CE92B11" w:rsidR="009505C9" w:rsidRPr="00134846" w:rsidRDefault="00941352" w:rsidP="009505C9">
        <w:pPr>
          <w:pStyle w:val="En-tte"/>
          <w:jc w:val="right"/>
          <w:rPr>
            <w:lang w:val="fr-FR"/>
          </w:rPr>
        </w:pPr>
        <w:r>
          <w:rPr>
            <w:lang w:val="fr-FR"/>
          </w:rPr>
          <w:t>CBD/NP/MOP/DEC/4/2</w:t>
        </w:r>
      </w:p>
    </w:sdtContent>
  </w:sdt>
  <w:p w14:paraId="64AE8439" w14:textId="77777777" w:rsidR="009505C9" w:rsidRPr="00134846" w:rsidRDefault="009505C9" w:rsidP="009505C9">
    <w:pPr>
      <w:pStyle w:val="En-tte"/>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156A90"/>
    <w:multiLevelType w:val="hybridMultilevel"/>
    <w:tmpl w:val="F19A30EA"/>
    <w:lvl w:ilvl="0" w:tplc="2F52C61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133644">
    <w:abstractNumId w:val="3"/>
  </w:num>
  <w:num w:numId="2" w16cid:durableId="1813910329">
    <w:abstractNumId w:val="6"/>
  </w:num>
  <w:num w:numId="3" w16cid:durableId="1923879624">
    <w:abstractNumId w:val="4"/>
  </w:num>
  <w:num w:numId="4" w16cid:durableId="687564258">
    <w:abstractNumId w:val="6"/>
  </w:num>
  <w:num w:numId="5" w16cid:durableId="1850750695">
    <w:abstractNumId w:val="5"/>
  </w:num>
  <w:num w:numId="6" w16cid:durableId="1847481267">
    <w:abstractNumId w:val="0"/>
  </w:num>
  <w:num w:numId="7" w16cid:durableId="919632546">
    <w:abstractNumId w:val="2"/>
  </w:num>
  <w:num w:numId="8" w16cid:durableId="35587906">
    <w:abstractNumId w:val="4"/>
    <w:lvlOverride w:ilvl="0">
      <w:startOverride w:val="1"/>
    </w:lvlOverride>
  </w:num>
  <w:num w:numId="9" w16cid:durableId="1558005022">
    <w:abstractNumId w:val="9"/>
  </w:num>
  <w:num w:numId="10" w16cid:durableId="1735276283">
    <w:abstractNumId w:val="4"/>
    <w:lvlOverride w:ilvl="0">
      <w:startOverride w:val="1"/>
    </w:lvlOverride>
  </w:num>
  <w:num w:numId="11" w16cid:durableId="113257417">
    <w:abstractNumId w:val="4"/>
    <w:lvlOverride w:ilvl="0">
      <w:startOverride w:val="1"/>
    </w:lvlOverride>
  </w:num>
  <w:num w:numId="12" w16cid:durableId="829950693">
    <w:abstractNumId w:val="4"/>
    <w:lvlOverride w:ilvl="0">
      <w:startOverride w:val="1"/>
    </w:lvlOverride>
  </w:num>
  <w:num w:numId="13" w16cid:durableId="767891130">
    <w:abstractNumId w:val="4"/>
    <w:lvlOverride w:ilvl="0">
      <w:startOverride w:val="1"/>
    </w:lvlOverride>
  </w:num>
  <w:num w:numId="14" w16cid:durableId="1492672833">
    <w:abstractNumId w:val="8"/>
  </w:num>
  <w:num w:numId="15" w16cid:durableId="1392000201">
    <w:abstractNumId w:val="7"/>
  </w:num>
  <w:num w:numId="16" w16cid:durableId="840125591">
    <w:abstractNumId w:val="1"/>
  </w:num>
  <w:num w:numId="17" w16cid:durableId="1967273339">
    <w:abstractNumId w:val="10"/>
  </w:num>
  <w:num w:numId="18" w16cid:durableId="135417214">
    <w:abstractNumId w:val="12"/>
  </w:num>
  <w:num w:numId="19" w16cid:durableId="18139818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20A25"/>
    <w:rsid w:val="0003492E"/>
    <w:rsid w:val="00070EDD"/>
    <w:rsid w:val="0007171B"/>
    <w:rsid w:val="000C64C2"/>
    <w:rsid w:val="000E673A"/>
    <w:rsid w:val="000F74F5"/>
    <w:rsid w:val="001023F7"/>
    <w:rsid w:val="00102657"/>
    <w:rsid w:val="00105372"/>
    <w:rsid w:val="001226B6"/>
    <w:rsid w:val="001312AD"/>
    <w:rsid w:val="00131E7A"/>
    <w:rsid w:val="00133C24"/>
    <w:rsid w:val="00134846"/>
    <w:rsid w:val="00172AF6"/>
    <w:rsid w:val="00176CEE"/>
    <w:rsid w:val="00186DD8"/>
    <w:rsid w:val="001B13FE"/>
    <w:rsid w:val="001C5310"/>
    <w:rsid w:val="001D0830"/>
    <w:rsid w:val="001E38DB"/>
    <w:rsid w:val="002028A4"/>
    <w:rsid w:val="0021699C"/>
    <w:rsid w:val="00283BB9"/>
    <w:rsid w:val="0030169D"/>
    <w:rsid w:val="003060EB"/>
    <w:rsid w:val="003153EB"/>
    <w:rsid w:val="00321985"/>
    <w:rsid w:val="00350B72"/>
    <w:rsid w:val="00351205"/>
    <w:rsid w:val="0037135A"/>
    <w:rsid w:val="00372F74"/>
    <w:rsid w:val="00376CEB"/>
    <w:rsid w:val="00386DD9"/>
    <w:rsid w:val="003A2249"/>
    <w:rsid w:val="003A470A"/>
    <w:rsid w:val="003B7BB2"/>
    <w:rsid w:val="003D3E86"/>
    <w:rsid w:val="003F7224"/>
    <w:rsid w:val="00427D21"/>
    <w:rsid w:val="0043028B"/>
    <w:rsid w:val="004550B4"/>
    <w:rsid w:val="00462FE8"/>
    <w:rsid w:val="004644C2"/>
    <w:rsid w:val="00467F9C"/>
    <w:rsid w:val="004B539A"/>
    <w:rsid w:val="004C2F5E"/>
    <w:rsid w:val="004F58DF"/>
    <w:rsid w:val="00534681"/>
    <w:rsid w:val="00563442"/>
    <w:rsid w:val="00565B42"/>
    <w:rsid w:val="0057219D"/>
    <w:rsid w:val="0059757C"/>
    <w:rsid w:val="005A59D8"/>
    <w:rsid w:val="005B465E"/>
    <w:rsid w:val="005B4ADC"/>
    <w:rsid w:val="005B4FF0"/>
    <w:rsid w:val="005C4CE6"/>
    <w:rsid w:val="005D0B51"/>
    <w:rsid w:val="005E0ED3"/>
    <w:rsid w:val="005F05A3"/>
    <w:rsid w:val="00604A13"/>
    <w:rsid w:val="006122BA"/>
    <w:rsid w:val="006B2290"/>
    <w:rsid w:val="00717D88"/>
    <w:rsid w:val="00786056"/>
    <w:rsid w:val="007942D3"/>
    <w:rsid w:val="007B2099"/>
    <w:rsid w:val="007B6C09"/>
    <w:rsid w:val="007B7741"/>
    <w:rsid w:val="007D1B35"/>
    <w:rsid w:val="007E09DA"/>
    <w:rsid w:val="007E0DA8"/>
    <w:rsid w:val="007E2A86"/>
    <w:rsid w:val="00810A55"/>
    <w:rsid w:val="008178B6"/>
    <w:rsid w:val="0082485B"/>
    <w:rsid w:val="0083009D"/>
    <w:rsid w:val="008502AD"/>
    <w:rsid w:val="00865B74"/>
    <w:rsid w:val="00876CE9"/>
    <w:rsid w:val="0087727D"/>
    <w:rsid w:val="008974F0"/>
    <w:rsid w:val="008B012A"/>
    <w:rsid w:val="008B168D"/>
    <w:rsid w:val="008C6619"/>
    <w:rsid w:val="008E1E7E"/>
    <w:rsid w:val="00906E17"/>
    <w:rsid w:val="00910AD5"/>
    <w:rsid w:val="00930BA1"/>
    <w:rsid w:val="0093169E"/>
    <w:rsid w:val="00937130"/>
    <w:rsid w:val="00941352"/>
    <w:rsid w:val="009505C9"/>
    <w:rsid w:val="00950752"/>
    <w:rsid w:val="00956289"/>
    <w:rsid w:val="00966424"/>
    <w:rsid w:val="009801E1"/>
    <w:rsid w:val="00985A7F"/>
    <w:rsid w:val="009B70B9"/>
    <w:rsid w:val="009C0AF4"/>
    <w:rsid w:val="009C2DE6"/>
    <w:rsid w:val="009E2D8E"/>
    <w:rsid w:val="00A1252A"/>
    <w:rsid w:val="00AA40ED"/>
    <w:rsid w:val="00AA6F92"/>
    <w:rsid w:val="00AB6934"/>
    <w:rsid w:val="00AC3CDE"/>
    <w:rsid w:val="00AD7FFC"/>
    <w:rsid w:val="00AF42DE"/>
    <w:rsid w:val="00B26ACD"/>
    <w:rsid w:val="00B3369F"/>
    <w:rsid w:val="00B511CA"/>
    <w:rsid w:val="00B53F92"/>
    <w:rsid w:val="00B932F9"/>
    <w:rsid w:val="00B94E6C"/>
    <w:rsid w:val="00BA33A0"/>
    <w:rsid w:val="00BB4606"/>
    <w:rsid w:val="00BD2F2A"/>
    <w:rsid w:val="00BF11F9"/>
    <w:rsid w:val="00C02B5C"/>
    <w:rsid w:val="00C07B8C"/>
    <w:rsid w:val="00C23D2F"/>
    <w:rsid w:val="00C443BD"/>
    <w:rsid w:val="00C451C5"/>
    <w:rsid w:val="00C9161D"/>
    <w:rsid w:val="00CA0C1D"/>
    <w:rsid w:val="00CF1848"/>
    <w:rsid w:val="00D12044"/>
    <w:rsid w:val="00D30264"/>
    <w:rsid w:val="00D33EFC"/>
    <w:rsid w:val="00D40DBC"/>
    <w:rsid w:val="00D76A18"/>
    <w:rsid w:val="00D80849"/>
    <w:rsid w:val="00D82E8F"/>
    <w:rsid w:val="00DC4FC9"/>
    <w:rsid w:val="00DD118C"/>
    <w:rsid w:val="00E023E2"/>
    <w:rsid w:val="00E155D4"/>
    <w:rsid w:val="00E15958"/>
    <w:rsid w:val="00E427D6"/>
    <w:rsid w:val="00E66235"/>
    <w:rsid w:val="00E735E1"/>
    <w:rsid w:val="00E83C24"/>
    <w:rsid w:val="00E8645F"/>
    <w:rsid w:val="00E9318D"/>
    <w:rsid w:val="00EC1F46"/>
    <w:rsid w:val="00F13560"/>
    <w:rsid w:val="00F53193"/>
    <w:rsid w:val="00F5357E"/>
    <w:rsid w:val="00F6586C"/>
    <w:rsid w:val="00F94774"/>
    <w:rsid w:val="00FA0E9A"/>
    <w:rsid w:val="00FA568D"/>
    <w:rsid w:val="00FA586B"/>
    <w:rsid w:val="00FA663B"/>
    <w:rsid w:val="00FC25F8"/>
    <w:rsid w:val="00FC53DB"/>
    <w:rsid w:val="00FD4D94"/>
    <w:rsid w:val="00FE2131"/>
    <w:rsid w:val="02D79855"/>
    <w:rsid w:val="098E0786"/>
    <w:rsid w:val="0F61ECD4"/>
    <w:rsid w:val="1D73526F"/>
    <w:rsid w:val="1E58681D"/>
    <w:rsid w:val="1FFEA775"/>
    <w:rsid w:val="474F15B8"/>
    <w:rsid w:val="66F80632"/>
    <w:rsid w:val="6770E24F"/>
    <w:rsid w:val="68534D28"/>
    <w:rsid w:val="789863E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Ha,HOJ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9E2D8E"/>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37135A"/>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37135A"/>
    <w:rPr>
      <w:rFonts w:ascii="Times New Roman" w:eastAsia="Times New Roman" w:hAnsi="Times New Roman" w:cs="Times New Roman"/>
      <w:b/>
      <w:bCs/>
      <w:sz w:val="20"/>
      <w:szCs w:val="20"/>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basedOn w:val="Policepardfaut"/>
    <w:link w:val="Paragraphedeliste"/>
    <w:uiPriority w:val="34"/>
    <w:qFormat/>
    <w:rsid w:val="00B53F92"/>
    <w:rPr>
      <w:rFonts w:ascii="Times New Roman" w:eastAsia="Times New Roman" w:hAnsi="Times New Roman" w:cs="Times New Roman"/>
      <w:sz w:val="22"/>
      <w:lang w:val="en-GB"/>
    </w:rPr>
  </w:style>
  <w:style w:type="paragraph" w:styleId="NormalWeb">
    <w:name w:val="Normal (Web)"/>
    <w:basedOn w:val="Normal"/>
    <w:uiPriority w:val="99"/>
    <w:unhideWhenUsed/>
    <w:rsid w:val="007D1B35"/>
    <w:pPr>
      <w:spacing w:before="100" w:beforeAutospacing="1" w:after="100" w:afterAutospacing="1"/>
      <w:jc w:val="left"/>
    </w:pPr>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FC79C1C0E3874F059355CF1137F51220"/>
        <w:category>
          <w:name w:val="Général"/>
          <w:gallery w:val="placeholder"/>
        </w:category>
        <w:types>
          <w:type w:val="bbPlcHdr"/>
        </w:types>
        <w:behaviors>
          <w:behavior w:val="content"/>
        </w:behaviors>
        <w:guid w:val="{C8276F07-00B9-40C0-BE6C-EB7F52478723}"/>
      </w:docPartPr>
      <w:docPartBody>
        <w:p w:rsidR="00000000" w:rsidRDefault="006B5201" w:rsidP="006B5201">
          <w:pPr>
            <w:pStyle w:val="FC79C1C0E3874F059355CF1137F51220"/>
          </w:pPr>
          <w:r w:rsidRPr="007E02EB">
            <w:rPr>
              <w:rStyle w:val="Textedelespacerserv"/>
            </w:rPr>
            <w:t>[Title]</w:t>
          </w:r>
        </w:p>
      </w:docPartBody>
    </w:docPart>
    <w:docPart>
      <w:docPartPr>
        <w:name w:val="6F06F31FC3964E06A63422C530BD3E7D"/>
        <w:category>
          <w:name w:val="Général"/>
          <w:gallery w:val="placeholder"/>
        </w:category>
        <w:types>
          <w:type w:val="bbPlcHdr"/>
        </w:types>
        <w:behaviors>
          <w:behavior w:val="content"/>
        </w:behaviors>
        <w:guid w:val="{DFF3698F-5B59-4FC9-A37F-B9EFDECFE7D3}"/>
      </w:docPartPr>
      <w:docPartBody>
        <w:p w:rsidR="00000000" w:rsidRDefault="006B5201" w:rsidP="006B5201">
          <w:pPr>
            <w:pStyle w:val="6F06F31FC3964E06A63422C530BD3E7D"/>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528A6"/>
    <w:rsid w:val="003D14D6"/>
    <w:rsid w:val="0044256F"/>
    <w:rsid w:val="0046422C"/>
    <w:rsid w:val="004760CF"/>
    <w:rsid w:val="004E092F"/>
    <w:rsid w:val="00500A2B"/>
    <w:rsid w:val="0058288D"/>
    <w:rsid w:val="00665C6B"/>
    <w:rsid w:val="006801B3"/>
    <w:rsid w:val="006B5201"/>
    <w:rsid w:val="00810A55"/>
    <w:rsid w:val="008C6619"/>
    <w:rsid w:val="008D420E"/>
    <w:rsid w:val="0098642F"/>
    <w:rsid w:val="00A900A5"/>
    <w:rsid w:val="00AA3783"/>
    <w:rsid w:val="00B27D2C"/>
    <w:rsid w:val="00C8104B"/>
    <w:rsid w:val="00D31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5201"/>
    <w:rPr>
      <w:color w:val="808080"/>
    </w:rPr>
  </w:style>
  <w:style w:type="paragraph" w:customStyle="1" w:styleId="41CD2235DA784989A1F422B550F0234C">
    <w:name w:val="41CD2235DA784989A1F422B550F0234C"/>
    <w:rsid w:val="006B5201"/>
    <w:pPr>
      <w:spacing w:after="160" w:line="259" w:lineRule="auto"/>
    </w:pPr>
    <w:rPr>
      <w:lang w:val="fr-FR" w:eastAsia="fr-FR"/>
    </w:rPr>
  </w:style>
  <w:style w:type="paragraph" w:customStyle="1" w:styleId="FC79C1C0E3874F059355CF1137F51220">
    <w:name w:val="FC79C1C0E3874F059355CF1137F51220"/>
    <w:rsid w:val="006B5201"/>
    <w:pPr>
      <w:spacing w:after="160" w:line="259" w:lineRule="auto"/>
    </w:pPr>
    <w:rPr>
      <w:lang w:val="fr-FR" w:eastAsia="fr-FR"/>
    </w:rPr>
  </w:style>
  <w:style w:type="paragraph" w:customStyle="1" w:styleId="6F06F31FC3964E06A63422C530BD3E7D">
    <w:name w:val="6F06F31FC3964E06A63422C530BD3E7D"/>
    <w:rsid w:val="006B5201"/>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0AD67C-0F71-4344-B3F1-05B5A4C93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2377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Compliance with the Protocol</vt:lpstr>
    </vt:vector>
  </TitlesOfParts>
  <Company>SCBD</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NP-4/2.		Conformité avec le Protocole</dc:title>
  <dc:subject>CBD/NP/MOP/DEC/4/2</dc:subject>
  <dc:creator>SCBD</dc:creator>
  <cp:keywords>Conference of the Parties serving as the meeting of the Parties to the Nagoya Protocol on Access to Genetic Resources and the Fair and Equitable Sharing of Benefits Arising from Their Utilization</cp:keywords>
  <cp:lastModifiedBy>VDS</cp:lastModifiedBy>
  <cp:revision>8</cp:revision>
  <cp:lastPrinted>2020-01-21T16:56:00Z</cp:lastPrinted>
  <dcterms:created xsi:type="dcterms:W3CDTF">2023-02-20T19:57:00Z</dcterms:created>
  <dcterms:modified xsi:type="dcterms:W3CDTF">2023-02-20T20:14:00Z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