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7" w:type="dxa"/>
        <w:tblLayout w:type="fixed"/>
        <w:tblLook w:val="00A0"/>
      </w:tblPr>
      <w:tblGrid>
        <w:gridCol w:w="976"/>
        <w:gridCol w:w="5141"/>
        <w:gridCol w:w="3840"/>
      </w:tblGrid>
      <w:tr w:rsidR="00770F0A" w:rsidRPr="00567B79" w:rsidTr="00567B79">
        <w:trPr>
          <w:trHeight w:val="851"/>
        </w:trPr>
        <w:tc>
          <w:tcPr>
            <w:tcW w:w="976" w:type="dxa"/>
            <w:tcBorders>
              <w:bottom w:val="single" w:sz="12" w:space="0" w:color="auto"/>
            </w:tcBorders>
            <w:shd w:val="clear" w:color="auto" w:fill="auto"/>
          </w:tcPr>
          <w:p w:rsidR="00770F0A" w:rsidRPr="00567B79" w:rsidRDefault="0082637C">
            <w:pPr>
              <w:rPr>
                <w:rFonts w:eastAsia="Times New Roman"/>
                <w:lang w:val="es-ES"/>
              </w:rPr>
            </w:pPr>
            <w:r w:rsidRPr="00567B79">
              <w:rPr>
                <w:rFonts w:eastAsia="Times New Roman"/>
                <w:snapToGrid/>
                <w:lang w:val="es-ES" w:eastAsia="en-US"/>
              </w:rPr>
              <w:drawing>
                <wp:inline distT="0" distB="0" distL="0" distR="0">
                  <wp:extent cx="426720"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672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shd w:val="clear" w:color="auto" w:fill="auto"/>
            <w:tcFitText/>
          </w:tcPr>
          <w:p w:rsidR="00770F0A" w:rsidRPr="00567B79" w:rsidRDefault="0082637C">
            <w:pPr>
              <w:rPr>
                <w:rFonts w:eastAsia="Times New Roman"/>
                <w:lang w:val="es-ES"/>
              </w:rPr>
            </w:pPr>
            <w:r w:rsidRPr="00567B79">
              <w:rPr>
                <w:rFonts w:eastAsia="Times New Roman"/>
                <w:snapToGrid/>
                <w:lang w:val="es-ES" w:eastAsia="en-US"/>
              </w:rPr>
              <w:drawing>
                <wp:inline distT="0" distB="0" distL="0" distR="0">
                  <wp:extent cx="609600" cy="3505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0520"/>
                          </a:xfrm>
                          <a:prstGeom prst="rect">
                            <a:avLst/>
                          </a:prstGeom>
                          <a:noFill/>
                          <a:ln w="9525">
                            <a:noFill/>
                            <a:miter lim="800000"/>
                            <a:headEnd/>
                            <a:tailEnd/>
                          </a:ln>
                        </pic:spPr>
                      </pic:pic>
                    </a:graphicData>
                  </a:graphic>
                </wp:inline>
              </w:drawing>
            </w:r>
          </w:p>
        </w:tc>
        <w:tc>
          <w:tcPr>
            <w:tcW w:w="3840" w:type="dxa"/>
            <w:tcBorders>
              <w:bottom w:val="single" w:sz="12" w:space="0" w:color="auto"/>
            </w:tcBorders>
            <w:shd w:val="clear" w:color="auto" w:fill="auto"/>
          </w:tcPr>
          <w:p w:rsidR="00770F0A" w:rsidRPr="00567B79" w:rsidRDefault="00770F0A">
            <w:pPr>
              <w:ind w:right="-105"/>
              <w:jc w:val="right"/>
              <w:rPr>
                <w:rFonts w:ascii="Arial" w:eastAsia="Times New Roman" w:hAnsi="Arial" w:cs="Arial"/>
                <w:b/>
                <w:bCs/>
                <w:sz w:val="32"/>
                <w:szCs w:val="32"/>
                <w:lang w:val="es-ES"/>
              </w:rPr>
            </w:pPr>
            <w:r w:rsidRPr="00567B79">
              <w:rPr>
                <w:rFonts w:ascii="Arial" w:eastAsia="Times New Roman" w:hAnsi="Arial" w:cs="Arial"/>
                <w:b/>
                <w:bCs/>
                <w:sz w:val="32"/>
                <w:szCs w:val="32"/>
                <w:lang w:val="es-ES"/>
              </w:rPr>
              <w:t>CBD</w:t>
            </w:r>
          </w:p>
        </w:tc>
      </w:tr>
      <w:tr w:rsidR="00770F0A" w:rsidRPr="00567B79">
        <w:tc>
          <w:tcPr>
            <w:tcW w:w="6117" w:type="dxa"/>
            <w:gridSpan w:val="2"/>
            <w:tcBorders>
              <w:top w:val="single" w:sz="12" w:space="0" w:color="auto"/>
              <w:bottom w:val="single" w:sz="36" w:space="0" w:color="auto"/>
            </w:tcBorders>
            <w:vAlign w:val="center"/>
          </w:tcPr>
          <w:p w:rsidR="00770F0A" w:rsidRPr="00567B79" w:rsidRDefault="0082637C">
            <w:pPr>
              <w:rPr>
                <w:rFonts w:eastAsia="Times New Roman"/>
                <w:lang w:val="es-ES"/>
              </w:rPr>
            </w:pPr>
            <w:r w:rsidRPr="00567B79">
              <w:rPr>
                <w:rFonts w:eastAsia="Times New Roman"/>
                <w:snapToGrid/>
                <w:lang w:val="es-ES" w:eastAsia="en-US"/>
              </w:rPr>
              <w:drawing>
                <wp:inline distT="0" distB="0" distL="0" distR="0">
                  <wp:extent cx="2872740" cy="1059180"/>
                  <wp:effectExtent l="19050" t="0" r="381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740" cy="1059180"/>
                          </a:xfrm>
                          <a:prstGeom prst="rect">
                            <a:avLst/>
                          </a:prstGeom>
                          <a:noFill/>
                          <a:ln w="9525">
                            <a:noFill/>
                            <a:miter lim="800000"/>
                            <a:headEnd/>
                            <a:tailEnd/>
                          </a:ln>
                        </pic:spPr>
                      </pic:pic>
                    </a:graphicData>
                  </a:graphic>
                </wp:inline>
              </w:drawing>
            </w:r>
          </w:p>
        </w:tc>
        <w:tc>
          <w:tcPr>
            <w:tcW w:w="3840" w:type="dxa"/>
            <w:tcBorders>
              <w:top w:val="single" w:sz="12" w:space="0" w:color="auto"/>
              <w:bottom w:val="single" w:sz="36" w:space="0" w:color="auto"/>
            </w:tcBorders>
          </w:tcPr>
          <w:p w:rsidR="00770F0A" w:rsidRPr="00567B79" w:rsidRDefault="00770F0A">
            <w:pPr>
              <w:ind w:left="1036"/>
              <w:rPr>
                <w:rFonts w:eastAsia="Times New Roman"/>
                <w:lang w:val="es-ES"/>
              </w:rPr>
            </w:pPr>
            <w:r w:rsidRPr="00567B79">
              <w:rPr>
                <w:rFonts w:eastAsia="Times New Roman"/>
                <w:lang w:val="es-ES"/>
              </w:rPr>
              <w:t>Distr.</w:t>
            </w:r>
          </w:p>
          <w:p w:rsidR="00770F0A" w:rsidRPr="00567B79" w:rsidRDefault="00770F0A">
            <w:pPr>
              <w:ind w:left="1036" w:right="810"/>
              <w:rPr>
                <w:rFonts w:eastAsia="Times New Roman"/>
                <w:lang w:val="es-ES"/>
              </w:rPr>
            </w:pPr>
            <w:r w:rsidRPr="00567B79">
              <w:rPr>
                <w:rFonts w:eastAsia="Times New Roman"/>
                <w:caps/>
                <w:lang w:val="es-ES"/>
              </w:rPr>
              <w:t>GENERAL</w:t>
            </w:r>
          </w:p>
          <w:p w:rsidR="00770F0A" w:rsidRPr="00567B79" w:rsidRDefault="00770F0A">
            <w:pPr>
              <w:ind w:left="1036"/>
              <w:rPr>
                <w:rFonts w:eastAsia="Times New Roman"/>
                <w:lang w:val="es-ES"/>
              </w:rPr>
            </w:pPr>
          </w:p>
          <w:p w:rsidR="00770F0A" w:rsidRPr="00567B79" w:rsidRDefault="00770F0A">
            <w:pPr>
              <w:ind w:left="1036"/>
              <w:rPr>
                <w:rFonts w:eastAsia="Times New Roman"/>
                <w:lang w:val="es-ES"/>
              </w:rPr>
            </w:pPr>
            <w:r w:rsidRPr="00567B79">
              <w:rPr>
                <w:rFonts w:eastAsia="Times New Roman"/>
                <w:lang w:val="es-ES"/>
              </w:rPr>
              <w:t>CBD/NP/MOP/DEC/4/4</w:t>
            </w:r>
          </w:p>
          <w:p w:rsidR="00770F0A" w:rsidRPr="00567B79" w:rsidRDefault="00770F0A">
            <w:pPr>
              <w:ind w:left="1036"/>
              <w:rPr>
                <w:rFonts w:eastAsia="Times New Roman"/>
                <w:lang w:val="es-ES"/>
              </w:rPr>
            </w:pPr>
            <w:r w:rsidRPr="00567B79">
              <w:rPr>
                <w:rFonts w:eastAsia="Times New Roman"/>
                <w:lang w:val="es-ES"/>
              </w:rPr>
              <w:t>19 de diciembre de 2022</w:t>
            </w:r>
          </w:p>
          <w:p w:rsidR="00770F0A" w:rsidRPr="00567B79" w:rsidRDefault="00770F0A">
            <w:pPr>
              <w:ind w:left="1036"/>
              <w:rPr>
                <w:rFonts w:eastAsia="Times New Roman"/>
                <w:lang w:val="es-ES"/>
              </w:rPr>
            </w:pPr>
          </w:p>
          <w:p w:rsidR="00770F0A" w:rsidRPr="00567B79" w:rsidRDefault="00770F0A">
            <w:pPr>
              <w:ind w:left="1036"/>
              <w:rPr>
                <w:rFonts w:eastAsia="Times New Roman"/>
                <w:lang w:val="es-ES"/>
              </w:rPr>
            </w:pPr>
            <w:r w:rsidRPr="00567B79">
              <w:rPr>
                <w:rFonts w:eastAsia="Times New Roman"/>
                <w:lang w:val="es-ES"/>
              </w:rPr>
              <w:t>ESPAÑOL</w:t>
            </w:r>
          </w:p>
          <w:p w:rsidR="00770F0A" w:rsidRPr="00567B79" w:rsidRDefault="00770F0A">
            <w:pPr>
              <w:ind w:left="1036"/>
              <w:rPr>
                <w:rFonts w:eastAsia="Times New Roman"/>
                <w:lang w:val="es-ES"/>
              </w:rPr>
            </w:pPr>
            <w:r w:rsidRPr="00567B79">
              <w:rPr>
                <w:rFonts w:eastAsia="Times New Roman"/>
                <w:lang w:val="es-ES"/>
              </w:rPr>
              <w:t>ORIGINAL: INGLÉS</w:t>
            </w:r>
          </w:p>
          <w:p w:rsidR="00770F0A" w:rsidRPr="00567B79" w:rsidRDefault="00770F0A">
            <w:pPr>
              <w:rPr>
                <w:rFonts w:eastAsia="Times New Roman"/>
                <w:lang w:val="es-ES"/>
              </w:rPr>
            </w:pPr>
          </w:p>
        </w:tc>
      </w:tr>
    </w:tbl>
    <w:p w:rsidR="00770F0A" w:rsidRPr="00567B79" w:rsidRDefault="00770F0A">
      <w:pPr>
        <w:pStyle w:val="Cornernotation"/>
        <w:kinsoku w:val="0"/>
        <w:overflowPunct w:val="0"/>
        <w:autoSpaceDE w:val="0"/>
        <w:autoSpaceDN w:val="0"/>
        <w:spacing w:before="60"/>
        <w:ind w:left="227" w:right="3792" w:hanging="227"/>
        <w:rPr>
          <w:rFonts w:eastAsia="Times New Roman"/>
          <w:kern w:val="22"/>
          <w:lang w:val="es-ES"/>
        </w:rPr>
      </w:pPr>
      <w:r w:rsidRPr="00567B79">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770F0A" w:rsidRPr="00567B79" w:rsidRDefault="00770F0A">
      <w:pPr>
        <w:pStyle w:val="Cornernotation"/>
        <w:kinsoku w:val="0"/>
        <w:overflowPunct w:val="0"/>
        <w:autoSpaceDE w:val="0"/>
        <w:autoSpaceDN w:val="0"/>
        <w:ind w:left="0" w:right="3792" w:firstLine="0"/>
        <w:rPr>
          <w:rFonts w:eastAsia="Times New Roman"/>
          <w:kern w:val="22"/>
          <w:lang w:val="es-ES"/>
        </w:rPr>
      </w:pPr>
      <w:r w:rsidRPr="00567B79">
        <w:rPr>
          <w:rFonts w:eastAsia="Times New Roman"/>
          <w:kern w:val="22"/>
          <w:lang w:val="es-ES"/>
        </w:rPr>
        <w:t>Cuarta reunión – Parte II</w:t>
      </w:r>
    </w:p>
    <w:p w:rsidR="00770F0A" w:rsidRPr="00567B79" w:rsidRDefault="00770F0A">
      <w:pPr>
        <w:pStyle w:val="Cornernotation"/>
        <w:kinsoku w:val="0"/>
        <w:overflowPunct w:val="0"/>
        <w:autoSpaceDE w:val="0"/>
        <w:autoSpaceDN w:val="0"/>
        <w:ind w:left="227" w:right="3792" w:hanging="227"/>
        <w:rPr>
          <w:rFonts w:eastAsia="Times New Roman"/>
          <w:kern w:val="22"/>
          <w:lang w:val="es-ES"/>
        </w:rPr>
      </w:pPr>
      <w:r w:rsidRPr="00567B79">
        <w:rPr>
          <w:rFonts w:eastAsia="Times New Roman"/>
          <w:kern w:val="22"/>
          <w:lang w:val="es-ES"/>
        </w:rPr>
        <w:t>Montreal (Canadá), 7 a 19 de diciembre de 2022</w:t>
      </w:r>
    </w:p>
    <w:p w:rsidR="00770F0A" w:rsidRPr="00567B79" w:rsidRDefault="00770F0A">
      <w:pPr>
        <w:ind w:right="3792"/>
        <w:rPr>
          <w:rFonts w:eastAsia="Times New Roman"/>
          <w:kern w:val="22"/>
          <w:lang w:val="es-ES"/>
        </w:rPr>
      </w:pPr>
      <w:r w:rsidRPr="00567B79">
        <w:rPr>
          <w:rFonts w:eastAsia="Times New Roman"/>
          <w:kern w:val="22"/>
          <w:lang w:val="es-ES"/>
        </w:rPr>
        <w:t>Tema 9 del programa</w:t>
      </w:r>
    </w:p>
    <w:p w:rsidR="00770F0A" w:rsidRPr="00567B79" w:rsidRDefault="00770F0A">
      <w:pPr>
        <w:spacing w:before="240" w:after="240"/>
        <w:jc w:val="center"/>
        <w:rPr>
          <w:rFonts w:eastAsia="Times New Roman"/>
          <w:b/>
          <w:bCs/>
          <w:caps/>
          <w:lang w:val="es-ES"/>
        </w:rPr>
      </w:pPr>
      <w:r w:rsidRPr="00567B79">
        <w:rPr>
          <w:rFonts w:eastAsia="Times New Roman"/>
          <w:b/>
          <w:bCs/>
          <w:caps/>
          <w:lang w:val="es-ES"/>
        </w:rPr>
        <w:t>DECISIÓN ADOPTADA POR LAS PARTES EN EL Protocolo de Nagoya sobre Acceso y Participación en los Beneficios</w:t>
      </w:r>
    </w:p>
    <w:p w:rsidR="00770F0A" w:rsidRPr="00567B79" w:rsidRDefault="00770F0A">
      <w:pPr>
        <w:tabs>
          <w:tab w:val="left" w:pos="993"/>
        </w:tabs>
        <w:spacing w:before="240" w:after="240"/>
        <w:jc w:val="center"/>
        <w:outlineLvl w:val="1"/>
        <w:rPr>
          <w:rFonts w:eastAsia="Times New Roman"/>
          <w:b/>
          <w:bCs/>
          <w:caps/>
          <w:lang w:val="es-ES"/>
        </w:rPr>
      </w:pPr>
      <w:r w:rsidRPr="00567B79">
        <w:rPr>
          <w:rFonts w:eastAsia="Times New Roman"/>
          <w:b/>
          <w:kern w:val="22"/>
          <w:lang w:val="es-ES"/>
        </w:rPr>
        <w:t>NP-4/4.</w:t>
      </w:r>
      <w:r w:rsidRPr="00567B79">
        <w:rPr>
          <w:rFonts w:eastAsia="Times New Roman"/>
          <w:b/>
          <w:kern w:val="22"/>
          <w:lang w:val="es-ES"/>
        </w:rPr>
        <w:tab/>
      </w:r>
      <w:r w:rsidRPr="00567B79">
        <w:rPr>
          <w:rFonts w:eastAsia="Times New Roman"/>
          <w:b/>
          <w:bCs/>
          <w:lang w:val="es-ES"/>
        </w:rPr>
        <w:t>Centro de Intercambio de Información sobre Acceso y Participación en los Beneficios e intercambio de información (artículo 14)</w:t>
      </w:r>
    </w:p>
    <w:p w:rsidR="00770F0A" w:rsidRPr="00567B79" w:rsidRDefault="00770F0A">
      <w:pPr>
        <w:spacing w:before="120" w:after="120"/>
        <w:ind w:firstLine="720"/>
        <w:rPr>
          <w:rFonts w:eastAsia="Times New Roman"/>
          <w:i/>
          <w:iCs/>
          <w:color w:val="000000"/>
          <w:kern w:val="20"/>
          <w:lang w:val="es-ES"/>
        </w:rPr>
      </w:pPr>
      <w:r w:rsidRPr="00567B79">
        <w:rPr>
          <w:rFonts w:eastAsia="Times New Roman"/>
          <w:i/>
          <w:iCs/>
          <w:color w:val="000000"/>
          <w:kern w:val="20"/>
          <w:lang w:val="es-ES"/>
        </w:rPr>
        <w:t>La Conferencia de las Partes que actúa como reunión de las Partes en el Protocolo de Nagoya</w:t>
      </w:r>
    </w:p>
    <w:p w:rsidR="00770F0A" w:rsidRPr="00567B79" w:rsidRDefault="00770F0A">
      <w:pPr>
        <w:pStyle w:val="Para1"/>
        <w:numPr>
          <w:ilvl w:val="0"/>
          <w:numId w:val="0"/>
        </w:numPr>
        <w:tabs>
          <w:tab w:val="left" w:pos="360"/>
        </w:tabs>
        <w:ind w:firstLine="720"/>
        <w:rPr>
          <w:rFonts w:eastAsia="Times New Roman"/>
          <w:lang w:val="es-ES"/>
        </w:rPr>
      </w:pPr>
      <w:r w:rsidRPr="00567B79">
        <w:rPr>
          <w:rFonts w:eastAsia="Times New Roman"/>
          <w:lang w:val="es-ES"/>
        </w:rPr>
        <w:t>1.</w:t>
      </w:r>
      <w:r w:rsidRPr="00567B79">
        <w:rPr>
          <w:rFonts w:eastAsia="Times New Roman"/>
          <w:lang w:val="es-ES"/>
        </w:rPr>
        <w:tab/>
      </w:r>
      <w:r w:rsidRPr="00567B79">
        <w:rPr>
          <w:rFonts w:eastAsia="Times New Roman"/>
          <w:i/>
          <w:iCs/>
          <w:lang w:val="es-ES"/>
        </w:rPr>
        <w:t xml:space="preserve">Acoge con satisfacción </w:t>
      </w:r>
      <w:r w:rsidRPr="00567B79">
        <w:rPr>
          <w:rFonts w:eastAsia="Times New Roman"/>
          <w:lang w:val="es-ES"/>
        </w:rPr>
        <w:t>los progresos alcanzados por la Secretaría en el desarrollo y la administración del Centro de Intercambio de Información sobre Acceso y Participación en los Beneficios;</w:t>
      </w:r>
    </w:p>
    <w:p w:rsidR="00770F0A" w:rsidRPr="00567B79" w:rsidRDefault="00770F0A">
      <w:pPr>
        <w:pStyle w:val="Para1"/>
        <w:numPr>
          <w:ilvl w:val="0"/>
          <w:numId w:val="0"/>
        </w:numPr>
        <w:tabs>
          <w:tab w:val="left" w:pos="360"/>
        </w:tabs>
        <w:ind w:firstLine="720"/>
        <w:rPr>
          <w:rFonts w:eastAsia="Times New Roman"/>
          <w:i/>
          <w:iCs/>
          <w:lang w:val="es-ES"/>
        </w:rPr>
      </w:pPr>
      <w:r w:rsidRPr="00567B79">
        <w:rPr>
          <w:rFonts w:eastAsia="Times New Roman"/>
          <w:lang w:val="es-ES"/>
        </w:rPr>
        <w:t>2.</w:t>
      </w:r>
      <w:r w:rsidRPr="00567B79">
        <w:rPr>
          <w:rFonts w:eastAsia="Times New Roman"/>
          <w:lang w:val="es-ES"/>
        </w:rPr>
        <w:tab/>
      </w:r>
      <w:r w:rsidRPr="00567B79">
        <w:rPr>
          <w:rFonts w:eastAsia="Times New Roman"/>
          <w:i/>
          <w:iCs/>
          <w:lang w:val="es-ES"/>
        </w:rPr>
        <w:t>Acoge con satisfacción también</w:t>
      </w:r>
      <w:r w:rsidRPr="00567B79">
        <w:rPr>
          <w:rFonts w:eastAsia="Times New Roman"/>
          <w:lang w:val="es-ES"/>
        </w:rPr>
        <w:t xml:space="preserve"> los esfuerzos realizados por las Partes, otros Gobiernos, pueblos indígenas y comunidades locales e interesados pertinentes para facilitar información al Centro de Intercambio de Información sobre Acceso y Participación en los Beneficios;</w:t>
      </w:r>
    </w:p>
    <w:p w:rsidR="00770F0A" w:rsidRPr="00567B79" w:rsidRDefault="00770F0A">
      <w:pPr>
        <w:pStyle w:val="Para1"/>
        <w:numPr>
          <w:ilvl w:val="0"/>
          <w:numId w:val="0"/>
        </w:numPr>
        <w:tabs>
          <w:tab w:val="left" w:pos="360"/>
        </w:tabs>
        <w:ind w:firstLine="720"/>
        <w:rPr>
          <w:rFonts w:eastAsia="Times New Roman"/>
          <w:lang w:val="es-ES"/>
        </w:rPr>
      </w:pPr>
      <w:r w:rsidRPr="00567B79">
        <w:rPr>
          <w:rFonts w:eastAsia="Times New Roman"/>
          <w:lang w:val="es-ES"/>
        </w:rPr>
        <w:t>3.</w:t>
      </w:r>
      <w:r w:rsidRPr="00567B79">
        <w:rPr>
          <w:rFonts w:eastAsia="Times New Roman"/>
          <w:lang w:val="es-ES"/>
        </w:rPr>
        <w:tab/>
      </w:r>
      <w:r w:rsidRPr="00567B79">
        <w:rPr>
          <w:rFonts w:eastAsia="Times New Roman"/>
          <w:i/>
          <w:iCs/>
          <w:lang w:val="es-ES"/>
        </w:rPr>
        <w:t>Recuerda</w:t>
      </w:r>
      <w:r w:rsidRPr="00567B79">
        <w:rPr>
          <w:rFonts w:eastAsia="Times New Roman"/>
          <w:lang w:val="es-ES"/>
        </w:rPr>
        <w:t xml:space="preserve"> la decisión</w:t>
      </w:r>
      <w:r w:rsidR="00641A07">
        <w:rPr>
          <w:rFonts w:eastAsia="Times New Roman"/>
          <w:lang w:val="es-ES"/>
        </w:rPr>
        <w:t> </w:t>
      </w:r>
      <w:r w:rsidRPr="00567B79">
        <w:rPr>
          <w:rFonts w:eastAsia="Times New Roman"/>
          <w:lang w:val="es-ES"/>
        </w:rPr>
        <w:t>NP-3/3, párrafo</w:t>
      </w:r>
      <w:r w:rsidR="00641A07">
        <w:rPr>
          <w:rFonts w:eastAsia="Times New Roman"/>
          <w:lang w:val="es-ES"/>
        </w:rPr>
        <w:t> </w:t>
      </w:r>
      <w:r w:rsidRPr="00567B79">
        <w:rPr>
          <w:rFonts w:eastAsia="Times New Roman"/>
          <w:lang w:val="es-ES"/>
        </w:rPr>
        <w:t>3, e</w:t>
      </w:r>
      <w:r w:rsidR="00641A07">
        <w:rPr>
          <w:rFonts w:eastAsia="Times New Roman"/>
          <w:lang w:val="es-ES"/>
        </w:rPr>
        <w:t>n la que</w:t>
      </w:r>
      <w:r w:rsidRPr="00567B79">
        <w:rPr>
          <w:rFonts w:eastAsia="Times New Roman"/>
          <w:lang w:val="es-ES"/>
        </w:rPr>
        <w:t xml:space="preserve"> se inst</w:t>
      </w:r>
      <w:r w:rsidR="00641A07">
        <w:rPr>
          <w:rFonts w:eastAsia="Times New Roman"/>
          <w:lang w:val="es-ES"/>
        </w:rPr>
        <w:t>aba</w:t>
      </w:r>
      <w:r w:rsidRPr="00567B79">
        <w:rPr>
          <w:rFonts w:eastAsia="Times New Roman"/>
          <w:lang w:val="es-ES"/>
        </w:rPr>
        <w:t xml:space="preserve"> a las Partes que aún no lo hubieran hecho a que publicaran lo antes posible en el Centro de Intercambio de Información sobre Acceso y Participación en los Beneficios toda la información obligatoria que estuviera disponible a nivel nacional, en cumplimiento de las obligaciones asumidas en virtud del artículo</w:t>
      </w:r>
      <w:r w:rsidR="00567B79">
        <w:rPr>
          <w:rFonts w:eastAsia="Times New Roman"/>
          <w:lang w:val="es-ES"/>
        </w:rPr>
        <w:t> </w:t>
      </w:r>
      <w:r w:rsidRPr="00567B79">
        <w:rPr>
          <w:rFonts w:eastAsia="Times New Roman"/>
          <w:lang w:val="es-ES"/>
        </w:rPr>
        <w:t>14</w:t>
      </w:r>
      <w:r w:rsidR="00567B79">
        <w:rPr>
          <w:rFonts w:eastAsia="Times New Roman"/>
          <w:lang w:val="es-ES"/>
        </w:rPr>
        <w:t>, párrafo 2,</w:t>
      </w:r>
      <w:r w:rsidRPr="00567B79">
        <w:rPr>
          <w:rFonts w:eastAsia="Times New Roman"/>
          <w:lang w:val="es-ES"/>
        </w:rPr>
        <w:t xml:space="preserve"> del Protocolo, teniendo en cuenta que la publicación de información obligatoria en el Centro de Intercambio de Información sobre Acceso y Participación en los Beneficios es esencial para la aplicación del Protocolo de Nagoya;</w:t>
      </w:r>
    </w:p>
    <w:p w:rsidR="00770F0A" w:rsidRPr="00567B79" w:rsidRDefault="00770F0A">
      <w:pPr>
        <w:pStyle w:val="Para1"/>
        <w:numPr>
          <w:ilvl w:val="0"/>
          <w:numId w:val="0"/>
        </w:numPr>
        <w:tabs>
          <w:tab w:val="left" w:pos="360"/>
        </w:tabs>
        <w:ind w:firstLine="720"/>
        <w:rPr>
          <w:rFonts w:eastAsia="Times New Roman"/>
          <w:lang w:val="es-ES"/>
        </w:rPr>
      </w:pPr>
      <w:r w:rsidRPr="00567B79">
        <w:rPr>
          <w:rFonts w:eastAsia="Times New Roman"/>
          <w:lang w:val="es-ES"/>
        </w:rPr>
        <w:t>4.</w:t>
      </w:r>
      <w:r w:rsidRPr="00567B79">
        <w:rPr>
          <w:rFonts w:eastAsia="Times New Roman"/>
          <w:lang w:val="es-ES"/>
        </w:rPr>
        <w:tab/>
      </w:r>
      <w:r w:rsidRPr="00567B79">
        <w:rPr>
          <w:rFonts w:eastAsia="Times New Roman"/>
          <w:i/>
          <w:iCs/>
          <w:lang w:val="es-ES"/>
        </w:rPr>
        <w:t>Recuerda también</w:t>
      </w:r>
      <w:r w:rsidRPr="00567B79">
        <w:rPr>
          <w:rFonts w:eastAsia="Times New Roman"/>
          <w:lang w:val="es-ES"/>
        </w:rPr>
        <w:t xml:space="preserve"> la decisión NP-3/3, párrafo 4, en la que se inst</w:t>
      </w:r>
      <w:r w:rsidR="0027554A">
        <w:rPr>
          <w:rFonts w:eastAsia="Times New Roman"/>
          <w:lang w:val="es-ES"/>
        </w:rPr>
        <w:t>aba</w:t>
      </w:r>
      <w:r w:rsidRPr="00567B79">
        <w:rPr>
          <w:rFonts w:eastAsia="Times New Roman"/>
          <w:lang w:val="es-ES"/>
        </w:rPr>
        <w:t xml:space="preserve"> a las Partes a que proporcionaran información sobre sus procedimientos nacionales de acceso y participación en los beneficios, utilizando para ello el formato común voluntario sobre procedimientos que está disponible en el Centro de Intercambio de Información sobre Acceso y Participación en los Beneficios;</w:t>
      </w:r>
    </w:p>
    <w:p w:rsidR="00770F0A" w:rsidRPr="00567B79" w:rsidRDefault="00770F0A">
      <w:pPr>
        <w:pStyle w:val="Para1"/>
        <w:numPr>
          <w:ilvl w:val="0"/>
          <w:numId w:val="0"/>
        </w:numPr>
        <w:tabs>
          <w:tab w:val="left" w:pos="360"/>
        </w:tabs>
        <w:ind w:firstLine="720"/>
        <w:rPr>
          <w:rFonts w:eastAsia="Times New Roman"/>
          <w:lang w:val="es-ES"/>
        </w:rPr>
      </w:pPr>
      <w:r w:rsidRPr="00567B79">
        <w:rPr>
          <w:rFonts w:eastAsia="Times New Roman"/>
          <w:lang w:val="es-ES"/>
        </w:rPr>
        <w:t>5.</w:t>
      </w:r>
      <w:r w:rsidRPr="00567B79">
        <w:rPr>
          <w:rFonts w:eastAsia="Times New Roman"/>
          <w:lang w:val="es-ES"/>
        </w:rPr>
        <w:tab/>
      </w:r>
      <w:r w:rsidRPr="00567B79">
        <w:rPr>
          <w:rFonts w:eastAsia="Times New Roman"/>
          <w:i/>
          <w:iCs/>
          <w:lang w:val="es-ES"/>
        </w:rPr>
        <w:t>Recuerda asimismo</w:t>
      </w:r>
      <w:r w:rsidRPr="00567B79">
        <w:rPr>
          <w:rFonts w:eastAsia="Times New Roman"/>
          <w:lang w:val="es-ES"/>
        </w:rPr>
        <w:t xml:space="preserve"> la decisión NP-3/3, párrafo 9, en la que</w:t>
      </w:r>
      <w:r w:rsidR="0027554A">
        <w:rPr>
          <w:rFonts w:eastAsia="Times New Roman"/>
          <w:lang w:val="es-ES"/>
        </w:rPr>
        <w:t xml:space="preserve"> se</w:t>
      </w:r>
      <w:r w:rsidRPr="00567B79">
        <w:rPr>
          <w:rFonts w:eastAsia="Times New Roman"/>
          <w:lang w:val="es-ES"/>
        </w:rPr>
        <w:t xml:space="preserve"> invitaba a las Partes, otros Gobiernos y organizaciones pertinentes a utilizar los mecanismos de interoperabilidad del Centro de Intercambio de Información sobre Acceso y Participación en los Beneficios para facilitar el intercambio de información con sus bases de datos, sitios web y sistemas de tecnología de la información pertinentes, la decisión</w:t>
      </w:r>
      <w:r w:rsidR="00641A07">
        <w:rPr>
          <w:rFonts w:eastAsia="Times New Roman"/>
          <w:i/>
          <w:iCs/>
          <w:lang w:val="es-ES"/>
        </w:rPr>
        <w:t> </w:t>
      </w:r>
      <w:r w:rsidRPr="00567B79">
        <w:rPr>
          <w:rFonts w:eastAsia="Times New Roman"/>
          <w:lang w:val="es-ES"/>
        </w:rPr>
        <w:t xml:space="preserve">NP-3/3, párrafo 10, en la que </w:t>
      </w:r>
      <w:r w:rsidR="00641A07">
        <w:rPr>
          <w:rFonts w:eastAsia="Times New Roman"/>
          <w:lang w:val="es-ES"/>
        </w:rPr>
        <w:t xml:space="preserve">se </w:t>
      </w:r>
      <w:r w:rsidRPr="00567B79">
        <w:rPr>
          <w:rFonts w:eastAsia="Times New Roman"/>
          <w:lang w:val="es-ES"/>
        </w:rPr>
        <w:t xml:space="preserve">invitaba a las Partes, otros Gobiernos y organizaciones pertinentes, según procediera, a incluir actividades de creación de capacidad relacionadas con el Centro </w:t>
      </w:r>
      <w:r w:rsidRPr="00567B79">
        <w:rPr>
          <w:rFonts w:eastAsia="Times New Roman"/>
          <w:lang w:val="es-ES"/>
        </w:rPr>
        <w:lastRenderedPageBreak/>
        <w:t>de Intercambio de Información sobre Acceso y Participación en los Beneficios en sus actividades, planes y proyectos de creación de capacidad pertinentes</w:t>
      </w:r>
      <w:r w:rsidR="00641A07">
        <w:rPr>
          <w:rFonts w:eastAsia="Times New Roman"/>
          <w:lang w:val="es-ES"/>
        </w:rPr>
        <w:t>,</w:t>
      </w:r>
      <w:r w:rsidRPr="00567B79">
        <w:rPr>
          <w:rFonts w:eastAsia="Times New Roman"/>
          <w:lang w:val="es-ES"/>
        </w:rPr>
        <w:t xml:space="preserve"> en coordinación con la Secretaria Ejecutiva</w:t>
      </w:r>
      <w:r w:rsidR="00641A07">
        <w:rPr>
          <w:rFonts w:eastAsia="Times New Roman"/>
          <w:lang w:val="es-ES"/>
        </w:rPr>
        <w:t>,</w:t>
      </w:r>
      <w:r w:rsidRPr="00567B79">
        <w:rPr>
          <w:rFonts w:eastAsia="Times New Roman"/>
          <w:lang w:val="es-ES"/>
        </w:rPr>
        <w:t xml:space="preserve"> y la decisión NP-3/3,</w:t>
      </w:r>
      <w:r w:rsidR="00641A07">
        <w:rPr>
          <w:rFonts w:eastAsia="Times New Roman"/>
          <w:lang w:val="es-ES"/>
        </w:rPr>
        <w:t> </w:t>
      </w:r>
      <w:r w:rsidRPr="00567B79">
        <w:rPr>
          <w:rFonts w:eastAsia="Times New Roman"/>
          <w:lang w:val="es-ES"/>
        </w:rPr>
        <w:t xml:space="preserve">párrafo 11, en la que </w:t>
      </w:r>
      <w:r w:rsidR="00641A07">
        <w:rPr>
          <w:rFonts w:eastAsia="Times New Roman"/>
          <w:lang w:val="es-ES"/>
        </w:rPr>
        <w:t xml:space="preserve">se </w:t>
      </w:r>
      <w:r w:rsidRPr="00567B79">
        <w:rPr>
          <w:rFonts w:eastAsia="Times New Roman"/>
          <w:lang w:val="es-ES"/>
        </w:rPr>
        <w:t>invitaba a las Partes, otros Gobiernos, organizaciones internacionales pertinentes, bancos regionales de desarrollo y otras instituciones financieras, según procediera, a apoyar las actividades de creación de capacidad relacionadas con el Centro de Intercambio de Información sobre Acceso y Participación en los Beneficios, incluido el sistema de vigilancia de la utilización de recursos genéticos del Protocolo;</w:t>
      </w:r>
    </w:p>
    <w:p w:rsidR="00770F0A" w:rsidRPr="00567B79" w:rsidRDefault="00770F0A">
      <w:pPr>
        <w:pStyle w:val="Para1"/>
        <w:numPr>
          <w:ilvl w:val="0"/>
          <w:numId w:val="0"/>
        </w:numPr>
        <w:tabs>
          <w:tab w:val="left" w:pos="360"/>
        </w:tabs>
        <w:ind w:firstLine="720"/>
        <w:rPr>
          <w:rFonts w:eastAsia="Times New Roman"/>
          <w:lang w:val="es-ES"/>
        </w:rPr>
      </w:pPr>
      <w:r w:rsidRPr="00567B79">
        <w:rPr>
          <w:rFonts w:eastAsia="Times New Roman"/>
          <w:lang w:val="es-ES"/>
        </w:rPr>
        <w:t>6.</w:t>
      </w:r>
      <w:r w:rsidRPr="00567B79">
        <w:rPr>
          <w:rFonts w:eastAsia="Times New Roman"/>
          <w:lang w:val="es-ES"/>
        </w:rPr>
        <w:tab/>
      </w:r>
      <w:r w:rsidRPr="00567B79">
        <w:rPr>
          <w:rFonts w:eastAsia="Times New Roman"/>
          <w:i/>
          <w:iCs/>
          <w:lang w:val="es-ES"/>
        </w:rPr>
        <w:t>Invita</w:t>
      </w:r>
      <w:r w:rsidRPr="00567B79">
        <w:rPr>
          <w:rFonts w:eastAsia="Times New Roman"/>
          <w:lang w:val="es-ES"/>
        </w:rPr>
        <w:t xml:space="preserve"> a las Partes, otros Gobiernos, organizaciones internacionales pertinentes, bancos regionales de desarrollo y otras instituciones financieras, según proceda, a prestar apoyo para las actividades de creación y desarrollo de capacidad, incluidas aquellas relacionadas con el establecimiento de sistemas nacionales de </w:t>
      </w:r>
      <w:r w:rsidR="00700086">
        <w:rPr>
          <w:rFonts w:eastAsia="Times New Roman"/>
          <w:lang w:val="es-ES"/>
        </w:rPr>
        <w:t xml:space="preserve">concesión </w:t>
      </w:r>
      <w:r w:rsidR="00641A07">
        <w:rPr>
          <w:rFonts w:eastAsia="Times New Roman"/>
          <w:lang w:val="es-ES"/>
        </w:rPr>
        <w:t>electrónic</w:t>
      </w:r>
      <w:r w:rsidR="00700086">
        <w:rPr>
          <w:rFonts w:eastAsia="Times New Roman"/>
          <w:lang w:val="es-ES"/>
        </w:rPr>
        <w:t>a de</w:t>
      </w:r>
      <w:r w:rsidR="00700086" w:rsidRPr="00700086">
        <w:rPr>
          <w:rFonts w:eastAsia="Times New Roman"/>
          <w:lang w:val="es-ES"/>
        </w:rPr>
        <w:t xml:space="preserve"> </w:t>
      </w:r>
      <w:r w:rsidR="00700086" w:rsidRPr="00567B79">
        <w:rPr>
          <w:rFonts w:eastAsia="Times New Roman"/>
          <w:lang w:val="es-ES"/>
        </w:rPr>
        <w:t>permisos</w:t>
      </w:r>
      <w:r w:rsidR="00641A07">
        <w:rPr>
          <w:rFonts w:eastAsia="Times New Roman"/>
          <w:lang w:val="es-ES"/>
        </w:rPr>
        <w:t xml:space="preserve"> </w:t>
      </w:r>
      <w:r w:rsidR="00700086">
        <w:rPr>
          <w:rFonts w:eastAsia="Times New Roman"/>
          <w:lang w:val="es-ES"/>
        </w:rPr>
        <w:t xml:space="preserve">en materia </w:t>
      </w:r>
      <w:r w:rsidRPr="00567B79">
        <w:rPr>
          <w:rFonts w:eastAsia="Times New Roman"/>
          <w:lang w:val="es-ES"/>
        </w:rPr>
        <w:t>de acceso y participación en los beneficios y otros sistemas informáticos pertinentes que utilicen los mecanismos de interoperabilidad del Centro de Intercambio de Información sobre Acceso y Participación en los Beneficios;</w:t>
      </w:r>
    </w:p>
    <w:p w:rsidR="00770F0A" w:rsidRPr="00567B79" w:rsidRDefault="00770F0A">
      <w:pPr>
        <w:pStyle w:val="Para1"/>
        <w:numPr>
          <w:ilvl w:val="0"/>
          <w:numId w:val="0"/>
        </w:numPr>
        <w:tabs>
          <w:tab w:val="left" w:pos="360"/>
        </w:tabs>
        <w:ind w:firstLine="720"/>
        <w:rPr>
          <w:rFonts w:eastAsia="Times New Roman"/>
          <w:lang w:val="es-ES"/>
        </w:rPr>
      </w:pPr>
      <w:r w:rsidRPr="00567B79">
        <w:rPr>
          <w:rFonts w:eastAsia="Times New Roman"/>
          <w:lang w:val="es-ES"/>
        </w:rPr>
        <w:t>7.</w:t>
      </w:r>
      <w:r w:rsidRPr="00567B79">
        <w:rPr>
          <w:rFonts w:eastAsia="Times New Roman"/>
          <w:lang w:val="es-ES"/>
        </w:rPr>
        <w:tab/>
      </w:r>
      <w:r w:rsidRPr="00567B79">
        <w:rPr>
          <w:rFonts w:eastAsia="Times New Roman"/>
          <w:i/>
          <w:iCs/>
          <w:lang w:val="es-ES"/>
        </w:rPr>
        <w:t>Pide</w:t>
      </w:r>
      <w:r w:rsidRPr="00567B79">
        <w:rPr>
          <w:rFonts w:eastAsia="Times New Roman"/>
          <w:lang w:val="es-ES"/>
        </w:rPr>
        <w:t xml:space="preserve"> a la Secretaria Ejecutiva, t</w:t>
      </w:r>
      <w:r w:rsidR="00700086">
        <w:rPr>
          <w:rFonts w:eastAsia="Times New Roman"/>
          <w:lang w:val="es-ES"/>
        </w:rPr>
        <w:t>enie</w:t>
      </w:r>
      <w:r w:rsidRPr="00567B79">
        <w:rPr>
          <w:rFonts w:eastAsia="Times New Roman"/>
          <w:lang w:val="es-ES"/>
        </w:rPr>
        <w:t xml:space="preserve">ndo en cuenta los progresos ya alcanzados, </w:t>
      </w:r>
      <w:r w:rsidR="00700086" w:rsidRPr="00567B79">
        <w:rPr>
          <w:rFonts w:eastAsia="Times New Roman"/>
          <w:lang w:val="es-ES"/>
        </w:rPr>
        <w:t xml:space="preserve">que </w:t>
      </w:r>
      <w:r w:rsidRPr="00567B79">
        <w:rPr>
          <w:rFonts w:eastAsia="Times New Roman"/>
          <w:lang w:val="es-ES"/>
        </w:rPr>
        <w:t xml:space="preserve">continúe desarrollando y administrando el Centro de Intercambio de Información sobre Acceso y Participación en los Beneficios siguiendo los objetivos y prioridades para avanzar en el desarrollo y la administración del Centro de Intercambio de Información sobre Acceso y Participación en los Beneficios que figuran en el anexo de la decisión NP-3/3, de conformidad con las modalidades de funcionamiento y las sugerencias recibidas, en particular de las Partes y del Comité Asesor Oficioso del Centro de Intercambio de Información sobre Acceso y Participación en los Beneficios, y que estudie </w:t>
      </w:r>
      <w:r w:rsidR="00700086">
        <w:rPr>
          <w:rFonts w:eastAsia="Times New Roman"/>
          <w:lang w:val="es-ES"/>
        </w:rPr>
        <w:t>maneras</w:t>
      </w:r>
      <w:r w:rsidRPr="00567B79">
        <w:rPr>
          <w:rFonts w:eastAsia="Times New Roman"/>
          <w:lang w:val="es-ES"/>
        </w:rPr>
        <w:t xml:space="preserve"> de contemplar las circunstancias nacionales.</w:t>
      </w:r>
    </w:p>
    <w:p w:rsidR="00770F0A" w:rsidRPr="00567B79" w:rsidRDefault="00770F0A">
      <w:pPr>
        <w:jc w:val="center"/>
        <w:rPr>
          <w:rFonts w:eastAsia="Times New Roman"/>
          <w:lang w:val="es-ES"/>
        </w:rPr>
      </w:pPr>
      <w:r w:rsidRPr="00567B79">
        <w:rPr>
          <w:rFonts w:eastAsia="Times New Roman"/>
          <w:lang w:val="es-ES"/>
        </w:rPr>
        <w:t>__________</w:t>
      </w:r>
    </w:p>
    <w:sectPr w:rsidR="00770F0A" w:rsidRPr="00567B79">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2F8" w:rsidRDefault="000B62F8">
      <w:pPr>
        <w:rPr>
          <w:rFonts w:eastAsia="Times New Roman"/>
        </w:rPr>
      </w:pPr>
      <w:r>
        <w:rPr>
          <w:rFonts w:eastAsia="Times New Roman"/>
        </w:rPr>
        <w:separator/>
      </w:r>
    </w:p>
  </w:endnote>
  <w:endnote w:type="continuationSeparator" w:id="1">
    <w:p w:rsidR="000B62F8" w:rsidRDefault="000B62F8">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2F8" w:rsidRDefault="000B62F8">
      <w:pPr>
        <w:rPr>
          <w:rFonts w:eastAsia="Times New Roman"/>
        </w:rPr>
      </w:pPr>
      <w:r>
        <w:rPr>
          <w:rFonts w:eastAsia="Times New Roman"/>
        </w:rPr>
        <w:separator/>
      </w:r>
    </w:p>
  </w:footnote>
  <w:footnote w:type="continuationSeparator" w:id="1">
    <w:p w:rsidR="000B62F8" w:rsidRDefault="000B62F8">
      <w:pPr>
        <w:rPr>
          <w:rFonts w:eastAsia="Times New Roman"/>
        </w:rPr>
      </w:pPr>
      <w:r>
        <w:rPr>
          <w:rFonts w:eastAsia="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F0A" w:rsidRDefault="00770F0A">
    <w:pPr>
      <w:pStyle w:val="Header"/>
      <w:rPr>
        <w:rFonts w:eastAsia="Times New Roman"/>
        <w:lang/>
      </w:rPr>
    </w:pPr>
    <w:r>
      <w:rPr>
        <w:rFonts w:eastAsia="Times New Roman"/>
        <w:noProof/>
        <w:lang/>
      </w:rPr>
      <w:t>CBD/NP/MOP/DEC/4/4</w:t>
    </w:r>
  </w:p>
  <w:p w:rsidR="00770F0A" w:rsidRDefault="00770F0A">
    <w:pPr>
      <w:pStyle w:val="Header"/>
      <w:rPr>
        <w:rFonts w:eastAsia="Times New Roman"/>
        <w:lang/>
      </w:rPr>
    </w:pPr>
    <w:r>
      <w:rPr>
        <w:rFonts w:eastAsia="Times New Roman"/>
        <w:lang/>
      </w:rPr>
      <w:t xml:space="preserve">Página </w:t>
    </w:r>
    <w:r>
      <w:rPr>
        <w:rFonts w:eastAsia="Times New Roman"/>
        <w:lang/>
      </w:rPr>
      <w:fldChar w:fldCharType="begin"/>
    </w:r>
    <w:r>
      <w:rPr>
        <w:rFonts w:eastAsia="Times New Roman"/>
        <w:lang/>
      </w:rPr>
      <w:instrText xml:space="preserve"> PAGE   \* MERGEFORMAT </w:instrText>
    </w:r>
    <w:r>
      <w:rPr>
        <w:rFonts w:eastAsia="Times New Roman"/>
        <w:lang/>
      </w:rPr>
      <w:fldChar w:fldCharType="separate"/>
    </w:r>
    <w:r w:rsidR="00700086" w:rsidRPr="00700086">
      <w:rPr>
        <w:rFonts w:eastAsia="Times New Roman"/>
        <w:noProof/>
      </w:rPr>
      <w:t>2</w:t>
    </w:r>
    <w:r>
      <w:rPr>
        <w:rFonts w:eastAsia="Times New Roman"/>
        <w:lang/>
      </w:rPr>
      <w:fldChar w:fldCharType="end"/>
    </w:r>
  </w:p>
  <w:p w:rsidR="00770F0A" w:rsidRDefault="00770F0A">
    <w:pPr>
      <w:pStyle w:val="Header"/>
      <w:rPr>
        <w:rFonts w:eastAsia="Times New Roman"/>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F0A" w:rsidRDefault="00770F0A">
    <w:pPr>
      <w:pStyle w:val="Header"/>
      <w:jc w:val="right"/>
      <w:rPr>
        <w:rFonts w:eastAsia="Times New Roman"/>
        <w:lang w:val="fr-FR"/>
      </w:rPr>
    </w:pPr>
    <w:r>
      <w:rPr>
        <w:rFonts w:eastAsia="Times New Roman"/>
        <w:noProof/>
        <w:lang w:val="fr-FR"/>
      </w:rPr>
      <w:t>CBD/NP/MOP/DEC/4/4</w:t>
    </w:r>
  </w:p>
  <w:p w:rsidR="00770F0A" w:rsidRDefault="00770F0A">
    <w:pPr>
      <w:pStyle w:val="Header"/>
      <w:jc w:val="right"/>
      <w:rPr>
        <w:rFonts w:eastAsia="Times New Roman"/>
        <w:lang w:val="fr-FR"/>
      </w:rPr>
    </w:pPr>
    <w:r>
      <w:rPr>
        <w:rFonts w:eastAsia="Times New Roman"/>
        <w:lang w:val="fr-FR"/>
      </w:rPr>
      <w:t xml:space="preserve">Page </w:t>
    </w:r>
    <w:r>
      <w:rPr>
        <w:rFonts w:eastAsia="Times New Roman"/>
        <w:lang w:val="fr-FR"/>
      </w:rPr>
      <w:fldChar w:fldCharType="begin"/>
    </w:r>
    <w:r>
      <w:rPr>
        <w:rFonts w:eastAsia="Times New Roman"/>
        <w:lang w:val="fr-FR"/>
      </w:rPr>
      <w:instrText xml:space="preserve"> PAGE   \* MERGEFORMAT </w:instrText>
    </w:r>
    <w:r>
      <w:rPr>
        <w:rFonts w:eastAsia="Times New Roman"/>
        <w:lang w:val="fr-FR"/>
      </w:rPr>
      <w:fldChar w:fldCharType="separate"/>
    </w:r>
    <w:r>
      <w:rPr>
        <w:rFonts w:eastAsia="Times New Roman"/>
        <w:noProof/>
      </w:rPr>
      <w:t>3</w:t>
    </w:r>
    <w:r>
      <w:rPr>
        <w:rFonts w:eastAsia="Times New Roman"/>
        <w:lang w:val="fr-FR"/>
      </w:rPr>
      <w:fldChar w:fldCharType="end"/>
    </w:r>
  </w:p>
  <w:p w:rsidR="00770F0A" w:rsidRDefault="00770F0A">
    <w:pPr>
      <w:pStyle w:val="Header"/>
      <w:rPr>
        <w:rFonts w:eastAsia="Times New Roman"/>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20A25"/>
    <w:rsid w:val="00053B24"/>
    <w:rsid w:val="0007171B"/>
    <w:rsid w:val="00072AC0"/>
    <w:rsid w:val="000B62F8"/>
    <w:rsid w:val="000C64C2"/>
    <w:rsid w:val="000D524B"/>
    <w:rsid w:val="000E5666"/>
    <w:rsid w:val="000E673A"/>
    <w:rsid w:val="000E72D3"/>
    <w:rsid w:val="000F2DA3"/>
    <w:rsid w:val="000F74F5"/>
    <w:rsid w:val="00105372"/>
    <w:rsid w:val="0010609B"/>
    <w:rsid w:val="001078CB"/>
    <w:rsid w:val="00111C5B"/>
    <w:rsid w:val="001226B6"/>
    <w:rsid w:val="001274DE"/>
    <w:rsid w:val="001312AD"/>
    <w:rsid w:val="001312EB"/>
    <w:rsid w:val="00131E7A"/>
    <w:rsid w:val="00134846"/>
    <w:rsid w:val="0015115B"/>
    <w:rsid w:val="00172AF6"/>
    <w:rsid w:val="00176CEE"/>
    <w:rsid w:val="001779C3"/>
    <w:rsid w:val="00186DD8"/>
    <w:rsid w:val="00195CAB"/>
    <w:rsid w:val="001A45CA"/>
    <w:rsid w:val="001A4D98"/>
    <w:rsid w:val="001B13FE"/>
    <w:rsid w:val="001E38DB"/>
    <w:rsid w:val="00274635"/>
    <w:rsid w:val="0027554A"/>
    <w:rsid w:val="00281B3B"/>
    <w:rsid w:val="002856D0"/>
    <w:rsid w:val="002A67A5"/>
    <w:rsid w:val="002E771E"/>
    <w:rsid w:val="0030169D"/>
    <w:rsid w:val="00305024"/>
    <w:rsid w:val="003060EB"/>
    <w:rsid w:val="00307E91"/>
    <w:rsid w:val="003153EB"/>
    <w:rsid w:val="00317693"/>
    <w:rsid w:val="00321985"/>
    <w:rsid w:val="003434BE"/>
    <w:rsid w:val="00351205"/>
    <w:rsid w:val="00362731"/>
    <w:rsid w:val="00372F74"/>
    <w:rsid w:val="00386DD9"/>
    <w:rsid w:val="003A0593"/>
    <w:rsid w:val="003B7BB2"/>
    <w:rsid w:val="003D0B38"/>
    <w:rsid w:val="003E4AF5"/>
    <w:rsid w:val="003F7224"/>
    <w:rsid w:val="00427D21"/>
    <w:rsid w:val="004352D5"/>
    <w:rsid w:val="00463591"/>
    <w:rsid w:val="004644C2"/>
    <w:rsid w:val="00467F9C"/>
    <w:rsid w:val="00485BE7"/>
    <w:rsid w:val="004B44DE"/>
    <w:rsid w:val="004E5DDB"/>
    <w:rsid w:val="005177DC"/>
    <w:rsid w:val="00534681"/>
    <w:rsid w:val="005400DF"/>
    <w:rsid w:val="00553FF7"/>
    <w:rsid w:val="00561508"/>
    <w:rsid w:val="00563442"/>
    <w:rsid w:val="00565B42"/>
    <w:rsid w:val="00567B79"/>
    <w:rsid w:val="005B4ADC"/>
    <w:rsid w:val="005C41BC"/>
    <w:rsid w:val="005C4CE6"/>
    <w:rsid w:val="005E0ED3"/>
    <w:rsid w:val="005E6675"/>
    <w:rsid w:val="005F0693"/>
    <w:rsid w:val="005F0F43"/>
    <w:rsid w:val="005F6D76"/>
    <w:rsid w:val="00604A13"/>
    <w:rsid w:val="006122BA"/>
    <w:rsid w:val="00641A07"/>
    <w:rsid w:val="0065472D"/>
    <w:rsid w:val="00660CB5"/>
    <w:rsid w:val="0068037C"/>
    <w:rsid w:val="006B2290"/>
    <w:rsid w:val="006C7F68"/>
    <w:rsid w:val="006D5329"/>
    <w:rsid w:val="00700086"/>
    <w:rsid w:val="00711F71"/>
    <w:rsid w:val="00717D88"/>
    <w:rsid w:val="007462DB"/>
    <w:rsid w:val="007571FF"/>
    <w:rsid w:val="00770F0A"/>
    <w:rsid w:val="00786056"/>
    <w:rsid w:val="0078679A"/>
    <w:rsid w:val="0078741C"/>
    <w:rsid w:val="007942D3"/>
    <w:rsid w:val="007A73CD"/>
    <w:rsid w:val="007B2099"/>
    <w:rsid w:val="007B6C09"/>
    <w:rsid w:val="007B7741"/>
    <w:rsid w:val="007D7FF6"/>
    <w:rsid w:val="007E09DA"/>
    <w:rsid w:val="007E0DA8"/>
    <w:rsid w:val="007E5E14"/>
    <w:rsid w:val="00805BD3"/>
    <w:rsid w:val="008178B6"/>
    <w:rsid w:val="0082637C"/>
    <w:rsid w:val="0083009D"/>
    <w:rsid w:val="008341D9"/>
    <w:rsid w:val="00840F56"/>
    <w:rsid w:val="0086172A"/>
    <w:rsid w:val="00865B74"/>
    <w:rsid w:val="008974F0"/>
    <w:rsid w:val="008A48EB"/>
    <w:rsid w:val="008B012A"/>
    <w:rsid w:val="008F7141"/>
    <w:rsid w:val="00904DD1"/>
    <w:rsid w:val="00906E17"/>
    <w:rsid w:val="00910961"/>
    <w:rsid w:val="0093075D"/>
    <w:rsid w:val="00930BA1"/>
    <w:rsid w:val="0093169E"/>
    <w:rsid w:val="00936C7E"/>
    <w:rsid w:val="00937130"/>
    <w:rsid w:val="009505C9"/>
    <w:rsid w:val="00950752"/>
    <w:rsid w:val="00954D59"/>
    <w:rsid w:val="00966424"/>
    <w:rsid w:val="00970D95"/>
    <w:rsid w:val="009C2DE6"/>
    <w:rsid w:val="00A032F5"/>
    <w:rsid w:val="00A1252A"/>
    <w:rsid w:val="00A30FAA"/>
    <w:rsid w:val="00A83373"/>
    <w:rsid w:val="00AA40ED"/>
    <w:rsid w:val="00AA6F92"/>
    <w:rsid w:val="00AB2545"/>
    <w:rsid w:val="00AB4C73"/>
    <w:rsid w:val="00AB6855"/>
    <w:rsid w:val="00AB6934"/>
    <w:rsid w:val="00AB7A80"/>
    <w:rsid w:val="00AC40CB"/>
    <w:rsid w:val="00AC4991"/>
    <w:rsid w:val="00AD4DDB"/>
    <w:rsid w:val="00AD7FFC"/>
    <w:rsid w:val="00AF42DE"/>
    <w:rsid w:val="00B26ACD"/>
    <w:rsid w:val="00B3369F"/>
    <w:rsid w:val="00B43667"/>
    <w:rsid w:val="00B94E6C"/>
    <w:rsid w:val="00BA33A0"/>
    <w:rsid w:val="00BB4606"/>
    <w:rsid w:val="00BC2EC1"/>
    <w:rsid w:val="00BC3306"/>
    <w:rsid w:val="00BE3EB5"/>
    <w:rsid w:val="00BE41D3"/>
    <w:rsid w:val="00BF11F9"/>
    <w:rsid w:val="00BF18E6"/>
    <w:rsid w:val="00C11FA9"/>
    <w:rsid w:val="00C12E92"/>
    <w:rsid w:val="00C13AD7"/>
    <w:rsid w:val="00C208F8"/>
    <w:rsid w:val="00C23D2F"/>
    <w:rsid w:val="00C26D4B"/>
    <w:rsid w:val="00C30158"/>
    <w:rsid w:val="00C443BD"/>
    <w:rsid w:val="00C451C5"/>
    <w:rsid w:val="00C465C9"/>
    <w:rsid w:val="00C9161D"/>
    <w:rsid w:val="00CA0359"/>
    <w:rsid w:val="00CA0C1D"/>
    <w:rsid w:val="00CE3020"/>
    <w:rsid w:val="00CF1848"/>
    <w:rsid w:val="00D12044"/>
    <w:rsid w:val="00D30264"/>
    <w:rsid w:val="00D33EFC"/>
    <w:rsid w:val="00D40DBC"/>
    <w:rsid w:val="00D67495"/>
    <w:rsid w:val="00D76A18"/>
    <w:rsid w:val="00D775C3"/>
    <w:rsid w:val="00D80849"/>
    <w:rsid w:val="00D82E8F"/>
    <w:rsid w:val="00DB021B"/>
    <w:rsid w:val="00DB50CC"/>
    <w:rsid w:val="00DD118C"/>
    <w:rsid w:val="00E32956"/>
    <w:rsid w:val="00E331ED"/>
    <w:rsid w:val="00E66235"/>
    <w:rsid w:val="00E74FD2"/>
    <w:rsid w:val="00E83C24"/>
    <w:rsid w:val="00E9318D"/>
    <w:rsid w:val="00EC1F46"/>
    <w:rsid w:val="00ED0BAB"/>
    <w:rsid w:val="00EE61CF"/>
    <w:rsid w:val="00EF7376"/>
    <w:rsid w:val="00F20EE2"/>
    <w:rsid w:val="00F26089"/>
    <w:rsid w:val="00F53193"/>
    <w:rsid w:val="00F5357E"/>
    <w:rsid w:val="00F6586C"/>
    <w:rsid w:val="00F8774A"/>
    <w:rsid w:val="00F94774"/>
    <w:rsid w:val="00F9496C"/>
    <w:rsid w:val="00FA0E9A"/>
    <w:rsid w:val="00FA663B"/>
    <w:rsid w:val="00FC25F8"/>
    <w:rsid w:val="00FC53DB"/>
    <w:rsid w:val="00FC5C62"/>
    <w:rsid w:val="00FD4D94"/>
    <w:rsid w:val="00FE10E5"/>
    <w:rsid w:val="00FE2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Times New Roman"/>
      <w:i/>
      <w:iCs/>
      <w:color w:val="4F81BD"/>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basedOn w:val="Normal"/>
    <w:semiHidden/>
    <w:pPr>
      <w:keepLines/>
      <w:spacing w:after="60"/>
      <w:ind w:firstLine="720"/>
    </w:pPr>
    <w:rPr>
      <w:sz w:val="18"/>
      <w:szCs w:val="18"/>
    </w:rPr>
  </w:style>
  <w:style w:type="character" w:customStyle="1" w:styleId="FootnoteTextChar">
    <w:name w:val="Footnote Text Char"/>
    <w:basedOn w:val="DefaultParagraphFont"/>
    <w:semiHidden/>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paragraph" w:styleId="Revision">
    <w:name w:val="Revision"/>
    <w:hidden/>
    <w:semiHidden/>
    <w:rPr>
      <w:rFonts w:eastAsia="MS Mincho" w:cs="Times New Roman"/>
      <w:snapToGrid w:val="0"/>
      <w:sz w:val="22"/>
      <w:szCs w:val="22"/>
      <w:lang w:val="en-GB" w:eastAsia="ko-KR"/>
    </w:rPr>
  </w:style>
  <w:style w:type="paragraph" w:styleId="NormalWeb">
    <w:name w:val="Normal (Web)"/>
    <w:basedOn w:val="Normal"/>
    <w:pPr>
      <w:spacing w:before="100" w:beforeAutospacing="1" w:after="100" w:afterAutospacing="1"/>
      <w:jc w:val="left"/>
    </w:pPr>
    <w:rPr>
      <w:rFonts w:eastAsia="Times New Roman"/>
      <w:sz w:val="24"/>
      <w:szCs w:val="24"/>
      <w:lang w:val="en-US"/>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ommentSubjectChar">
    <w:name w:val="Comment Subject Char"/>
    <w:basedOn w:val="CommentTextChar"/>
    <w:semiHidden/>
    <w:locked/>
    <w:rPr>
      <w:b/>
      <w:bCs/>
      <w:sz w:val="20"/>
      <w:szCs w:val="2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720</Words>
  <Characters>4116</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NP-4/4.	Access and Benefit-sharing Clearing-House and information sharing (Article 14)</vt:lpstr>
    </vt:vector>
  </TitlesOfParts>
  <Company>SCBD</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NP-4/4.	Access and Benefit-sharing Clearing-House and information sharing (Article 14)</dc:title>
  <dc:subject>CBD/NP/MOP/DEC/4/4</dc:subject>
  <dc:creator>SCBD</dc:creator>
  <cp:keywords>Decision adopted by the Parties to the Nagoya Protocol on Access and Benefit-sharing</cp:keywords>
  <cp:lastModifiedBy>Laura Perez</cp:lastModifiedBy>
  <cp:revision>4</cp:revision>
  <cp:lastPrinted>2020-01-21T16:56:00Z</cp:lastPrinted>
  <dcterms:created xsi:type="dcterms:W3CDTF">2023-02-20T19:23:00Z</dcterms:created>
  <dcterms:modified xsi:type="dcterms:W3CDTF">2023-02-20T19:59:00Z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