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CF3CC5" w14:paraId="73AA70EB" w14:textId="77777777" w:rsidTr="00CF3CC5">
        <w:trPr>
          <w:trHeight w:val="851"/>
        </w:trPr>
        <w:tc>
          <w:tcPr>
            <w:tcW w:w="977" w:type="dxa"/>
            <w:tcBorders>
              <w:bottom w:val="single" w:sz="12" w:space="0" w:color="auto"/>
            </w:tcBorders>
          </w:tcPr>
          <w:p w14:paraId="0039898D" w14:textId="77777777" w:rsidR="00C9161D" w:rsidRPr="00CF3CC5" w:rsidRDefault="00C9161D" w:rsidP="00321985">
            <w:pPr>
              <w:rPr>
                <w:lang w:val="fr-CA"/>
              </w:rPr>
            </w:pPr>
            <w:r w:rsidRPr="00CF3CC5">
              <w:rPr>
                <w:noProof/>
                <w:lang w:val="fr-CA" w:eastAsia="fr-CA"/>
              </w:rPr>
              <w:drawing>
                <wp:inline distT="0" distB="0" distL="0" distR="0" wp14:anchorId="19291EBF" wp14:editId="598D546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A5EA803" w14:textId="77777777" w:rsidR="00FA663B" w:rsidRPr="00CF3CC5" w:rsidRDefault="00CF3CC5" w:rsidP="00321985">
            <w:pPr>
              <w:rPr>
                <w:lang w:val="fr-CA"/>
              </w:rPr>
            </w:pPr>
            <w:r w:rsidRPr="00CF3CC5">
              <w:rPr>
                <w:noProof/>
                <w:lang w:val="fr-CA" w:eastAsia="fr-CA"/>
              </w:rPr>
              <w:drawing>
                <wp:inline distT="0" distB="0" distL="0" distR="0" wp14:anchorId="1DED185E" wp14:editId="2BCC9329">
                  <wp:extent cx="593090" cy="340360"/>
                  <wp:effectExtent l="0" t="0" r="0" b="0"/>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14:paraId="5C6040FF" w14:textId="77777777" w:rsidR="00C9161D" w:rsidRPr="00CF3CC5" w:rsidRDefault="00C9161D" w:rsidP="00C9161D">
            <w:pPr>
              <w:jc w:val="right"/>
              <w:rPr>
                <w:rFonts w:ascii="Arial" w:hAnsi="Arial" w:cs="Arial"/>
                <w:b/>
                <w:sz w:val="32"/>
                <w:szCs w:val="32"/>
                <w:lang w:val="fr-CA"/>
              </w:rPr>
            </w:pPr>
            <w:r w:rsidRPr="00CF3CC5">
              <w:rPr>
                <w:rFonts w:ascii="Arial" w:hAnsi="Arial" w:cs="Arial"/>
                <w:b/>
                <w:sz w:val="32"/>
                <w:szCs w:val="32"/>
                <w:lang w:val="fr-CA"/>
              </w:rPr>
              <w:t>CBD</w:t>
            </w:r>
          </w:p>
        </w:tc>
      </w:tr>
      <w:tr w:rsidR="00C9161D" w:rsidRPr="00CF3CC5" w14:paraId="4C860C6E" w14:textId="77777777" w:rsidTr="00CF3CC5">
        <w:tc>
          <w:tcPr>
            <w:tcW w:w="6118" w:type="dxa"/>
            <w:gridSpan w:val="2"/>
            <w:tcBorders>
              <w:top w:val="single" w:sz="12" w:space="0" w:color="auto"/>
              <w:bottom w:val="single" w:sz="36" w:space="0" w:color="auto"/>
            </w:tcBorders>
            <w:vAlign w:val="center"/>
          </w:tcPr>
          <w:p w14:paraId="6CBAD1FE" w14:textId="77777777" w:rsidR="00C9161D" w:rsidRPr="00CF3CC5" w:rsidRDefault="00CF3CC5" w:rsidP="00C9161D">
            <w:pPr>
              <w:rPr>
                <w:lang w:val="fr-CA"/>
              </w:rPr>
            </w:pPr>
            <w:r w:rsidRPr="00CF3CC5">
              <w:rPr>
                <w:noProof/>
                <w:lang w:val="fr-CA" w:eastAsia="fr-CA"/>
              </w:rPr>
              <w:drawing>
                <wp:inline distT="0" distB="0" distL="0" distR="0" wp14:anchorId="62364A88" wp14:editId="57D63DEA">
                  <wp:extent cx="2724150" cy="1019301"/>
                  <wp:effectExtent l="0" t="0" r="0" b="9525"/>
                  <wp:docPr id="14" name="Image 3"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984" cy="1019613"/>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14:paraId="5616E965" w14:textId="77777777" w:rsidR="00C9161D" w:rsidRPr="00DD34FB" w:rsidRDefault="00C9161D" w:rsidP="00176CEE">
            <w:pPr>
              <w:ind w:left="1215"/>
              <w:rPr>
                <w:noProof/>
                <w:szCs w:val="22"/>
                <w:lang w:val="fr-FR"/>
              </w:rPr>
            </w:pPr>
            <w:r w:rsidRPr="00DD34FB">
              <w:rPr>
                <w:noProof/>
                <w:szCs w:val="22"/>
                <w:lang w:val="fr-FR"/>
              </w:rPr>
              <w:t>Distr.</w:t>
            </w:r>
          </w:p>
          <w:p w14:paraId="4804A5BA" w14:textId="2BA12670" w:rsidR="00C9161D" w:rsidRPr="00271BAD" w:rsidRDefault="00D14C1C" w:rsidP="00176CEE">
            <w:pPr>
              <w:ind w:left="1215"/>
              <w:rPr>
                <w:noProof/>
                <w:szCs w:val="22"/>
                <w:lang w:val="fr-FR"/>
              </w:rPr>
            </w:pPr>
            <w:r w:rsidRPr="00271BAD">
              <w:rPr>
                <w:caps/>
                <w:noProof/>
                <w:szCs w:val="22"/>
                <w:lang w:val="fr-FR"/>
              </w:rPr>
              <w:t>GÉNÉRALE</w:t>
            </w:r>
          </w:p>
          <w:p w14:paraId="7556A8D5" w14:textId="77777777" w:rsidR="00C9161D" w:rsidRPr="00271BAD" w:rsidRDefault="00C9161D" w:rsidP="00176CEE">
            <w:pPr>
              <w:ind w:left="1215"/>
              <w:rPr>
                <w:noProof/>
                <w:szCs w:val="22"/>
                <w:lang w:val="fr-FR"/>
              </w:rPr>
            </w:pPr>
          </w:p>
          <w:p w14:paraId="1897F289" w14:textId="49D82A91" w:rsidR="00C9161D" w:rsidRPr="00271BAD" w:rsidRDefault="00000000" w:rsidP="00176CEE">
            <w:pPr>
              <w:ind w:left="1215"/>
              <w:rPr>
                <w:noProof/>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271BAD" w:rsidRPr="00271BAD">
                  <w:rPr>
                    <w:lang w:val="fr-FR"/>
                  </w:rPr>
                  <w:t>CBD/NP/MOP/</w:t>
                </w:r>
                <w:r w:rsidR="00271BAD">
                  <w:rPr>
                    <w:lang w:val="fr-FR"/>
                  </w:rPr>
                  <w:t>DEC/</w:t>
                </w:r>
                <w:r w:rsidR="00271BAD" w:rsidRPr="00271BAD">
                  <w:rPr>
                    <w:lang w:val="fr-FR"/>
                  </w:rPr>
                  <w:t>4</w:t>
                </w:r>
                <w:r w:rsidR="00271BAD">
                  <w:rPr>
                    <w:lang w:val="fr-FR"/>
                  </w:rPr>
                  <w:t>/4</w:t>
                </w:r>
              </w:sdtContent>
            </w:sdt>
          </w:p>
          <w:p w14:paraId="18402EB0" w14:textId="70A4713F" w:rsidR="00C9161D" w:rsidRPr="00CF3CC5" w:rsidRDefault="00271BAD" w:rsidP="00176CEE">
            <w:pPr>
              <w:ind w:left="1215"/>
              <w:rPr>
                <w:szCs w:val="22"/>
                <w:lang w:val="fr-CA"/>
              </w:rPr>
            </w:pPr>
            <w:r>
              <w:rPr>
                <w:szCs w:val="22"/>
                <w:lang w:val="fr-CA"/>
              </w:rPr>
              <w:t>1</w:t>
            </w:r>
            <w:r w:rsidR="00CF3CC5" w:rsidRPr="00CF3CC5">
              <w:rPr>
                <w:szCs w:val="22"/>
                <w:lang w:val="fr-CA"/>
              </w:rPr>
              <w:t>9 décembre </w:t>
            </w:r>
            <w:r w:rsidR="00F6586C" w:rsidRPr="00CF3CC5">
              <w:rPr>
                <w:szCs w:val="22"/>
                <w:lang w:val="fr-CA"/>
              </w:rPr>
              <w:t>20</w:t>
            </w:r>
            <w:r w:rsidR="00FC25F8" w:rsidRPr="00CF3CC5">
              <w:rPr>
                <w:szCs w:val="22"/>
                <w:lang w:val="fr-CA"/>
              </w:rPr>
              <w:t>2</w:t>
            </w:r>
            <w:r w:rsidR="00B26ACD" w:rsidRPr="00CF3CC5">
              <w:rPr>
                <w:szCs w:val="22"/>
                <w:lang w:val="fr-CA"/>
              </w:rPr>
              <w:t>2</w:t>
            </w:r>
          </w:p>
          <w:p w14:paraId="714BE343" w14:textId="77777777" w:rsidR="00C9161D" w:rsidRPr="00CF3CC5" w:rsidRDefault="00C9161D" w:rsidP="00176CEE">
            <w:pPr>
              <w:ind w:left="1215"/>
              <w:rPr>
                <w:szCs w:val="22"/>
                <w:lang w:val="fr-CA"/>
              </w:rPr>
            </w:pPr>
          </w:p>
          <w:p w14:paraId="075A6C91" w14:textId="77777777" w:rsidR="00CF3CC5" w:rsidRPr="00CF3CC5" w:rsidRDefault="00CF3CC5" w:rsidP="00CF3CC5">
            <w:pPr>
              <w:ind w:left="1215"/>
              <w:rPr>
                <w:szCs w:val="22"/>
                <w:lang w:val="fr-CA"/>
              </w:rPr>
            </w:pPr>
            <w:r w:rsidRPr="00CF3CC5">
              <w:rPr>
                <w:szCs w:val="22"/>
                <w:lang w:val="fr-CA"/>
              </w:rPr>
              <w:t>FRANÇAIS</w:t>
            </w:r>
          </w:p>
          <w:p w14:paraId="3303A775" w14:textId="77777777" w:rsidR="00C9161D" w:rsidRPr="00CF3CC5" w:rsidRDefault="00CF3CC5" w:rsidP="00CF3CC5">
            <w:pPr>
              <w:ind w:left="1215"/>
              <w:rPr>
                <w:szCs w:val="22"/>
                <w:lang w:val="fr-CA"/>
              </w:rPr>
            </w:pPr>
            <w:r w:rsidRPr="00CF3CC5">
              <w:rPr>
                <w:szCs w:val="22"/>
                <w:lang w:val="fr-CA"/>
              </w:rPr>
              <w:t>ORIGINAL : ANGLAIS</w:t>
            </w:r>
          </w:p>
          <w:p w14:paraId="2E3BF07F" w14:textId="77777777" w:rsidR="00C9161D" w:rsidRPr="00CF3CC5" w:rsidRDefault="00C9161D">
            <w:pPr>
              <w:rPr>
                <w:lang w:val="fr-CA"/>
              </w:rPr>
            </w:pPr>
          </w:p>
        </w:tc>
      </w:tr>
    </w:tbl>
    <w:p w14:paraId="4D97BF10" w14:textId="77777777" w:rsidR="003B7BB2" w:rsidRPr="00CF3CC5" w:rsidRDefault="00CF3CC5" w:rsidP="00BA33A0">
      <w:pPr>
        <w:pStyle w:val="Cornernotation"/>
        <w:kinsoku w:val="0"/>
        <w:overflowPunct w:val="0"/>
        <w:autoSpaceDE w:val="0"/>
        <w:autoSpaceDN w:val="0"/>
        <w:spacing w:before="60"/>
        <w:ind w:left="227" w:right="3792" w:hanging="227"/>
        <w:rPr>
          <w:snapToGrid w:val="0"/>
          <w:kern w:val="22"/>
          <w:lang w:val="fr-CA"/>
        </w:rPr>
      </w:pPr>
      <w:r w:rsidRPr="00CF3CC5">
        <w:rPr>
          <w:kern w:val="22"/>
          <w:lang w:val="fr-CA"/>
        </w:rPr>
        <w:t>CONFÉRENCE DES PARTIES À LA CONVENTION SUR LA DIVERSITÉ BIOLOGIQUE SIÉGEANT EN TANT QUE RÉUNION DES PARTIES AU PROTOCOLE DE NAGOYA SUR L</w:t>
      </w:r>
      <w:r>
        <w:rPr>
          <w:kern w:val="22"/>
          <w:lang w:val="fr-CA"/>
        </w:rPr>
        <w:t>’</w:t>
      </w:r>
      <w:r w:rsidRPr="00CF3CC5">
        <w:rPr>
          <w:kern w:val="22"/>
          <w:lang w:val="fr-CA"/>
        </w:rPr>
        <w:t>ACCÈS AUX RESSOURCES GÉNÉTIQUES ET LE PARTAGE JUSTE ET ÉQUITABLE DES AVANTAGES DÉCOULANT DE LEUR UTILISATION</w:t>
      </w:r>
    </w:p>
    <w:p w14:paraId="5189A041" w14:textId="77777777" w:rsidR="003B7BB2" w:rsidRPr="00CF3CC5" w:rsidRDefault="00CF3CC5" w:rsidP="00BA33A0">
      <w:pPr>
        <w:pStyle w:val="Cornernotation"/>
        <w:kinsoku w:val="0"/>
        <w:overflowPunct w:val="0"/>
        <w:autoSpaceDE w:val="0"/>
        <w:autoSpaceDN w:val="0"/>
        <w:ind w:left="0" w:right="3792" w:firstLine="0"/>
        <w:rPr>
          <w:snapToGrid w:val="0"/>
          <w:kern w:val="22"/>
          <w:lang w:val="fr-CA"/>
        </w:rPr>
      </w:pPr>
      <w:r w:rsidRPr="00CF3CC5">
        <w:rPr>
          <w:lang w:val="fr-CA"/>
        </w:rPr>
        <w:t>Quatrième réunion</w:t>
      </w:r>
      <w:r w:rsidR="00AD7FFC" w:rsidRPr="00CF3CC5">
        <w:rPr>
          <w:snapToGrid w:val="0"/>
          <w:kern w:val="22"/>
          <w:lang w:val="fr-CA"/>
        </w:rPr>
        <w:t xml:space="preserve"> </w:t>
      </w:r>
      <w:r w:rsidR="00B26ACD" w:rsidRPr="00CF3CC5">
        <w:rPr>
          <w:snapToGrid w:val="0"/>
          <w:kern w:val="22"/>
          <w:lang w:val="fr-CA"/>
        </w:rPr>
        <w:t>– Part</w:t>
      </w:r>
      <w:r w:rsidRPr="00CF3CC5">
        <w:rPr>
          <w:snapToGrid w:val="0"/>
          <w:kern w:val="22"/>
          <w:lang w:val="fr-CA"/>
        </w:rPr>
        <w:t>ie </w:t>
      </w:r>
      <w:r w:rsidR="00B26ACD" w:rsidRPr="00CF3CC5">
        <w:rPr>
          <w:snapToGrid w:val="0"/>
          <w:kern w:val="22"/>
          <w:lang w:val="fr-CA"/>
        </w:rPr>
        <w:t>II</w:t>
      </w:r>
    </w:p>
    <w:p w14:paraId="27D5B67B" w14:textId="2D241B6E" w:rsidR="003B7BB2" w:rsidRPr="00CF3CC5" w:rsidRDefault="00CF3CC5" w:rsidP="00BA33A0">
      <w:pPr>
        <w:pStyle w:val="Cornernotation"/>
        <w:kinsoku w:val="0"/>
        <w:overflowPunct w:val="0"/>
        <w:autoSpaceDE w:val="0"/>
        <w:autoSpaceDN w:val="0"/>
        <w:ind w:left="227" w:right="3792" w:hanging="227"/>
        <w:rPr>
          <w:snapToGrid w:val="0"/>
          <w:kern w:val="22"/>
          <w:szCs w:val="22"/>
          <w:lang w:val="fr-CA" w:eastAsia="nb-NO"/>
        </w:rPr>
      </w:pPr>
      <w:r w:rsidRPr="00CF3CC5">
        <w:rPr>
          <w:snapToGrid w:val="0"/>
          <w:kern w:val="22"/>
          <w:szCs w:val="22"/>
          <w:lang w:val="fr-CA" w:eastAsia="nb-NO"/>
        </w:rPr>
        <w:t>Montréal</w:t>
      </w:r>
      <w:r w:rsidR="00B26ACD" w:rsidRPr="00CF3CC5">
        <w:rPr>
          <w:snapToGrid w:val="0"/>
          <w:kern w:val="22"/>
          <w:szCs w:val="22"/>
          <w:lang w:val="fr-CA" w:eastAsia="nb-NO"/>
        </w:rPr>
        <w:t xml:space="preserve"> </w:t>
      </w:r>
      <w:r w:rsidRPr="00CF3CC5">
        <w:rPr>
          <w:snapToGrid w:val="0"/>
          <w:kern w:val="22"/>
          <w:szCs w:val="22"/>
          <w:lang w:val="fr-CA" w:eastAsia="nb-NO"/>
        </w:rPr>
        <w:t>(</w:t>
      </w:r>
      <w:r w:rsidR="00B26ACD" w:rsidRPr="00CF3CC5">
        <w:rPr>
          <w:snapToGrid w:val="0"/>
          <w:kern w:val="22"/>
          <w:szCs w:val="22"/>
          <w:lang w:val="fr-CA" w:eastAsia="nb-NO"/>
        </w:rPr>
        <w:t>Canada</w:t>
      </w:r>
      <w:r w:rsidRPr="00CF3CC5">
        <w:rPr>
          <w:snapToGrid w:val="0"/>
          <w:kern w:val="22"/>
          <w:szCs w:val="22"/>
          <w:lang w:val="fr-CA" w:eastAsia="nb-NO"/>
        </w:rPr>
        <w:t>), 7</w:t>
      </w:r>
      <w:r>
        <w:rPr>
          <w:snapToGrid w:val="0"/>
          <w:kern w:val="22"/>
          <w:szCs w:val="22"/>
          <w:lang w:val="fr-CA" w:eastAsia="nb-NO"/>
        </w:rPr>
        <w:noBreakHyphen/>
      </w:r>
      <w:r w:rsidR="00B26ACD" w:rsidRPr="00CF3CC5">
        <w:rPr>
          <w:snapToGrid w:val="0"/>
          <w:kern w:val="22"/>
          <w:szCs w:val="22"/>
          <w:lang w:val="fr-CA" w:eastAsia="nb-NO"/>
        </w:rPr>
        <w:t>19</w:t>
      </w:r>
      <w:r w:rsidR="00C74983">
        <w:rPr>
          <w:snapToGrid w:val="0"/>
          <w:kern w:val="22"/>
          <w:szCs w:val="22"/>
          <w:lang w:val="fr-CA" w:eastAsia="nb-NO"/>
        </w:rPr>
        <w:t xml:space="preserve"> </w:t>
      </w:r>
      <w:r w:rsidRPr="00CF3CC5">
        <w:rPr>
          <w:snapToGrid w:val="0"/>
          <w:kern w:val="22"/>
          <w:szCs w:val="22"/>
          <w:lang w:val="fr-CA" w:eastAsia="nb-NO"/>
        </w:rPr>
        <w:t>décembre </w:t>
      </w:r>
      <w:r w:rsidR="00B26ACD" w:rsidRPr="00CF3CC5">
        <w:rPr>
          <w:snapToGrid w:val="0"/>
          <w:kern w:val="22"/>
          <w:szCs w:val="22"/>
          <w:lang w:val="fr-CA" w:eastAsia="nb-NO"/>
        </w:rPr>
        <w:t>2022</w:t>
      </w:r>
    </w:p>
    <w:p w14:paraId="4CC6507E" w14:textId="79B6FB03" w:rsidR="00C9161D" w:rsidRDefault="00CF3CC5" w:rsidP="00BA33A0">
      <w:pPr>
        <w:ind w:right="3792"/>
        <w:rPr>
          <w:snapToGrid w:val="0"/>
          <w:kern w:val="22"/>
          <w:szCs w:val="22"/>
          <w:lang w:val="fr-CA"/>
        </w:rPr>
      </w:pPr>
      <w:r w:rsidRPr="00CF3CC5">
        <w:rPr>
          <w:snapToGrid w:val="0"/>
          <w:kern w:val="22"/>
          <w:szCs w:val="22"/>
          <w:lang w:val="fr-CA"/>
        </w:rPr>
        <w:t>Point 9 de l</w:t>
      </w:r>
      <w:r>
        <w:rPr>
          <w:snapToGrid w:val="0"/>
          <w:kern w:val="22"/>
          <w:szCs w:val="22"/>
          <w:lang w:val="fr-CA"/>
        </w:rPr>
        <w:t>’</w:t>
      </w:r>
      <w:r w:rsidRPr="00CF3CC5">
        <w:rPr>
          <w:snapToGrid w:val="0"/>
          <w:kern w:val="22"/>
          <w:szCs w:val="22"/>
          <w:lang w:val="fr-CA"/>
        </w:rPr>
        <w:t>ordre du jour</w:t>
      </w:r>
    </w:p>
    <w:p w14:paraId="6BEABC03" w14:textId="0A8A78B5" w:rsidR="009C6668" w:rsidRPr="00FD2F24" w:rsidRDefault="00FD2F24" w:rsidP="009C6668">
      <w:pPr>
        <w:spacing w:before="240" w:after="240"/>
        <w:jc w:val="center"/>
        <w:rPr>
          <w:rFonts w:ascii="Times New Roman Bold" w:hAnsi="Times New Roman Bold"/>
          <w:b/>
          <w:bCs/>
          <w:caps/>
          <w:lang w:val="fr-FR"/>
        </w:rPr>
      </w:pPr>
      <w:r w:rsidRPr="003A470A">
        <w:rPr>
          <w:rFonts w:ascii="Times New Roman Bold" w:hAnsi="Times New Roman Bold"/>
          <w:b/>
          <w:bCs/>
          <w:caps/>
          <w:szCs w:val="22"/>
          <w:lang w:val="fr-FR"/>
        </w:rPr>
        <w:t>Décision adoptée par les Parties au Protocole de Nagoya sur l'accès et le partage des avantages</w:t>
      </w:r>
    </w:p>
    <w:p w14:paraId="273BA6F1" w14:textId="6561CBB1" w:rsidR="009C6668" w:rsidRPr="009C6668" w:rsidRDefault="00000000" w:rsidP="009C6668">
      <w:pPr>
        <w:tabs>
          <w:tab w:val="left" w:pos="993"/>
        </w:tabs>
        <w:spacing w:before="240" w:after="240"/>
        <w:jc w:val="center"/>
        <w:outlineLvl w:val="1"/>
        <w:rPr>
          <w:b/>
          <w:caps/>
          <w:lang w:val="fr-FR"/>
        </w:rPr>
      </w:pPr>
      <w:sdt>
        <w:sdtPr>
          <w:rPr>
            <w:rFonts w:ascii="Times New Roman Bold" w:hAnsi="Times New Roman Bold"/>
            <w:kern w:val="22"/>
            <w:szCs w:val="22"/>
            <w:lang w:val="fr-FR"/>
          </w:rPr>
          <w:alias w:val="Title"/>
          <w:tag w:val=""/>
          <w:id w:val="772832786"/>
          <w:placeholder>
            <w:docPart w:val="7287826D9C6D47CAA7EEBC3B3C370882"/>
          </w:placeholder>
          <w:dataBinding w:prefixMappings="xmlns:ns0='http://purl.org/dc/elements/1.1/' xmlns:ns1='http://schemas.openxmlformats.org/package/2006/metadata/core-properties' " w:xpath="/ns1:coreProperties[1]/ns0:title[1]" w:storeItemID="{6C3C8BC8-F283-45AE-878A-BAB7291924A1}"/>
          <w:text/>
        </w:sdtPr>
        <w:sdtContent>
          <w:r w:rsidR="009C6668" w:rsidRPr="009C6668">
            <w:rPr>
              <w:rFonts w:ascii="Times New Roman Bold" w:hAnsi="Times New Roman Bold"/>
              <w:kern w:val="22"/>
              <w:szCs w:val="22"/>
              <w:lang w:val="fr-FR"/>
            </w:rPr>
            <w:t>NP-4/4.</w:t>
          </w:r>
          <w:r w:rsidR="009C6668" w:rsidRPr="009C6668">
            <w:rPr>
              <w:rFonts w:ascii="Times New Roman Bold" w:hAnsi="Times New Roman Bold"/>
              <w:kern w:val="22"/>
              <w:szCs w:val="22"/>
              <w:lang w:val="fr-FR"/>
            </w:rPr>
            <w:tab/>
            <w:t>Centre d’échange sur l’accès et le partage des avantages et échange d’informations (article</w:t>
          </w:r>
          <w:r w:rsidR="009C6668">
            <w:rPr>
              <w:rFonts w:ascii="Times New Roman Bold" w:hAnsi="Times New Roman Bold"/>
              <w:kern w:val="22"/>
              <w:szCs w:val="22"/>
              <w:lang w:val="fr-FR"/>
            </w:rPr>
            <w:t> </w:t>
          </w:r>
          <w:r w:rsidR="009C6668" w:rsidRPr="009C6668">
            <w:rPr>
              <w:rFonts w:ascii="Times New Roman Bold" w:hAnsi="Times New Roman Bold"/>
              <w:kern w:val="22"/>
              <w:szCs w:val="22"/>
              <w:lang w:val="fr-FR"/>
            </w:rPr>
            <w:t>14)</w:t>
          </w:r>
        </w:sdtContent>
      </w:sdt>
      <w:r w:rsidR="009C6668" w:rsidRPr="009C6668">
        <w:rPr>
          <w:b/>
          <w:caps/>
          <w:lang w:val="fr-FR"/>
        </w:rPr>
        <w:t xml:space="preserve"> </w:t>
      </w:r>
    </w:p>
    <w:p w14:paraId="54F3D0AE" w14:textId="77777777" w:rsidR="00AB2545" w:rsidRPr="00CF3CC5" w:rsidRDefault="00CF3CC5" w:rsidP="00AB2545">
      <w:pPr>
        <w:spacing w:before="120" w:after="120"/>
        <w:ind w:firstLine="720"/>
        <w:rPr>
          <w:rFonts w:eastAsia="Malgun Gothic"/>
          <w:i/>
          <w:color w:val="000000" w:themeColor="text1"/>
          <w:kern w:val="20"/>
          <w:lang w:val="fr-CA"/>
        </w:rPr>
      </w:pPr>
      <w:r w:rsidRPr="00CF3CC5">
        <w:rPr>
          <w:rFonts w:eastAsia="Arial Unicode MS"/>
          <w:i/>
          <w:szCs w:val="22"/>
          <w:bdr w:val="nil"/>
          <w:lang w:val="fr-CA"/>
        </w:rPr>
        <w:t>La Conférence des Parties siégeant en tant que réunion des Parties au Protocole de Nagoya</w:t>
      </w:r>
    </w:p>
    <w:p w14:paraId="2899757C" w14:textId="57D19C28" w:rsidR="00AB2545" w:rsidRPr="00CF3CC5" w:rsidRDefault="00AB2545" w:rsidP="00AB2545">
      <w:pPr>
        <w:pStyle w:val="Para1"/>
        <w:numPr>
          <w:ilvl w:val="0"/>
          <w:numId w:val="0"/>
        </w:numPr>
        <w:pBdr>
          <w:top w:val="nil"/>
          <w:left w:val="nil"/>
          <w:bottom w:val="nil"/>
          <w:right w:val="nil"/>
          <w:between w:val="nil"/>
          <w:bar w:val="nil"/>
        </w:pBdr>
        <w:tabs>
          <w:tab w:val="left" w:pos="360"/>
        </w:tabs>
        <w:ind w:firstLine="720"/>
        <w:rPr>
          <w:szCs w:val="22"/>
          <w:lang w:val="fr-CA"/>
        </w:rPr>
      </w:pPr>
      <w:bookmarkStart w:id="0" w:name="_Toc118407980"/>
      <w:r w:rsidRPr="00CF3CC5">
        <w:rPr>
          <w:szCs w:val="22"/>
          <w:lang w:val="fr-CA"/>
        </w:rPr>
        <w:t>1.</w:t>
      </w:r>
      <w:r w:rsidRPr="00CF3CC5">
        <w:rPr>
          <w:szCs w:val="22"/>
          <w:lang w:val="fr-CA"/>
        </w:rPr>
        <w:tab/>
      </w:r>
      <w:r w:rsidR="00CF3CC5" w:rsidRPr="00CF3CC5">
        <w:rPr>
          <w:i/>
          <w:szCs w:val="22"/>
          <w:lang w:val="fr-CA"/>
        </w:rPr>
        <w:t xml:space="preserve">Se félicite des </w:t>
      </w:r>
      <w:r w:rsidR="00CF3CC5" w:rsidRPr="00CF3CC5">
        <w:rPr>
          <w:szCs w:val="22"/>
          <w:lang w:val="fr-CA"/>
        </w:rPr>
        <w:t>progrès réalisés par le Secrétariat dans le développement et l</w:t>
      </w:r>
      <w:r w:rsidR="00CF3CC5">
        <w:rPr>
          <w:szCs w:val="22"/>
          <w:lang w:val="fr-CA"/>
        </w:rPr>
        <w:t>’</w:t>
      </w:r>
      <w:r w:rsidR="00CF3CC5" w:rsidRPr="00CF3CC5">
        <w:rPr>
          <w:szCs w:val="22"/>
          <w:lang w:val="fr-CA"/>
        </w:rPr>
        <w:t>administration du Centre d</w:t>
      </w:r>
      <w:r w:rsidR="00CF3CC5">
        <w:rPr>
          <w:szCs w:val="22"/>
          <w:lang w:val="fr-CA"/>
        </w:rPr>
        <w:t>’</w:t>
      </w:r>
      <w:r w:rsidR="00CF3CC5" w:rsidRPr="00CF3CC5">
        <w:rPr>
          <w:szCs w:val="22"/>
          <w:lang w:val="fr-CA"/>
        </w:rPr>
        <w:t>échange sur l</w:t>
      </w:r>
      <w:r w:rsidR="00CF3CC5">
        <w:rPr>
          <w:szCs w:val="22"/>
          <w:lang w:val="fr-CA"/>
        </w:rPr>
        <w:t>’</w:t>
      </w:r>
      <w:r w:rsidR="00CF3CC5" w:rsidRPr="00CF3CC5">
        <w:rPr>
          <w:szCs w:val="22"/>
          <w:lang w:val="fr-CA"/>
        </w:rPr>
        <w:t>accès et le partage des avantages</w:t>
      </w:r>
      <w:r w:rsidR="00725E85">
        <w:rPr>
          <w:szCs w:val="22"/>
          <w:lang w:val="fr-CA"/>
        </w:rPr>
        <w:t> </w:t>
      </w:r>
      <w:r w:rsidR="00CF3CC5" w:rsidRPr="00CF3CC5">
        <w:rPr>
          <w:szCs w:val="22"/>
          <w:lang w:val="fr-CA"/>
        </w:rPr>
        <w:t>;</w:t>
      </w:r>
    </w:p>
    <w:p w14:paraId="223CDA75" w14:textId="1EBD6938" w:rsidR="00AB2545" w:rsidRPr="00CF3CC5" w:rsidRDefault="00AB2545" w:rsidP="00AB2545">
      <w:pPr>
        <w:pStyle w:val="Para1"/>
        <w:numPr>
          <w:ilvl w:val="0"/>
          <w:numId w:val="0"/>
        </w:numPr>
        <w:pBdr>
          <w:top w:val="nil"/>
          <w:left w:val="nil"/>
          <w:bottom w:val="nil"/>
          <w:right w:val="nil"/>
          <w:between w:val="nil"/>
          <w:bar w:val="nil"/>
        </w:pBdr>
        <w:tabs>
          <w:tab w:val="left" w:pos="360"/>
        </w:tabs>
        <w:ind w:firstLine="720"/>
        <w:rPr>
          <w:i/>
          <w:szCs w:val="22"/>
          <w:lang w:val="fr-CA"/>
        </w:rPr>
      </w:pPr>
      <w:r w:rsidRPr="00CF3CC5">
        <w:rPr>
          <w:szCs w:val="22"/>
          <w:lang w:val="fr-CA"/>
        </w:rPr>
        <w:t>2.</w:t>
      </w:r>
      <w:r w:rsidRPr="00CF3CC5">
        <w:rPr>
          <w:szCs w:val="22"/>
          <w:lang w:val="fr-CA"/>
        </w:rPr>
        <w:tab/>
      </w:r>
      <w:r w:rsidR="00CF3CC5" w:rsidRPr="00CF3CC5">
        <w:rPr>
          <w:i/>
          <w:szCs w:val="22"/>
          <w:lang w:val="fr-CA"/>
        </w:rPr>
        <w:t xml:space="preserve">Se félicite </w:t>
      </w:r>
      <w:r w:rsidR="00351D1B">
        <w:rPr>
          <w:i/>
          <w:szCs w:val="22"/>
          <w:lang w:val="fr-CA"/>
        </w:rPr>
        <w:t xml:space="preserve">également </w:t>
      </w:r>
      <w:r w:rsidR="00CF3CC5" w:rsidRPr="00CF3CC5">
        <w:rPr>
          <w:szCs w:val="22"/>
          <w:lang w:val="fr-CA"/>
        </w:rPr>
        <w:t xml:space="preserve">des efforts accomplis par les Parties, les autres gouvernements, les peuples autochtones et les communautés locales ainsi que les parties prenantes concernées pour rendre les informations disponibles dans le </w:t>
      </w:r>
      <w:r w:rsidR="00D56193">
        <w:rPr>
          <w:szCs w:val="22"/>
          <w:lang w:val="fr-CA"/>
        </w:rPr>
        <w:t>C</w:t>
      </w:r>
      <w:r w:rsidR="00CF3CC5" w:rsidRPr="00CF3CC5">
        <w:rPr>
          <w:szCs w:val="22"/>
          <w:lang w:val="fr-CA"/>
        </w:rPr>
        <w:t>entre d</w:t>
      </w:r>
      <w:r w:rsidR="00CF3CC5">
        <w:rPr>
          <w:szCs w:val="22"/>
          <w:lang w:val="fr-CA"/>
        </w:rPr>
        <w:t>’</w:t>
      </w:r>
      <w:r w:rsidR="00CF3CC5" w:rsidRPr="00CF3CC5">
        <w:rPr>
          <w:szCs w:val="22"/>
          <w:lang w:val="fr-CA"/>
        </w:rPr>
        <w:t>échange sur l</w:t>
      </w:r>
      <w:r w:rsidR="00CF3CC5">
        <w:rPr>
          <w:szCs w:val="22"/>
          <w:lang w:val="fr-CA"/>
        </w:rPr>
        <w:t>’</w:t>
      </w:r>
      <w:r w:rsidR="00CF3CC5" w:rsidRPr="00CF3CC5">
        <w:rPr>
          <w:szCs w:val="22"/>
          <w:lang w:val="fr-CA"/>
        </w:rPr>
        <w:t>accès et le partage des avantages</w:t>
      </w:r>
      <w:r w:rsidR="00351D1B">
        <w:rPr>
          <w:szCs w:val="22"/>
          <w:lang w:val="fr-CA"/>
        </w:rPr>
        <w:t> </w:t>
      </w:r>
      <w:r w:rsidR="00CF3CC5" w:rsidRPr="00CF3CC5">
        <w:rPr>
          <w:i/>
          <w:szCs w:val="22"/>
          <w:lang w:val="fr-CA"/>
        </w:rPr>
        <w:t>;</w:t>
      </w:r>
    </w:p>
    <w:p w14:paraId="13958E20" w14:textId="637A4057" w:rsidR="00AB2545" w:rsidRPr="00CF3CC5" w:rsidRDefault="00AB2545" w:rsidP="00AB2545">
      <w:pPr>
        <w:pStyle w:val="Para1"/>
        <w:numPr>
          <w:ilvl w:val="0"/>
          <w:numId w:val="0"/>
        </w:numPr>
        <w:pBdr>
          <w:top w:val="nil"/>
          <w:left w:val="nil"/>
          <w:bottom w:val="nil"/>
          <w:right w:val="nil"/>
          <w:between w:val="nil"/>
          <w:bar w:val="nil"/>
        </w:pBdr>
        <w:tabs>
          <w:tab w:val="left" w:pos="360"/>
        </w:tabs>
        <w:ind w:firstLine="720"/>
        <w:rPr>
          <w:szCs w:val="22"/>
          <w:lang w:val="fr-CA"/>
        </w:rPr>
      </w:pPr>
      <w:r w:rsidRPr="00CF3CC5">
        <w:rPr>
          <w:szCs w:val="22"/>
          <w:lang w:val="fr-CA"/>
        </w:rPr>
        <w:t>3.</w:t>
      </w:r>
      <w:r w:rsidRPr="00CF3CC5">
        <w:rPr>
          <w:szCs w:val="22"/>
          <w:lang w:val="fr-CA"/>
        </w:rPr>
        <w:tab/>
      </w:r>
      <w:r w:rsidR="00CF3CC5" w:rsidRPr="00CF3CC5">
        <w:rPr>
          <w:i/>
          <w:iCs/>
          <w:szCs w:val="22"/>
          <w:lang w:val="fr-CA"/>
        </w:rPr>
        <w:t xml:space="preserve">Rappelle </w:t>
      </w:r>
      <w:r w:rsidR="00CF3CC5" w:rsidRPr="00CF3CC5">
        <w:rPr>
          <w:szCs w:val="22"/>
          <w:lang w:val="fr-CA"/>
        </w:rPr>
        <w:t>le</w:t>
      </w:r>
      <w:r w:rsidR="00CF3CC5" w:rsidRPr="00CF3CC5">
        <w:rPr>
          <w:i/>
          <w:iCs/>
          <w:szCs w:val="22"/>
          <w:lang w:val="fr-CA"/>
        </w:rPr>
        <w:t xml:space="preserve"> </w:t>
      </w:r>
      <w:r w:rsidR="00CF3CC5" w:rsidRPr="00CF3CC5">
        <w:rPr>
          <w:szCs w:val="22"/>
          <w:lang w:val="fr-CA"/>
        </w:rPr>
        <w:t>paragraphe 3 de la décision NP</w:t>
      </w:r>
      <w:r w:rsidR="00CF3CC5">
        <w:rPr>
          <w:szCs w:val="22"/>
          <w:lang w:val="fr-CA"/>
        </w:rPr>
        <w:noBreakHyphen/>
      </w:r>
      <w:r w:rsidR="00CF3CC5" w:rsidRPr="00CF3CC5">
        <w:rPr>
          <w:szCs w:val="22"/>
          <w:lang w:val="fr-CA"/>
        </w:rPr>
        <w:t>3/3, dans lequel les Parties qui ne l</w:t>
      </w:r>
      <w:r w:rsidR="00CF3CC5">
        <w:rPr>
          <w:szCs w:val="22"/>
          <w:lang w:val="fr-CA"/>
        </w:rPr>
        <w:t>’</w:t>
      </w:r>
      <w:r w:rsidR="00CF3CC5" w:rsidRPr="00CF3CC5">
        <w:rPr>
          <w:szCs w:val="22"/>
          <w:lang w:val="fr-CA"/>
        </w:rPr>
        <w:t>ont pas encore fait sont instamment priées de publier dès que possible toutes les informations obligatoires disponibles au niveau national dans le Centre d</w:t>
      </w:r>
      <w:r w:rsidR="00CF3CC5">
        <w:rPr>
          <w:szCs w:val="22"/>
          <w:lang w:val="fr-CA"/>
        </w:rPr>
        <w:t>’</w:t>
      </w:r>
      <w:r w:rsidR="00CF3CC5" w:rsidRPr="00CF3CC5">
        <w:rPr>
          <w:szCs w:val="22"/>
          <w:lang w:val="fr-CA"/>
        </w:rPr>
        <w:t>échange sur l</w:t>
      </w:r>
      <w:r w:rsidR="00CF3CC5">
        <w:rPr>
          <w:szCs w:val="22"/>
          <w:lang w:val="fr-CA"/>
        </w:rPr>
        <w:t>’</w:t>
      </w:r>
      <w:r w:rsidR="00CF3CC5" w:rsidRPr="00CF3CC5">
        <w:rPr>
          <w:szCs w:val="22"/>
          <w:lang w:val="fr-CA"/>
        </w:rPr>
        <w:t>accès et le partage des avantages, conformément aux obligations énoncées au paragraphe 2 de l</w:t>
      </w:r>
      <w:r w:rsidR="00CF3CC5">
        <w:rPr>
          <w:szCs w:val="22"/>
          <w:lang w:val="fr-CA"/>
        </w:rPr>
        <w:t>’</w:t>
      </w:r>
      <w:r w:rsidR="00CF3CC5" w:rsidRPr="00CF3CC5">
        <w:rPr>
          <w:szCs w:val="22"/>
          <w:lang w:val="fr-CA"/>
        </w:rPr>
        <w:t>article 14 du Protocole, considérant que la publication des informations obligatoires dans le Centre d</w:t>
      </w:r>
      <w:r w:rsidR="00CF3CC5">
        <w:rPr>
          <w:szCs w:val="22"/>
          <w:lang w:val="fr-CA"/>
        </w:rPr>
        <w:t>’</w:t>
      </w:r>
      <w:r w:rsidR="00CF3CC5" w:rsidRPr="00CF3CC5">
        <w:rPr>
          <w:szCs w:val="22"/>
          <w:lang w:val="fr-CA"/>
        </w:rPr>
        <w:t>échange est essentielle pour la mise en œuvre du Protocole de Nagoya</w:t>
      </w:r>
      <w:r w:rsidR="00D56193">
        <w:rPr>
          <w:szCs w:val="22"/>
          <w:lang w:val="fr-CA"/>
        </w:rPr>
        <w:t> </w:t>
      </w:r>
      <w:r w:rsidRPr="00CF3CC5">
        <w:rPr>
          <w:szCs w:val="22"/>
          <w:lang w:val="fr-CA"/>
        </w:rPr>
        <w:t xml:space="preserve">; </w:t>
      </w:r>
    </w:p>
    <w:p w14:paraId="6B7A305F" w14:textId="7A09A2B9" w:rsidR="00AB2545" w:rsidRPr="00CF3CC5" w:rsidRDefault="00AB2545" w:rsidP="00AB2545">
      <w:pPr>
        <w:pStyle w:val="Para1"/>
        <w:numPr>
          <w:ilvl w:val="0"/>
          <w:numId w:val="0"/>
        </w:numPr>
        <w:pBdr>
          <w:top w:val="nil"/>
          <w:left w:val="nil"/>
          <w:bottom w:val="nil"/>
          <w:right w:val="nil"/>
          <w:between w:val="nil"/>
          <w:bar w:val="nil"/>
        </w:pBdr>
        <w:tabs>
          <w:tab w:val="left" w:pos="360"/>
        </w:tabs>
        <w:ind w:firstLine="720"/>
        <w:rPr>
          <w:szCs w:val="22"/>
          <w:lang w:val="fr-CA"/>
        </w:rPr>
      </w:pPr>
      <w:r w:rsidRPr="00CF3CC5">
        <w:rPr>
          <w:szCs w:val="22"/>
          <w:lang w:val="fr-CA"/>
        </w:rPr>
        <w:t>4.</w:t>
      </w:r>
      <w:r w:rsidRPr="00CF3CC5">
        <w:rPr>
          <w:szCs w:val="22"/>
          <w:lang w:val="fr-CA"/>
        </w:rPr>
        <w:tab/>
      </w:r>
      <w:r w:rsidR="00CF3CC5" w:rsidRPr="00CF3CC5">
        <w:rPr>
          <w:i/>
          <w:lang w:val="fr-CA"/>
        </w:rPr>
        <w:t xml:space="preserve">Rappelle également </w:t>
      </w:r>
      <w:r w:rsidR="00CF3CC5" w:rsidRPr="006E00E8">
        <w:rPr>
          <w:iCs/>
          <w:lang w:val="fr-CA"/>
        </w:rPr>
        <w:t>le</w:t>
      </w:r>
      <w:r w:rsidR="00CF3CC5" w:rsidRPr="00CF3CC5">
        <w:rPr>
          <w:i/>
          <w:lang w:val="fr-CA"/>
        </w:rPr>
        <w:t xml:space="preserve"> </w:t>
      </w:r>
      <w:r w:rsidR="00CF3CC5" w:rsidRPr="00CF3CC5">
        <w:rPr>
          <w:lang w:val="fr-CA"/>
        </w:rPr>
        <w:t>paragraphe 4 de la décision NP</w:t>
      </w:r>
      <w:r w:rsidR="00CF3CC5">
        <w:rPr>
          <w:lang w:val="fr-CA"/>
        </w:rPr>
        <w:noBreakHyphen/>
      </w:r>
      <w:r w:rsidR="00CF3CC5" w:rsidRPr="00CF3CC5">
        <w:rPr>
          <w:lang w:val="fr-CA"/>
        </w:rPr>
        <w:t>3/3, dans lequel il est demandé aux Parties de fournir des informations sur leurs procédures nationales relatives à l</w:t>
      </w:r>
      <w:r w:rsidR="00CF3CC5">
        <w:rPr>
          <w:lang w:val="fr-CA"/>
        </w:rPr>
        <w:t>’</w:t>
      </w:r>
      <w:r w:rsidR="00CF3CC5" w:rsidRPr="00CF3CC5">
        <w:rPr>
          <w:lang w:val="fr-CA"/>
        </w:rPr>
        <w:t xml:space="preserve">accès et au partage des </w:t>
      </w:r>
      <w:proofErr w:type="gramStart"/>
      <w:r w:rsidR="00CF3CC5" w:rsidRPr="00CF3CC5">
        <w:rPr>
          <w:lang w:val="fr-CA"/>
        </w:rPr>
        <w:t>avantages</w:t>
      </w:r>
      <w:proofErr w:type="gramEnd"/>
      <w:r w:rsidR="00CF3CC5" w:rsidRPr="00CF3CC5">
        <w:rPr>
          <w:lang w:val="fr-CA"/>
        </w:rPr>
        <w:t xml:space="preserve"> au moyen du format commun volontaire sur les procédures, tel que fourni dans le Centre d</w:t>
      </w:r>
      <w:r w:rsidR="00CF3CC5">
        <w:rPr>
          <w:lang w:val="fr-CA"/>
        </w:rPr>
        <w:t>’</w:t>
      </w:r>
      <w:r w:rsidR="00CF3CC5" w:rsidRPr="00CF3CC5">
        <w:rPr>
          <w:lang w:val="fr-CA"/>
        </w:rPr>
        <w:t>échange sur l</w:t>
      </w:r>
      <w:r w:rsidR="00CF3CC5">
        <w:rPr>
          <w:lang w:val="fr-CA"/>
        </w:rPr>
        <w:t>’</w:t>
      </w:r>
      <w:r w:rsidR="00CF3CC5" w:rsidRPr="00CF3CC5">
        <w:rPr>
          <w:lang w:val="fr-CA"/>
        </w:rPr>
        <w:t>accès et le partage des avantages</w:t>
      </w:r>
      <w:r w:rsidR="006E00E8">
        <w:rPr>
          <w:lang w:val="fr-CA"/>
        </w:rPr>
        <w:t> </w:t>
      </w:r>
      <w:r w:rsidRPr="00CF3CC5">
        <w:rPr>
          <w:szCs w:val="22"/>
          <w:lang w:val="fr-CA"/>
        </w:rPr>
        <w:t>;</w:t>
      </w:r>
    </w:p>
    <w:p w14:paraId="499EA90B" w14:textId="300DFD8D" w:rsidR="00AB2545" w:rsidRPr="00CF3CC5" w:rsidRDefault="00AB2545" w:rsidP="00AB2545">
      <w:pPr>
        <w:pStyle w:val="Para1"/>
        <w:numPr>
          <w:ilvl w:val="0"/>
          <w:numId w:val="0"/>
        </w:numPr>
        <w:pBdr>
          <w:top w:val="nil"/>
          <w:left w:val="nil"/>
          <w:bottom w:val="nil"/>
          <w:right w:val="nil"/>
          <w:between w:val="nil"/>
          <w:bar w:val="nil"/>
        </w:pBdr>
        <w:tabs>
          <w:tab w:val="left" w:pos="360"/>
        </w:tabs>
        <w:ind w:firstLine="720"/>
        <w:rPr>
          <w:iCs/>
          <w:szCs w:val="22"/>
          <w:lang w:val="fr-CA"/>
        </w:rPr>
      </w:pPr>
      <w:r w:rsidRPr="00CF3CC5">
        <w:rPr>
          <w:iCs/>
          <w:szCs w:val="22"/>
          <w:lang w:val="fr-CA"/>
        </w:rPr>
        <w:t>5.</w:t>
      </w:r>
      <w:r w:rsidRPr="00CF3CC5">
        <w:rPr>
          <w:iCs/>
          <w:szCs w:val="22"/>
          <w:lang w:val="fr-CA"/>
        </w:rPr>
        <w:tab/>
      </w:r>
      <w:r w:rsidR="00CF3CC5" w:rsidRPr="00CF3CC5">
        <w:rPr>
          <w:i/>
          <w:szCs w:val="22"/>
          <w:lang w:val="fr-CA"/>
        </w:rPr>
        <w:t xml:space="preserve">Rappelle en outre le </w:t>
      </w:r>
      <w:r w:rsidR="00CF3CC5" w:rsidRPr="00CF3CC5">
        <w:rPr>
          <w:iCs/>
          <w:szCs w:val="22"/>
          <w:lang w:val="fr-CA"/>
        </w:rPr>
        <w:t>paragraphe 9 de la décision NP</w:t>
      </w:r>
      <w:r w:rsidR="00CF3CC5">
        <w:rPr>
          <w:iCs/>
          <w:szCs w:val="22"/>
          <w:lang w:val="fr-CA"/>
        </w:rPr>
        <w:noBreakHyphen/>
      </w:r>
      <w:r w:rsidR="00CF3CC5" w:rsidRPr="00CF3CC5">
        <w:rPr>
          <w:iCs/>
          <w:szCs w:val="22"/>
          <w:lang w:val="fr-CA"/>
        </w:rPr>
        <w:t>3/3, dans lequel les Parties, les autres gouvernements et les organisations compétentes sont invitées à utiliser les mécanismes d</w:t>
      </w:r>
      <w:r w:rsidR="00CF3CC5">
        <w:rPr>
          <w:iCs/>
          <w:szCs w:val="22"/>
          <w:lang w:val="fr-CA"/>
        </w:rPr>
        <w:t>’</w:t>
      </w:r>
      <w:r w:rsidR="00CF3CC5" w:rsidRPr="00CF3CC5">
        <w:rPr>
          <w:iCs/>
          <w:szCs w:val="22"/>
          <w:lang w:val="fr-CA"/>
        </w:rPr>
        <w:t>interopérabilité du Centre d</w:t>
      </w:r>
      <w:r w:rsidR="00CF3CC5">
        <w:rPr>
          <w:iCs/>
          <w:szCs w:val="22"/>
          <w:lang w:val="fr-CA"/>
        </w:rPr>
        <w:t>’</w:t>
      </w:r>
      <w:r w:rsidR="00CF3CC5" w:rsidRPr="00CF3CC5">
        <w:rPr>
          <w:iCs/>
          <w:szCs w:val="22"/>
          <w:lang w:val="fr-CA"/>
        </w:rPr>
        <w:t>échange sur l</w:t>
      </w:r>
      <w:r w:rsidR="00CF3CC5">
        <w:rPr>
          <w:iCs/>
          <w:szCs w:val="22"/>
          <w:lang w:val="fr-CA"/>
        </w:rPr>
        <w:t>’</w:t>
      </w:r>
      <w:r w:rsidR="00CF3CC5" w:rsidRPr="00CF3CC5">
        <w:rPr>
          <w:iCs/>
          <w:szCs w:val="22"/>
          <w:lang w:val="fr-CA"/>
        </w:rPr>
        <w:t xml:space="preserve">accès et le </w:t>
      </w:r>
      <w:r w:rsidR="00CF3CC5">
        <w:rPr>
          <w:iCs/>
          <w:szCs w:val="22"/>
          <w:lang w:val="fr-CA"/>
        </w:rPr>
        <w:noBreakHyphen/>
      </w:r>
      <w:r w:rsidR="00CF3CC5" w:rsidRPr="00CF3CC5">
        <w:rPr>
          <w:iCs/>
          <w:szCs w:val="22"/>
          <w:lang w:val="fr-CA"/>
        </w:rPr>
        <w:t>partage des avantages pour faciliter l</w:t>
      </w:r>
      <w:r w:rsidR="00CF3CC5">
        <w:rPr>
          <w:iCs/>
          <w:szCs w:val="22"/>
          <w:lang w:val="fr-CA"/>
        </w:rPr>
        <w:t>’</w:t>
      </w:r>
      <w:r w:rsidR="00CF3CC5" w:rsidRPr="00CF3CC5">
        <w:rPr>
          <w:iCs/>
          <w:szCs w:val="22"/>
          <w:lang w:val="fr-CA"/>
        </w:rPr>
        <w:t>échange d</w:t>
      </w:r>
      <w:r w:rsidR="00CF3CC5">
        <w:rPr>
          <w:iCs/>
          <w:szCs w:val="22"/>
          <w:lang w:val="fr-CA"/>
        </w:rPr>
        <w:t>’</w:t>
      </w:r>
      <w:r w:rsidR="00CF3CC5" w:rsidRPr="00CF3CC5">
        <w:rPr>
          <w:iCs/>
          <w:szCs w:val="22"/>
          <w:lang w:val="fr-CA"/>
        </w:rPr>
        <w:t>informations avec leurs bases de données, leurs sites Web et leurs systèmes informatiques pertinents, le paragraphe</w:t>
      </w:r>
      <w:r w:rsidR="003B20F8">
        <w:rPr>
          <w:iCs/>
          <w:szCs w:val="22"/>
          <w:lang w:val="fr-CA"/>
        </w:rPr>
        <w:t> </w:t>
      </w:r>
      <w:r w:rsidR="00CF3CC5" w:rsidRPr="00CF3CC5">
        <w:rPr>
          <w:iCs/>
          <w:szCs w:val="22"/>
          <w:lang w:val="fr-CA"/>
        </w:rPr>
        <w:t>10 de la décision NP</w:t>
      </w:r>
      <w:r w:rsidR="00CF3CC5">
        <w:rPr>
          <w:iCs/>
          <w:szCs w:val="22"/>
          <w:lang w:val="fr-CA"/>
        </w:rPr>
        <w:noBreakHyphen/>
      </w:r>
      <w:r w:rsidR="00CF3CC5" w:rsidRPr="00CF3CC5">
        <w:rPr>
          <w:iCs/>
          <w:szCs w:val="22"/>
          <w:lang w:val="fr-CA"/>
        </w:rPr>
        <w:t>3/3, dans lequel les Parties, les autres gouvernements et les organisations compétentes, selon le cas, sont invitées à inclure des activités de renforcement des capacités liées au Centre d</w:t>
      </w:r>
      <w:r w:rsidR="00CF3CC5">
        <w:rPr>
          <w:iCs/>
          <w:szCs w:val="22"/>
          <w:lang w:val="fr-CA"/>
        </w:rPr>
        <w:t>’</w:t>
      </w:r>
      <w:r w:rsidR="00CF3CC5" w:rsidRPr="00CF3CC5">
        <w:rPr>
          <w:iCs/>
          <w:szCs w:val="22"/>
          <w:lang w:val="fr-CA"/>
        </w:rPr>
        <w:t>échange sur l</w:t>
      </w:r>
      <w:r w:rsidR="00CF3CC5">
        <w:rPr>
          <w:iCs/>
          <w:szCs w:val="22"/>
          <w:lang w:val="fr-CA"/>
        </w:rPr>
        <w:t>’</w:t>
      </w:r>
      <w:r w:rsidR="00CF3CC5" w:rsidRPr="00CF3CC5">
        <w:rPr>
          <w:iCs/>
          <w:szCs w:val="22"/>
          <w:lang w:val="fr-CA"/>
        </w:rPr>
        <w:t>accès et le partage des avantages et le paragraphe</w:t>
      </w:r>
      <w:r w:rsidR="003B20F8">
        <w:rPr>
          <w:iCs/>
          <w:szCs w:val="22"/>
          <w:lang w:val="fr-CA"/>
        </w:rPr>
        <w:t> </w:t>
      </w:r>
      <w:r w:rsidR="00CF3CC5" w:rsidRPr="00CF3CC5">
        <w:rPr>
          <w:iCs/>
          <w:szCs w:val="22"/>
          <w:lang w:val="fr-CA"/>
        </w:rPr>
        <w:t>11 de la décision NP</w:t>
      </w:r>
      <w:r w:rsidR="00CF3CC5">
        <w:rPr>
          <w:iCs/>
          <w:szCs w:val="22"/>
          <w:lang w:val="fr-CA"/>
        </w:rPr>
        <w:noBreakHyphen/>
      </w:r>
      <w:r w:rsidR="00CF3CC5" w:rsidRPr="00CF3CC5">
        <w:rPr>
          <w:iCs/>
          <w:szCs w:val="22"/>
          <w:lang w:val="fr-CA"/>
        </w:rPr>
        <w:t xml:space="preserve">3/3, dans lequel les Parties, les autres gouvernements, les organisations internationales compétentes, les banques régionales de </w:t>
      </w:r>
      <w:r w:rsidR="00CF3CC5" w:rsidRPr="00CF3CC5">
        <w:rPr>
          <w:iCs/>
          <w:szCs w:val="22"/>
          <w:lang w:val="fr-CA"/>
        </w:rPr>
        <w:lastRenderedPageBreak/>
        <w:t>développement et les autres institutions financières, selon le cas, sont invitées à soutenir les activités de renforcement des capacités liées au Centre d</w:t>
      </w:r>
      <w:r w:rsidR="00CF3CC5">
        <w:rPr>
          <w:iCs/>
          <w:szCs w:val="22"/>
          <w:lang w:val="fr-CA"/>
        </w:rPr>
        <w:t>’</w:t>
      </w:r>
      <w:r w:rsidR="00CF3CC5" w:rsidRPr="00CF3CC5">
        <w:rPr>
          <w:iCs/>
          <w:szCs w:val="22"/>
          <w:lang w:val="fr-CA"/>
        </w:rPr>
        <w:t>échange sur l</w:t>
      </w:r>
      <w:r w:rsidR="00CF3CC5">
        <w:rPr>
          <w:iCs/>
          <w:szCs w:val="22"/>
          <w:lang w:val="fr-CA"/>
        </w:rPr>
        <w:t>’</w:t>
      </w:r>
      <w:r w:rsidR="00CF3CC5" w:rsidRPr="00CF3CC5">
        <w:rPr>
          <w:iCs/>
          <w:szCs w:val="22"/>
          <w:lang w:val="fr-CA"/>
        </w:rPr>
        <w:t>accès et le partage des avantages, y compris le système de surveillance de l</w:t>
      </w:r>
      <w:r w:rsidR="00CF3CC5">
        <w:rPr>
          <w:iCs/>
          <w:szCs w:val="22"/>
          <w:lang w:val="fr-CA"/>
        </w:rPr>
        <w:t>’</w:t>
      </w:r>
      <w:r w:rsidR="00CF3CC5" w:rsidRPr="00CF3CC5">
        <w:rPr>
          <w:iCs/>
          <w:szCs w:val="22"/>
          <w:lang w:val="fr-CA"/>
        </w:rPr>
        <w:t>utilisation des ressources génétiques prévu par le Protocole</w:t>
      </w:r>
      <w:r w:rsidR="003B20F8">
        <w:rPr>
          <w:iCs/>
          <w:szCs w:val="22"/>
          <w:lang w:val="fr-CA"/>
        </w:rPr>
        <w:t> </w:t>
      </w:r>
      <w:r w:rsidRPr="00CF3CC5">
        <w:rPr>
          <w:iCs/>
          <w:szCs w:val="22"/>
          <w:lang w:val="fr-CA"/>
        </w:rPr>
        <w:t>;</w:t>
      </w:r>
    </w:p>
    <w:p w14:paraId="66C7E0A3" w14:textId="78B2CA6B" w:rsidR="00AB2545" w:rsidRPr="00CF3CC5" w:rsidRDefault="00AB2545" w:rsidP="00AB2545">
      <w:pPr>
        <w:pStyle w:val="Para1"/>
        <w:numPr>
          <w:ilvl w:val="0"/>
          <w:numId w:val="0"/>
        </w:numPr>
        <w:pBdr>
          <w:top w:val="nil"/>
          <w:left w:val="nil"/>
          <w:bottom w:val="nil"/>
          <w:right w:val="nil"/>
          <w:between w:val="nil"/>
          <w:bar w:val="nil"/>
        </w:pBdr>
        <w:tabs>
          <w:tab w:val="left" w:pos="360"/>
        </w:tabs>
        <w:ind w:firstLine="720"/>
        <w:rPr>
          <w:iCs/>
          <w:szCs w:val="22"/>
          <w:lang w:val="fr-CA"/>
        </w:rPr>
      </w:pPr>
      <w:r w:rsidRPr="00CF3CC5">
        <w:rPr>
          <w:iCs/>
          <w:szCs w:val="22"/>
          <w:lang w:val="fr-CA"/>
        </w:rPr>
        <w:t>6.</w:t>
      </w:r>
      <w:r w:rsidRPr="00CF3CC5">
        <w:rPr>
          <w:iCs/>
          <w:szCs w:val="22"/>
          <w:lang w:val="fr-CA"/>
        </w:rPr>
        <w:tab/>
      </w:r>
      <w:r w:rsidR="00CF3CC5" w:rsidRPr="00CF3CC5">
        <w:rPr>
          <w:i/>
          <w:szCs w:val="22"/>
          <w:lang w:val="fr-CA"/>
        </w:rPr>
        <w:t xml:space="preserve">Invite les </w:t>
      </w:r>
      <w:r w:rsidR="00CF3CC5" w:rsidRPr="00CF3CC5">
        <w:rPr>
          <w:iCs/>
          <w:szCs w:val="22"/>
          <w:lang w:val="fr-CA"/>
        </w:rPr>
        <w:t>Parties, les autres gouvernements, les organisations internationales compétentes, les banques régionales de développement et les autres institutions financières, selon le cas, à appuyer les activités de</w:t>
      </w:r>
      <w:r w:rsidR="000E3B3D">
        <w:rPr>
          <w:iCs/>
          <w:szCs w:val="22"/>
          <w:lang w:val="fr-CA"/>
        </w:rPr>
        <w:t xml:space="preserve"> création et de</w:t>
      </w:r>
      <w:r w:rsidR="00CF3CC5" w:rsidRPr="00CF3CC5">
        <w:rPr>
          <w:iCs/>
          <w:szCs w:val="22"/>
          <w:lang w:val="fr-CA"/>
        </w:rPr>
        <w:t xml:space="preserve"> renforcement des capacités, notamment celles liées à la mise en place de systèmes nationaux numériques d</w:t>
      </w:r>
      <w:r w:rsidR="00CF3CC5">
        <w:rPr>
          <w:iCs/>
          <w:szCs w:val="22"/>
          <w:lang w:val="fr-CA"/>
        </w:rPr>
        <w:t>’</w:t>
      </w:r>
      <w:r w:rsidR="00CF3CC5" w:rsidRPr="00CF3CC5">
        <w:rPr>
          <w:iCs/>
          <w:szCs w:val="22"/>
          <w:lang w:val="fr-CA"/>
        </w:rPr>
        <w:t>autorisation relative à l</w:t>
      </w:r>
      <w:r w:rsidR="00CF3CC5">
        <w:rPr>
          <w:iCs/>
          <w:szCs w:val="22"/>
          <w:lang w:val="fr-CA"/>
        </w:rPr>
        <w:t>’</w:t>
      </w:r>
      <w:r w:rsidR="00CF3CC5" w:rsidRPr="00CF3CC5">
        <w:rPr>
          <w:iCs/>
          <w:szCs w:val="22"/>
          <w:lang w:val="fr-CA"/>
        </w:rPr>
        <w:t>accès et au partage des avantages et d</w:t>
      </w:r>
      <w:r w:rsidR="00CF3CC5">
        <w:rPr>
          <w:iCs/>
          <w:szCs w:val="22"/>
          <w:lang w:val="fr-CA"/>
        </w:rPr>
        <w:t>’</w:t>
      </w:r>
      <w:r w:rsidR="00CF3CC5" w:rsidRPr="00CF3CC5">
        <w:rPr>
          <w:iCs/>
          <w:szCs w:val="22"/>
          <w:lang w:val="fr-CA"/>
        </w:rPr>
        <w:t>autres systèmes informatiques pertinents utilisant les mécanismes d</w:t>
      </w:r>
      <w:r w:rsidR="00CF3CC5">
        <w:rPr>
          <w:iCs/>
          <w:szCs w:val="22"/>
          <w:lang w:val="fr-CA"/>
        </w:rPr>
        <w:t>’</w:t>
      </w:r>
      <w:r w:rsidR="00CF3CC5" w:rsidRPr="00CF3CC5">
        <w:rPr>
          <w:iCs/>
          <w:szCs w:val="22"/>
          <w:lang w:val="fr-CA"/>
        </w:rPr>
        <w:t>interopérabilité du Centre d</w:t>
      </w:r>
      <w:r w:rsidR="00CF3CC5">
        <w:rPr>
          <w:iCs/>
          <w:szCs w:val="22"/>
          <w:lang w:val="fr-CA"/>
        </w:rPr>
        <w:t>’</w:t>
      </w:r>
      <w:r w:rsidR="00CF3CC5" w:rsidRPr="00CF3CC5">
        <w:rPr>
          <w:iCs/>
          <w:szCs w:val="22"/>
          <w:lang w:val="fr-CA"/>
        </w:rPr>
        <w:t>échange sur l</w:t>
      </w:r>
      <w:r w:rsidR="00CF3CC5">
        <w:rPr>
          <w:iCs/>
          <w:szCs w:val="22"/>
          <w:lang w:val="fr-CA"/>
        </w:rPr>
        <w:t>’</w:t>
      </w:r>
      <w:r w:rsidR="00CF3CC5" w:rsidRPr="00CF3CC5">
        <w:rPr>
          <w:iCs/>
          <w:szCs w:val="22"/>
          <w:lang w:val="fr-CA"/>
        </w:rPr>
        <w:t>accès et le partage des avantages</w:t>
      </w:r>
      <w:r w:rsidRPr="00CF3CC5">
        <w:rPr>
          <w:iCs/>
          <w:szCs w:val="22"/>
          <w:lang w:val="fr-CA"/>
        </w:rPr>
        <w:t>;</w:t>
      </w:r>
      <w:r w:rsidR="00857156">
        <w:rPr>
          <w:iCs/>
          <w:szCs w:val="22"/>
          <w:lang w:val="fr-CA"/>
        </w:rPr>
        <w:t> </w:t>
      </w:r>
    </w:p>
    <w:p w14:paraId="66FC0D05" w14:textId="4E15483A" w:rsidR="00C13AD7" w:rsidRPr="00CF3CC5" w:rsidRDefault="00AB2545" w:rsidP="00C841A7">
      <w:pPr>
        <w:pStyle w:val="Para1"/>
        <w:numPr>
          <w:ilvl w:val="0"/>
          <w:numId w:val="0"/>
        </w:numPr>
        <w:pBdr>
          <w:top w:val="nil"/>
          <w:left w:val="nil"/>
          <w:bottom w:val="nil"/>
          <w:right w:val="nil"/>
          <w:between w:val="nil"/>
          <w:bar w:val="nil"/>
        </w:pBdr>
        <w:tabs>
          <w:tab w:val="left" w:pos="360"/>
        </w:tabs>
        <w:ind w:firstLine="720"/>
        <w:rPr>
          <w:lang w:val="fr-CA"/>
        </w:rPr>
      </w:pPr>
      <w:r w:rsidRPr="00CF3CC5">
        <w:rPr>
          <w:iCs/>
          <w:szCs w:val="22"/>
          <w:lang w:val="fr-CA"/>
        </w:rPr>
        <w:t>7.</w:t>
      </w:r>
      <w:r w:rsidRPr="00CF3CC5">
        <w:rPr>
          <w:iCs/>
          <w:szCs w:val="22"/>
          <w:lang w:val="fr-CA"/>
        </w:rPr>
        <w:tab/>
      </w:r>
      <w:r w:rsidR="00CF3CC5" w:rsidRPr="00CF3CC5">
        <w:rPr>
          <w:i/>
          <w:szCs w:val="22"/>
          <w:lang w:val="fr-CA"/>
        </w:rPr>
        <w:t xml:space="preserve">Prie </w:t>
      </w:r>
      <w:r w:rsidR="00CF3CC5" w:rsidRPr="00CF3CC5">
        <w:rPr>
          <w:iCs/>
          <w:szCs w:val="22"/>
          <w:lang w:val="fr-CA"/>
        </w:rPr>
        <w:t xml:space="preserve">la Secrétaire exécutive, compte </w:t>
      </w:r>
      <w:r w:rsidR="007F094E">
        <w:rPr>
          <w:iCs/>
          <w:szCs w:val="22"/>
          <w:lang w:val="fr-CA"/>
        </w:rPr>
        <w:t xml:space="preserve">tenu </w:t>
      </w:r>
      <w:r w:rsidR="00CF3CC5" w:rsidRPr="00CF3CC5">
        <w:rPr>
          <w:iCs/>
          <w:szCs w:val="22"/>
          <w:lang w:val="fr-CA"/>
        </w:rPr>
        <w:t>des progrès réalisés</w:t>
      </w:r>
      <w:r w:rsidR="007F094E">
        <w:rPr>
          <w:iCs/>
          <w:szCs w:val="22"/>
          <w:lang w:val="fr-CA"/>
        </w:rPr>
        <w:t xml:space="preserve"> </w:t>
      </w:r>
      <w:r w:rsidR="007F094E" w:rsidRPr="00CF3CC5">
        <w:rPr>
          <w:iCs/>
          <w:szCs w:val="22"/>
          <w:lang w:val="fr-CA"/>
        </w:rPr>
        <w:t>à ce jour</w:t>
      </w:r>
      <w:r w:rsidR="00CF3CC5" w:rsidRPr="00CF3CC5">
        <w:rPr>
          <w:iCs/>
          <w:szCs w:val="22"/>
          <w:lang w:val="fr-CA"/>
        </w:rPr>
        <w:t>, de continuer à développer et à administrer le Centre d</w:t>
      </w:r>
      <w:r w:rsidR="00CF3CC5">
        <w:rPr>
          <w:iCs/>
          <w:szCs w:val="22"/>
          <w:lang w:val="fr-CA"/>
        </w:rPr>
        <w:t>’</w:t>
      </w:r>
      <w:r w:rsidR="00CF3CC5" w:rsidRPr="00CF3CC5">
        <w:rPr>
          <w:iCs/>
          <w:szCs w:val="22"/>
          <w:lang w:val="fr-CA"/>
        </w:rPr>
        <w:t>échange sur l</w:t>
      </w:r>
      <w:r w:rsidR="00CF3CC5">
        <w:rPr>
          <w:iCs/>
          <w:szCs w:val="22"/>
          <w:lang w:val="fr-CA"/>
        </w:rPr>
        <w:t>’</w:t>
      </w:r>
      <w:r w:rsidR="00CF3CC5" w:rsidRPr="00CF3CC5">
        <w:rPr>
          <w:iCs/>
          <w:szCs w:val="22"/>
          <w:lang w:val="fr-CA"/>
        </w:rPr>
        <w:t>accès et le partage des avantages en fonction des objectifs et des priorités en la matière, tels qu</w:t>
      </w:r>
      <w:r w:rsidR="00CF3CC5">
        <w:rPr>
          <w:iCs/>
          <w:szCs w:val="22"/>
          <w:lang w:val="fr-CA"/>
        </w:rPr>
        <w:t>’</w:t>
      </w:r>
      <w:r w:rsidR="00CF3CC5" w:rsidRPr="00CF3CC5">
        <w:rPr>
          <w:iCs/>
          <w:szCs w:val="22"/>
          <w:lang w:val="fr-CA"/>
        </w:rPr>
        <w:t>indiqués dans l</w:t>
      </w:r>
      <w:r w:rsidR="00CF3CC5">
        <w:rPr>
          <w:iCs/>
          <w:szCs w:val="22"/>
          <w:lang w:val="fr-CA"/>
        </w:rPr>
        <w:t>’</w:t>
      </w:r>
      <w:r w:rsidR="00CF3CC5" w:rsidRPr="00CF3CC5">
        <w:rPr>
          <w:iCs/>
          <w:szCs w:val="22"/>
          <w:lang w:val="fr-CA"/>
        </w:rPr>
        <w:t>annexe de la décision NP</w:t>
      </w:r>
      <w:r w:rsidR="00CF3CC5">
        <w:rPr>
          <w:iCs/>
          <w:szCs w:val="22"/>
          <w:lang w:val="fr-CA"/>
        </w:rPr>
        <w:noBreakHyphen/>
      </w:r>
      <w:r w:rsidR="00CF3CC5" w:rsidRPr="00CF3CC5">
        <w:rPr>
          <w:iCs/>
          <w:szCs w:val="22"/>
          <w:lang w:val="fr-CA"/>
        </w:rPr>
        <w:t>3/3, conformément aux modalités de fonctionnement et aux retours d</w:t>
      </w:r>
      <w:r w:rsidR="00CF3CC5">
        <w:rPr>
          <w:iCs/>
          <w:szCs w:val="22"/>
          <w:lang w:val="fr-CA"/>
        </w:rPr>
        <w:t>’</w:t>
      </w:r>
      <w:r w:rsidR="00CF3CC5" w:rsidRPr="00CF3CC5">
        <w:rPr>
          <w:iCs/>
          <w:szCs w:val="22"/>
          <w:lang w:val="fr-CA"/>
        </w:rPr>
        <w:t>information reçus, en particulier de la part des Parties et du Comité consultatif informel du Centre d</w:t>
      </w:r>
      <w:r w:rsidR="00CF3CC5">
        <w:rPr>
          <w:iCs/>
          <w:szCs w:val="22"/>
          <w:lang w:val="fr-CA"/>
        </w:rPr>
        <w:t>’</w:t>
      </w:r>
      <w:r w:rsidR="00CF3CC5" w:rsidRPr="00CF3CC5">
        <w:rPr>
          <w:iCs/>
          <w:szCs w:val="22"/>
          <w:lang w:val="fr-CA"/>
        </w:rPr>
        <w:t>échange sur l</w:t>
      </w:r>
      <w:r w:rsidR="00CF3CC5">
        <w:rPr>
          <w:iCs/>
          <w:szCs w:val="22"/>
          <w:lang w:val="fr-CA"/>
        </w:rPr>
        <w:t>’</w:t>
      </w:r>
      <w:r w:rsidR="00CF3CC5" w:rsidRPr="00CF3CC5">
        <w:rPr>
          <w:iCs/>
          <w:szCs w:val="22"/>
          <w:lang w:val="fr-CA"/>
        </w:rPr>
        <w:t>accès et le partage des avantages, et d</w:t>
      </w:r>
      <w:r w:rsidR="00CF3CC5">
        <w:rPr>
          <w:iCs/>
          <w:szCs w:val="22"/>
          <w:lang w:val="fr-CA"/>
        </w:rPr>
        <w:t>’</w:t>
      </w:r>
      <w:r w:rsidR="00CF3CC5" w:rsidRPr="00CF3CC5">
        <w:rPr>
          <w:iCs/>
          <w:szCs w:val="22"/>
          <w:lang w:val="fr-CA"/>
        </w:rPr>
        <w:t>analyser les moyens de s</w:t>
      </w:r>
      <w:r w:rsidR="00CF3CC5">
        <w:rPr>
          <w:iCs/>
          <w:szCs w:val="22"/>
          <w:lang w:val="fr-CA"/>
        </w:rPr>
        <w:t>’</w:t>
      </w:r>
      <w:r w:rsidR="00CF3CC5" w:rsidRPr="00CF3CC5">
        <w:rPr>
          <w:iCs/>
          <w:szCs w:val="22"/>
          <w:lang w:val="fr-CA"/>
        </w:rPr>
        <w:t>adapter aux contextes nationaux</w:t>
      </w:r>
      <w:bookmarkEnd w:id="0"/>
      <w:r w:rsidR="00C841A7">
        <w:rPr>
          <w:iCs/>
          <w:szCs w:val="22"/>
          <w:lang w:val="fr-CA"/>
        </w:rPr>
        <w:t>.</w:t>
      </w:r>
    </w:p>
    <w:p w14:paraId="6E8C586C" w14:textId="77777777" w:rsidR="00B3369F" w:rsidRPr="00CF3CC5" w:rsidRDefault="00C9161D" w:rsidP="005F0F43">
      <w:pPr>
        <w:jc w:val="center"/>
        <w:rPr>
          <w:lang w:val="fr-CA"/>
        </w:rPr>
      </w:pPr>
      <w:r w:rsidRPr="00CF3CC5">
        <w:rPr>
          <w:lang w:val="fr-CA"/>
        </w:rPr>
        <w:t>_____</w:t>
      </w:r>
      <w:r w:rsidR="00EF7376" w:rsidRPr="00CF3CC5">
        <w:rPr>
          <w:lang w:val="fr-CA"/>
        </w:rPr>
        <w:t>_____</w:t>
      </w:r>
    </w:p>
    <w:sectPr w:rsidR="00B3369F" w:rsidRPr="00CF3CC5" w:rsidSect="00F9496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E787" w14:textId="77777777" w:rsidR="00C000CB" w:rsidRDefault="00C000CB" w:rsidP="00CF1848">
      <w:r>
        <w:separator/>
      </w:r>
    </w:p>
  </w:endnote>
  <w:endnote w:type="continuationSeparator" w:id="0">
    <w:p w14:paraId="6FA3A9BC" w14:textId="77777777" w:rsidR="00C000CB" w:rsidRDefault="00C000C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C6BA" w14:textId="77777777" w:rsidR="00C000CB" w:rsidRDefault="00C000CB" w:rsidP="00CF1848">
      <w:r>
        <w:separator/>
      </w:r>
    </w:p>
  </w:footnote>
  <w:footnote w:type="continuationSeparator" w:id="0">
    <w:p w14:paraId="77C9B85C" w14:textId="77777777" w:rsidR="00C000CB" w:rsidRDefault="00C000CB"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793D82F0" w14:textId="0212843B" w:rsidR="00534681" w:rsidRPr="00134846" w:rsidRDefault="00271BAD" w:rsidP="00534681">
        <w:pPr>
          <w:pStyle w:val="En-tte"/>
          <w:rPr>
            <w:lang w:val="fr-FR"/>
          </w:rPr>
        </w:pPr>
        <w:r>
          <w:rPr>
            <w:lang w:val="fr-FR"/>
          </w:rPr>
          <w:t>CBD/NP/MOP/DEC/4/4</w:t>
        </w:r>
      </w:p>
    </w:sdtContent>
  </w:sdt>
  <w:p w14:paraId="47D53C2E" w14:textId="77777777" w:rsidR="00534681" w:rsidRPr="00134846" w:rsidRDefault="00534681" w:rsidP="00534681">
    <w:pPr>
      <w:pStyle w:val="En-tte"/>
      <w:rPr>
        <w:lang w:val="fr-FR"/>
      </w:rPr>
    </w:pPr>
    <w:r w:rsidRPr="00134846">
      <w:rPr>
        <w:lang w:val="fr-FR"/>
      </w:rPr>
      <w:t xml:space="preserve">Page </w:t>
    </w:r>
    <w:r w:rsidR="00260D15">
      <w:fldChar w:fldCharType="begin"/>
    </w:r>
    <w:r w:rsidRPr="00134846">
      <w:rPr>
        <w:lang w:val="fr-FR"/>
      </w:rPr>
      <w:instrText xml:space="preserve"> PAGE   \* MERGEFORMAT </w:instrText>
    </w:r>
    <w:r w:rsidR="00260D15">
      <w:fldChar w:fldCharType="separate"/>
    </w:r>
    <w:r w:rsidR="00D33119">
      <w:rPr>
        <w:noProof/>
        <w:lang w:val="fr-FR"/>
      </w:rPr>
      <w:t>2</w:t>
    </w:r>
    <w:r w:rsidR="00260D15">
      <w:rPr>
        <w:noProof/>
      </w:rPr>
      <w:fldChar w:fldCharType="end"/>
    </w:r>
  </w:p>
  <w:p w14:paraId="5A728873"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7A8CD9A4" w14:textId="6BC48A98" w:rsidR="009505C9" w:rsidRPr="00134846" w:rsidRDefault="00271BAD" w:rsidP="009505C9">
        <w:pPr>
          <w:pStyle w:val="En-tte"/>
          <w:jc w:val="right"/>
          <w:rPr>
            <w:lang w:val="fr-FR"/>
          </w:rPr>
        </w:pPr>
        <w:r>
          <w:rPr>
            <w:lang w:val="fr-FR"/>
          </w:rPr>
          <w:t>CBD/NP/MOP/DEC/4/4</w:t>
        </w:r>
      </w:p>
    </w:sdtContent>
  </w:sdt>
  <w:p w14:paraId="088652C1" w14:textId="77777777" w:rsidR="009505C9" w:rsidRPr="00134846" w:rsidRDefault="009505C9" w:rsidP="009505C9">
    <w:pPr>
      <w:pStyle w:val="En-tte"/>
      <w:jc w:val="right"/>
      <w:rPr>
        <w:lang w:val="fr-FR"/>
      </w:rPr>
    </w:pPr>
    <w:r w:rsidRPr="00134846">
      <w:rPr>
        <w:lang w:val="fr-FR"/>
      </w:rPr>
      <w:t xml:space="preserve">Page </w:t>
    </w:r>
    <w:r w:rsidR="00260D15">
      <w:fldChar w:fldCharType="begin"/>
    </w:r>
    <w:r w:rsidRPr="00134846">
      <w:rPr>
        <w:lang w:val="fr-FR"/>
      </w:rPr>
      <w:instrText xml:space="preserve"> PAGE   \* MERGEFORMAT </w:instrText>
    </w:r>
    <w:r w:rsidR="00260D15">
      <w:fldChar w:fldCharType="separate"/>
    </w:r>
    <w:r w:rsidR="00F6586C" w:rsidRPr="00134846">
      <w:rPr>
        <w:noProof/>
        <w:lang w:val="fr-FR"/>
      </w:rPr>
      <w:t>3</w:t>
    </w:r>
    <w:r w:rsidR="00260D15">
      <w:rPr>
        <w:noProof/>
      </w:rPr>
      <w:fldChar w:fldCharType="end"/>
    </w:r>
  </w:p>
  <w:p w14:paraId="2421786D"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644400">
    <w:abstractNumId w:val="3"/>
  </w:num>
  <w:num w:numId="2" w16cid:durableId="1421367998">
    <w:abstractNumId w:val="6"/>
  </w:num>
  <w:num w:numId="3" w16cid:durableId="499004786">
    <w:abstractNumId w:val="4"/>
  </w:num>
  <w:num w:numId="4" w16cid:durableId="1833832809">
    <w:abstractNumId w:val="6"/>
  </w:num>
  <w:num w:numId="5" w16cid:durableId="213083941">
    <w:abstractNumId w:val="5"/>
  </w:num>
  <w:num w:numId="6" w16cid:durableId="1826897562">
    <w:abstractNumId w:val="0"/>
  </w:num>
  <w:num w:numId="7" w16cid:durableId="595140027">
    <w:abstractNumId w:val="2"/>
  </w:num>
  <w:num w:numId="8" w16cid:durableId="1655721150">
    <w:abstractNumId w:val="4"/>
    <w:lvlOverride w:ilvl="0">
      <w:startOverride w:val="1"/>
    </w:lvlOverride>
  </w:num>
  <w:num w:numId="9" w16cid:durableId="2145584158">
    <w:abstractNumId w:val="9"/>
  </w:num>
  <w:num w:numId="10" w16cid:durableId="722562437">
    <w:abstractNumId w:val="4"/>
    <w:lvlOverride w:ilvl="0">
      <w:startOverride w:val="1"/>
    </w:lvlOverride>
  </w:num>
  <w:num w:numId="11" w16cid:durableId="2049790294">
    <w:abstractNumId w:val="4"/>
    <w:lvlOverride w:ilvl="0">
      <w:startOverride w:val="1"/>
    </w:lvlOverride>
  </w:num>
  <w:num w:numId="12" w16cid:durableId="661391127">
    <w:abstractNumId w:val="4"/>
    <w:lvlOverride w:ilvl="0">
      <w:startOverride w:val="1"/>
    </w:lvlOverride>
  </w:num>
  <w:num w:numId="13" w16cid:durableId="1051615430">
    <w:abstractNumId w:val="4"/>
    <w:lvlOverride w:ilvl="0">
      <w:startOverride w:val="1"/>
    </w:lvlOverride>
  </w:num>
  <w:num w:numId="14" w16cid:durableId="2102068324">
    <w:abstractNumId w:val="8"/>
  </w:num>
  <w:num w:numId="15" w16cid:durableId="1959724439">
    <w:abstractNumId w:val="7"/>
  </w:num>
  <w:num w:numId="16" w16cid:durableId="467161698">
    <w:abstractNumId w:val="1"/>
  </w:num>
  <w:num w:numId="17" w16cid:durableId="366567432">
    <w:abstractNumId w:val="10"/>
  </w:num>
  <w:num w:numId="18" w16cid:durableId="1759402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20A25"/>
    <w:rsid w:val="00053B24"/>
    <w:rsid w:val="0007171B"/>
    <w:rsid w:val="000C64C2"/>
    <w:rsid w:val="000E3B3D"/>
    <w:rsid w:val="000E673A"/>
    <w:rsid w:val="000F74F5"/>
    <w:rsid w:val="00105372"/>
    <w:rsid w:val="001078CB"/>
    <w:rsid w:val="001226B6"/>
    <w:rsid w:val="001312AD"/>
    <w:rsid w:val="001312EB"/>
    <w:rsid w:val="00131E7A"/>
    <w:rsid w:val="00134846"/>
    <w:rsid w:val="00172AF6"/>
    <w:rsid w:val="00176CEE"/>
    <w:rsid w:val="00186DD8"/>
    <w:rsid w:val="001B13FE"/>
    <w:rsid w:val="001E38DB"/>
    <w:rsid w:val="00260D15"/>
    <w:rsid w:val="00271BAD"/>
    <w:rsid w:val="00274635"/>
    <w:rsid w:val="002E771E"/>
    <w:rsid w:val="0030169D"/>
    <w:rsid w:val="003060EB"/>
    <w:rsid w:val="003153EB"/>
    <w:rsid w:val="00321985"/>
    <w:rsid w:val="00351205"/>
    <w:rsid w:val="00351D1B"/>
    <w:rsid w:val="00372F74"/>
    <w:rsid w:val="00386DD9"/>
    <w:rsid w:val="003B20F8"/>
    <w:rsid w:val="003B7BB2"/>
    <w:rsid w:val="003D0B38"/>
    <w:rsid w:val="003F7224"/>
    <w:rsid w:val="00427D21"/>
    <w:rsid w:val="004644C2"/>
    <w:rsid w:val="00467F9C"/>
    <w:rsid w:val="00517D1F"/>
    <w:rsid w:val="00534681"/>
    <w:rsid w:val="00542C2E"/>
    <w:rsid w:val="00563442"/>
    <w:rsid w:val="00565B42"/>
    <w:rsid w:val="005B4ADC"/>
    <w:rsid w:val="005C4CE6"/>
    <w:rsid w:val="005E0ED3"/>
    <w:rsid w:val="005F0693"/>
    <w:rsid w:val="005F0F43"/>
    <w:rsid w:val="00604A13"/>
    <w:rsid w:val="006122BA"/>
    <w:rsid w:val="0065472D"/>
    <w:rsid w:val="006B2290"/>
    <w:rsid w:val="006E00E8"/>
    <w:rsid w:val="00717D88"/>
    <w:rsid w:val="00725E85"/>
    <w:rsid w:val="007462DB"/>
    <w:rsid w:val="00786056"/>
    <w:rsid w:val="007942D3"/>
    <w:rsid w:val="007B2099"/>
    <w:rsid w:val="007B6C09"/>
    <w:rsid w:val="007B7741"/>
    <w:rsid w:val="007E09DA"/>
    <w:rsid w:val="007E0DA8"/>
    <w:rsid w:val="007F094E"/>
    <w:rsid w:val="008178B6"/>
    <w:rsid w:val="0083009D"/>
    <w:rsid w:val="00857156"/>
    <w:rsid w:val="00865B74"/>
    <w:rsid w:val="008974F0"/>
    <w:rsid w:val="008B012A"/>
    <w:rsid w:val="00906E17"/>
    <w:rsid w:val="00930BA1"/>
    <w:rsid w:val="0093169E"/>
    <w:rsid w:val="00937130"/>
    <w:rsid w:val="009505C9"/>
    <w:rsid w:val="00950752"/>
    <w:rsid w:val="00966424"/>
    <w:rsid w:val="00987538"/>
    <w:rsid w:val="009C2DE6"/>
    <w:rsid w:val="009C6668"/>
    <w:rsid w:val="00A1252A"/>
    <w:rsid w:val="00A83373"/>
    <w:rsid w:val="00AA40ED"/>
    <w:rsid w:val="00AA6F92"/>
    <w:rsid w:val="00AB2545"/>
    <w:rsid w:val="00AB6934"/>
    <w:rsid w:val="00AD7FFC"/>
    <w:rsid w:val="00AF42DE"/>
    <w:rsid w:val="00B02295"/>
    <w:rsid w:val="00B26ACD"/>
    <w:rsid w:val="00B3369F"/>
    <w:rsid w:val="00B94E6C"/>
    <w:rsid w:val="00BA33A0"/>
    <w:rsid w:val="00BB4606"/>
    <w:rsid w:val="00BC3306"/>
    <w:rsid w:val="00BD657F"/>
    <w:rsid w:val="00BF11F9"/>
    <w:rsid w:val="00C000CB"/>
    <w:rsid w:val="00C13AD7"/>
    <w:rsid w:val="00C23D2F"/>
    <w:rsid w:val="00C26D4B"/>
    <w:rsid w:val="00C443BD"/>
    <w:rsid w:val="00C451C5"/>
    <w:rsid w:val="00C74983"/>
    <w:rsid w:val="00C841A7"/>
    <w:rsid w:val="00C9161D"/>
    <w:rsid w:val="00CA0C1D"/>
    <w:rsid w:val="00CF1848"/>
    <w:rsid w:val="00CF3CC5"/>
    <w:rsid w:val="00D12044"/>
    <w:rsid w:val="00D14C1C"/>
    <w:rsid w:val="00D30264"/>
    <w:rsid w:val="00D33119"/>
    <w:rsid w:val="00D33EFC"/>
    <w:rsid w:val="00D40DBC"/>
    <w:rsid w:val="00D56193"/>
    <w:rsid w:val="00D76A18"/>
    <w:rsid w:val="00D80849"/>
    <w:rsid w:val="00D82E8F"/>
    <w:rsid w:val="00DD118C"/>
    <w:rsid w:val="00DD34FB"/>
    <w:rsid w:val="00E32956"/>
    <w:rsid w:val="00E66235"/>
    <w:rsid w:val="00E83C24"/>
    <w:rsid w:val="00E9318D"/>
    <w:rsid w:val="00EC1F46"/>
    <w:rsid w:val="00EF7376"/>
    <w:rsid w:val="00F53193"/>
    <w:rsid w:val="00F5357E"/>
    <w:rsid w:val="00F6586C"/>
    <w:rsid w:val="00F94774"/>
    <w:rsid w:val="00F9496C"/>
    <w:rsid w:val="00FA0E9A"/>
    <w:rsid w:val="00FA663B"/>
    <w:rsid w:val="00FC25F8"/>
    <w:rsid w:val="00FC53DB"/>
    <w:rsid w:val="00FD2F24"/>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0A693"/>
  <w15:docId w15:val="{0C847051-9FC1-4F21-9320-3D18F2D6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B2545"/>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287826D9C6D47CAA7EEBC3B3C370882"/>
        <w:category>
          <w:name w:val="Général"/>
          <w:gallery w:val="placeholder"/>
        </w:category>
        <w:types>
          <w:type w:val="bbPlcHdr"/>
        </w:types>
        <w:behaviors>
          <w:behavior w:val="content"/>
        </w:behaviors>
        <w:guid w:val="{A7FD277C-BD3C-4465-BEBC-5AF39187363F}"/>
      </w:docPartPr>
      <w:docPartBody>
        <w:p w:rsidR="00CE0253" w:rsidRDefault="0071521F" w:rsidP="0071521F">
          <w:pPr>
            <w:pStyle w:val="7287826D9C6D47CAA7EEBC3B3C370882"/>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46422C"/>
    <w:rsid w:val="004760CF"/>
    <w:rsid w:val="004D38F4"/>
    <w:rsid w:val="004E092F"/>
    <w:rsid w:val="00500A2B"/>
    <w:rsid w:val="0058288D"/>
    <w:rsid w:val="005C09FD"/>
    <w:rsid w:val="00665C6B"/>
    <w:rsid w:val="006801B3"/>
    <w:rsid w:val="0071521F"/>
    <w:rsid w:val="00810A55"/>
    <w:rsid w:val="008C6619"/>
    <w:rsid w:val="008D420E"/>
    <w:rsid w:val="0098642F"/>
    <w:rsid w:val="00B225D3"/>
    <w:rsid w:val="00B27D2C"/>
    <w:rsid w:val="00B4029B"/>
    <w:rsid w:val="00C04427"/>
    <w:rsid w:val="00C8104B"/>
    <w:rsid w:val="00CE0253"/>
    <w:rsid w:val="00D220B5"/>
    <w:rsid w:val="00D31D12"/>
    <w:rsid w:val="00F0778E"/>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9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1521F"/>
    <w:rPr>
      <w:color w:val="808080"/>
    </w:rPr>
  </w:style>
  <w:style w:type="paragraph" w:customStyle="1" w:styleId="7287826D9C6D47CAA7EEBC3B3C370882">
    <w:name w:val="7287826D9C6D47CAA7EEBC3B3C370882"/>
    <w:rsid w:val="0071521F"/>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982BC2-FFAF-42F6-ABDD-9532053F6B20}">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1375B112-7233-44D7-AB02-694BC980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NP-4/4.	Centre d’échange sur l’accès et le partage des avantages et échange d’informations (article 14)</dc:title>
  <dc:subject>CBD/NP/MOP/DEC/4/4</dc:subject>
  <dc:creator>SCBD</dc:creator>
  <cp:keywords>Conference of the Parties serving as the meeting of the Parties to the Nagoya Protocol on Access to Genetic Resources and the Fair and Equitable Sharing of Benefits Arising from Their Utilization</cp:keywords>
  <cp:lastModifiedBy>VDS</cp:lastModifiedBy>
  <cp:revision>2</cp:revision>
  <cp:lastPrinted>2020-01-21T16:56:00Z</cp:lastPrinted>
  <dcterms:created xsi:type="dcterms:W3CDTF">2023-02-20T20:40:00Z</dcterms:created>
  <dcterms:modified xsi:type="dcterms:W3CDTF">2023-02-20T20:40:00Z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ies>
</file>