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622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9"/>
        <w:gridCol w:w="4403"/>
        <w:gridCol w:w="373"/>
        <w:gridCol w:w="4992"/>
      </w:tblGrid>
      <w:tr w:rsidR="00C9161D" w:rsidRPr="00DA3B98" w:rsidTr="00DA3B98">
        <w:trPr>
          <w:trHeight w:val="851"/>
        </w:trPr>
        <w:tc>
          <w:tcPr>
            <w:tcW w:w="999" w:type="dxa"/>
            <w:tcBorders>
              <w:bottom w:val="single" w:sz="12" w:space="0" w:color="auto"/>
            </w:tcBorders>
          </w:tcPr>
          <w:p w:rsidR="00C9161D" w:rsidRPr="00DA3B98" w:rsidRDefault="00C9161D" w:rsidP="00321985">
            <w:pPr>
              <w:rPr>
                <w:lang w:val="es-ES"/>
              </w:rPr>
            </w:pPr>
            <w:r w:rsidRPr="00DA3B98">
              <w:rPr>
                <w:lang w:val="es-ES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gridSpan w:val="2"/>
            <w:tcBorders>
              <w:bottom w:val="single" w:sz="12" w:space="0" w:color="auto"/>
            </w:tcBorders>
            <w:shd w:val="clear" w:color="auto" w:fill="auto"/>
            <w:tcFitText/>
          </w:tcPr>
          <w:p w:rsidR="00FA663B" w:rsidRPr="00DA3B98" w:rsidRDefault="00DA3B98" w:rsidP="00321985">
            <w:pPr>
              <w:rPr>
                <w:lang w:val="es-ES"/>
              </w:rPr>
            </w:pPr>
            <w:r w:rsidRPr="00094573">
              <w:rPr>
                <w:lang w:val="es-ES"/>
              </w:rPr>
              <w:drawing>
                <wp:inline distT="0" distB="0" distL="0" distR="0">
                  <wp:extent cx="609600" cy="34861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2" w:type="dxa"/>
            <w:tcBorders>
              <w:bottom w:val="single" w:sz="12" w:space="0" w:color="auto"/>
            </w:tcBorders>
          </w:tcPr>
          <w:p w:rsidR="00C9161D" w:rsidRPr="00DA3B98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es-ES"/>
              </w:rPr>
            </w:pPr>
            <w:r w:rsidRPr="00DA3B98">
              <w:rPr>
                <w:rFonts w:ascii="Arial" w:hAnsi="Arial" w:cs="Arial"/>
                <w:b/>
                <w:sz w:val="32"/>
                <w:szCs w:val="32"/>
                <w:lang w:val="es-ES"/>
              </w:rPr>
              <w:t>CBD</w:t>
            </w:r>
          </w:p>
        </w:tc>
      </w:tr>
      <w:tr w:rsidR="00C9161D" w:rsidRPr="00DA3B98" w:rsidTr="00DA3B98">
        <w:tc>
          <w:tcPr>
            <w:tcW w:w="5402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Pr="00DA3B98" w:rsidRDefault="00DA3B98" w:rsidP="00C9161D">
            <w:pPr>
              <w:rPr>
                <w:lang w:val="es-ES"/>
              </w:rPr>
            </w:pPr>
            <w:r w:rsidRPr="00DA3B98">
              <w:rPr>
                <w:lang w:val="es-ES"/>
              </w:rPr>
              <w:drawing>
                <wp:inline distT="0" distB="0" distL="0" distR="0">
                  <wp:extent cx="2874010" cy="1045210"/>
                  <wp:effectExtent l="19050" t="0" r="254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5" w:type="dxa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:rsidR="00C9161D" w:rsidRPr="00DA3B98" w:rsidRDefault="00C9161D" w:rsidP="00D454F1">
            <w:pPr>
              <w:ind w:left="1732"/>
              <w:rPr>
                <w:szCs w:val="22"/>
                <w:lang w:val="es-ES"/>
              </w:rPr>
            </w:pPr>
            <w:r w:rsidRPr="00DA3B98">
              <w:rPr>
                <w:szCs w:val="22"/>
                <w:lang w:val="es-ES"/>
              </w:rPr>
              <w:t>Distr.</w:t>
            </w:r>
          </w:p>
          <w:p w:rsidR="00C9161D" w:rsidRPr="00DA3B98" w:rsidRDefault="003059D1" w:rsidP="00D454F1">
            <w:pPr>
              <w:ind w:left="1732"/>
              <w:rPr>
                <w:szCs w:val="22"/>
                <w:lang w:val="es-ES"/>
              </w:rPr>
            </w:pPr>
            <w:r w:rsidRPr="00DA3B98">
              <w:rPr>
                <w:caps/>
                <w:szCs w:val="22"/>
                <w:lang w:val="es-ES"/>
              </w:rPr>
              <w:t>GENERAL</w:t>
            </w:r>
          </w:p>
          <w:p w:rsidR="00C9161D" w:rsidRPr="00DA3B98" w:rsidRDefault="00C9161D" w:rsidP="00D454F1">
            <w:pPr>
              <w:ind w:left="1732"/>
              <w:rPr>
                <w:szCs w:val="22"/>
                <w:lang w:val="es-ES"/>
              </w:rPr>
            </w:pPr>
          </w:p>
          <w:p w:rsidR="00C9161D" w:rsidRPr="00DA3B98" w:rsidRDefault="002A3160" w:rsidP="00D454F1">
            <w:pPr>
              <w:ind w:left="1732"/>
              <w:rPr>
                <w:szCs w:val="22"/>
                <w:lang w:val="es-ES"/>
              </w:rPr>
            </w:pPr>
            <w:sdt>
              <w:sdtPr>
                <w:rPr>
                  <w:lang w:val="es-E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3059D1" w:rsidRPr="00DA3B98">
                  <w:rPr>
                    <w:lang w:val="es-ES"/>
                  </w:rPr>
                  <w:t>CBD/NP/MOP/DEC/4/5</w:t>
                </w:r>
              </w:sdtContent>
            </w:sdt>
          </w:p>
          <w:p w:rsidR="00DA3B98" w:rsidRPr="00DA3B98" w:rsidRDefault="00DA3B98" w:rsidP="00DA3B98">
            <w:pPr>
              <w:ind w:left="1732"/>
              <w:rPr>
                <w:lang w:val="es-ES"/>
              </w:rPr>
            </w:pPr>
            <w:r w:rsidRPr="00DA3B98">
              <w:rPr>
                <w:lang w:val="es-ES"/>
              </w:rPr>
              <w:t>19 de diciembre de 2022</w:t>
            </w:r>
          </w:p>
          <w:p w:rsidR="00DA3B98" w:rsidRPr="00DA3B98" w:rsidRDefault="00DA3B98" w:rsidP="00DA3B98">
            <w:pPr>
              <w:ind w:left="1732"/>
              <w:rPr>
                <w:lang w:val="es-ES"/>
              </w:rPr>
            </w:pPr>
          </w:p>
          <w:p w:rsidR="00DA3B98" w:rsidRPr="00DA3B98" w:rsidRDefault="00DA3B98" w:rsidP="00DA3B98">
            <w:pPr>
              <w:ind w:left="1732"/>
              <w:rPr>
                <w:lang w:val="es-ES"/>
              </w:rPr>
            </w:pPr>
            <w:r w:rsidRPr="00DA3B98">
              <w:rPr>
                <w:lang w:val="es-ES"/>
              </w:rPr>
              <w:t>ESPAÑOL</w:t>
            </w:r>
          </w:p>
          <w:p w:rsidR="00DA3B98" w:rsidRPr="00DA3B98" w:rsidRDefault="00DA3B98" w:rsidP="00DA3B98">
            <w:pPr>
              <w:ind w:left="1732"/>
              <w:rPr>
                <w:lang w:val="es-ES"/>
              </w:rPr>
            </w:pPr>
            <w:r w:rsidRPr="00DA3B98">
              <w:rPr>
                <w:lang w:val="es-ES"/>
              </w:rPr>
              <w:t>ORIGINAL: INGLÉS</w:t>
            </w:r>
          </w:p>
          <w:p w:rsidR="00C9161D" w:rsidRPr="00DA3B98" w:rsidRDefault="00C9161D">
            <w:pPr>
              <w:rPr>
                <w:lang w:val="es-ES"/>
              </w:rPr>
            </w:pPr>
          </w:p>
        </w:tc>
      </w:tr>
    </w:tbl>
    <w:p w:rsidR="00DA3B98" w:rsidRPr="00DA3B98" w:rsidRDefault="00DA3B98" w:rsidP="00DA3B98">
      <w:pPr>
        <w:pStyle w:val="Cornernotation"/>
        <w:kinsoku w:val="0"/>
        <w:overflowPunct w:val="0"/>
        <w:autoSpaceDE w:val="0"/>
        <w:autoSpaceDN w:val="0"/>
        <w:spacing w:before="60"/>
        <w:ind w:left="227" w:right="3792" w:hanging="227"/>
        <w:rPr>
          <w:kern w:val="22"/>
          <w:lang w:val="es-ES"/>
        </w:rPr>
      </w:pPr>
      <w:r w:rsidRPr="00DA3B98">
        <w:rPr>
          <w:kern w:val="22"/>
          <w:lang w:val="es-ES"/>
        </w:rPr>
        <w:t>CONFERENCIA DE LAS PARTES EN EL CONVENIO SOBRE LA DIVERSIDAD BIOLÓGICA QUE ACTÚA COMO REUNIÓN DE LAS PARTES EN EL PROTOCOLO DE NAGOYA SOBRE ACCESO A LOS RECURSOS GENÉTICOS Y PARTICIPACIÓN JUSTA Y EQUITATIVA EN LOS BENEFICIOS QUE SE DERIVEN DE SU UTILIZACIÓN</w:t>
      </w:r>
    </w:p>
    <w:p w:rsidR="00DA3B98" w:rsidRPr="00DA3B98" w:rsidRDefault="00DA3B98" w:rsidP="00DA3B98">
      <w:pPr>
        <w:pStyle w:val="Cornernotation"/>
        <w:kinsoku w:val="0"/>
        <w:overflowPunct w:val="0"/>
        <w:autoSpaceDE w:val="0"/>
        <w:autoSpaceDN w:val="0"/>
        <w:ind w:left="0" w:right="3792" w:firstLine="0"/>
        <w:rPr>
          <w:kern w:val="22"/>
          <w:lang w:val="es-ES"/>
        </w:rPr>
      </w:pPr>
      <w:r w:rsidRPr="00DA3B98">
        <w:rPr>
          <w:kern w:val="22"/>
          <w:lang w:val="es-ES"/>
        </w:rPr>
        <w:t>Cuarta reunión – Parte II</w:t>
      </w:r>
    </w:p>
    <w:p w:rsidR="00DA3B98" w:rsidRPr="00DA3B98" w:rsidRDefault="00DA3B98" w:rsidP="00DA3B98">
      <w:pPr>
        <w:pStyle w:val="Cornernotation"/>
        <w:kinsoku w:val="0"/>
        <w:overflowPunct w:val="0"/>
        <w:autoSpaceDE w:val="0"/>
        <w:autoSpaceDN w:val="0"/>
        <w:ind w:left="227" w:right="3792" w:hanging="227"/>
        <w:rPr>
          <w:kern w:val="22"/>
          <w:lang w:val="es-ES"/>
        </w:rPr>
      </w:pPr>
      <w:r w:rsidRPr="00DA3B98">
        <w:rPr>
          <w:kern w:val="22"/>
          <w:lang w:val="es-ES"/>
        </w:rPr>
        <w:t>Montreal (Canadá), 7 a 19 de diciembre de 2022</w:t>
      </w:r>
    </w:p>
    <w:p w:rsidR="00C9161D" w:rsidRPr="00DA3B98" w:rsidRDefault="00DA3B98" w:rsidP="00DA3B98">
      <w:pPr>
        <w:ind w:right="3792"/>
        <w:rPr>
          <w:snapToGrid w:val="0"/>
          <w:kern w:val="22"/>
          <w:szCs w:val="22"/>
          <w:lang w:val="es-ES"/>
        </w:rPr>
      </w:pPr>
      <w:r w:rsidRPr="00DA3B98">
        <w:rPr>
          <w:kern w:val="22"/>
          <w:lang w:val="es-ES"/>
        </w:rPr>
        <w:t>Tema 13 del programa</w:t>
      </w:r>
    </w:p>
    <w:p w:rsidR="00B430F6" w:rsidRPr="00DA3B98" w:rsidRDefault="00DA3B98" w:rsidP="007148BB">
      <w:pPr>
        <w:spacing w:before="240" w:after="240"/>
        <w:jc w:val="center"/>
        <w:rPr>
          <w:rFonts w:ascii="Times New Roman Bold" w:hAnsi="Times New Roman Bold"/>
          <w:b/>
          <w:bCs/>
          <w:caps/>
          <w:lang w:val="es-ES"/>
        </w:rPr>
      </w:pPr>
      <w:r w:rsidRPr="00DA3B98">
        <w:rPr>
          <w:b/>
          <w:bCs/>
          <w:caps/>
          <w:lang w:val="es-ES"/>
        </w:rPr>
        <w:t>DECISIÓN ADOPTADA POR LAS PARTES EN EL Protocolo de Nagoya sobre Acceso y Participación en los Beneficios</w:t>
      </w:r>
    </w:p>
    <w:p w:rsidR="00C9161D" w:rsidRPr="00DA3B98" w:rsidRDefault="00DA3B98" w:rsidP="00D454F1">
      <w:pPr>
        <w:tabs>
          <w:tab w:val="left" w:pos="851"/>
        </w:tabs>
        <w:spacing w:before="240" w:after="240"/>
        <w:ind w:left="1584" w:hanging="1152"/>
        <w:jc w:val="left"/>
        <w:outlineLvl w:val="1"/>
        <w:rPr>
          <w:b/>
          <w:caps/>
          <w:lang w:val="es-ES"/>
        </w:rPr>
      </w:pPr>
      <w:sdt>
        <w:sdtPr>
          <w:rPr>
            <w:rStyle w:val="Heading2Char"/>
            <w:lang w:val="es-ES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DA3B98">
            <w:rPr>
              <w:rStyle w:val="Heading2Char"/>
              <w:lang w:val="es-ES"/>
            </w:rPr>
            <w:t>NP-4/5.</w:t>
          </w:r>
          <w:r w:rsidRPr="00DA3B98">
            <w:rPr>
              <w:rStyle w:val="Heading2Char"/>
              <w:lang w:val="es-ES"/>
            </w:rPr>
            <w:tab/>
            <w:t>Mejora de la aplicación del Protocolo de Nagoya en el contexto del Marco Mundial de Biodiversidad de Kunming-Montreal</w:t>
          </w:r>
        </w:sdtContent>
      </w:sdt>
      <w:r w:rsidR="00105372" w:rsidRPr="00DA3B98">
        <w:rPr>
          <w:b/>
          <w:caps/>
          <w:lang w:val="es-ES"/>
        </w:rPr>
        <w:t xml:space="preserve"> </w:t>
      </w:r>
    </w:p>
    <w:p w:rsidR="00DA3B98" w:rsidRPr="00DA3B98" w:rsidRDefault="00DA3B98" w:rsidP="00DA3B98">
      <w:pPr>
        <w:spacing w:before="120" w:after="120"/>
        <w:ind w:firstLine="720"/>
        <w:rPr>
          <w:i/>
          <w:iCs/>
          <w:color w:val="000000"/>
          <w:kern w:val="20"/>
          <w:lang w:val="es-ES"/>
        </w:rPr>
      </w:pPr>
      <w:r w:rsidRPr="00DA3B98">
        <w:rPr>
          <w:i/>
          <w:iCs/>
          <w:color w:val="000000"/>
          <w:kern w:val="20"/>
          <w:lang w:val="es-ES"/>
        </w:rPr>
        <w:t>La Conferencia de las Partes que actúa como reunión de las Partes en el Protocolo de Nagoya,</w:t>
      </w:r>
    </w:p>
    <w:p w:rsidR="00DA3B98" w:rsidRPr="00DA3B98" w:rsidRDefault="00DA3B98" w:rsidP="00DA3B98">
      <w:pPr>
        <w:spacing w:before="120" w:after="120"/>
        <w:ind w:firstLine="720"/>
        <w:rPr>
          <w:i/>
          <w:iCs/>
          <w:color w:val="000000"/>
          <w:kern w:val="20"/>
          <w:lang w:val="es-ES"/>
        </w:rPr>
      </w:pPr>
      <w:r w:rsidRPr="00DA3B98">
        <w:rPr>
          <w:i/>
          <w:iCs/>
          <w:color w:val="000000"/>
          <w:kern w:val="20"/>
          <w:lang w:val="es-ES"/>
        </w:rPr>
        <w:t>Recordando</w:t>
      </w:r>
      <w:r w:rsidRPr="00DA3B98">
        <w:rPr>
          <w:color w:val="000000"/>
          <w:kern w:val="20"/>
          <w:lang w:val="es-ES"/>
        </w:rPr>
        <w:t xml:space="preserve"> la decisión NP-3/15,</w:t>
      </w:r>
    </w:p>
    <w:p w:rsidR="00DA3B98" w:rsidRPr="00DA3B98" w:rsidRDefault="00DA3B98" w:rsidP="00DA3B98">
      <w:pPr>
        <w:spacing w:before="120" w:after="120"/>
        <w:ind w:firstLine="720"/>
        <w:rPr>
          <w:i/>
          <w:iCs/>
          <w:color w:val="000000"/>
          <w:kern w:val="20"/>
          <w:lang w:val="es-ES"/>
        </w:rPr>
      </w:pPr>
      <w:r w:rsidRPr="00DA3B98">
        <w:rPr>
          <w:i/>
          <w:iCs/>
          <w:color w:val="000000"/>
          <w:kern w:val="20"/>
          <w:lang w:val="es-ES"/>
        </w:rPr>
        <w:t xml:space="preserve">Poniendo de relieve </w:t>
      </w:r>
      <w:r w:rsidRPr="00DA3B98">
        <w:rPr>
          <w:color w:val="000000"/>
          <w:kern w:val="20"/>
          <w:lang w:val="es-ES"/>
        </w:rPr>
        <w:t>la importancia de avanzar de manera equilibrada en la consecución del tercer objetivo del Convenio y del objetivo del Protocolo de Nagoya en el contexto del Marco Mundial de Biodiversidad de Kunming-Montreal,</w:t>
      </w:r>
    </w:p>
    <w:p w:rsidR="00DA3B98" w:rsidRPr="00DA3B98" w:rsidRDefault="00DA3B98" w:rsidP="00DA3B98">
      <w:pPr>
        <w:pStyle w:val="ListParagraph"/>
        <w:numPr>
          <w:ilvl w:val="0"/>
          <w:numId w:val="19"/>
        </w:numPr>
        <w:spacing w:before="120" w:after="120"/>
        <w:ind w:left="0" w:firstLine="709"/>
        <w:contextualSpacing w:val="0"/>
        <w:rPr>
          <w:i/>
          <w:iCs/>
          <w:color w:val="000000"/>
          <w:kern w:val="20"/>
          <w:lang w:val="es-ES"/>
        </w:rPr>
      </w:pPr>
      <w:r w:rsidRPr="00DA3B98">
        <w:rPr>
          <w:i/>
          <w:iCs/>
          <w:color w:val="000000"/>
          <w:kern w:val="20"/>
          <w:lang w:val="es-ES"/>
        </w:rPr>
        <w:t>Acoge con satisfacción</w:t>
      </w:r>
      <w:r w:rsidRPr="00DA3B98">
        <w:rPr>
          <w:color w:val="000000"/>
          <w:kern w:val="20"/>
          <w:lang w:val="es-ES"/>
        </w:rPr>
        <w:t xml:space="preserve"> la decisión 15/4 de la Conferencia de las Partes en el Convenio</w:t>
      </w:r>
      <w:r w:rsidR="00094573">
        <w:rPr>
          <w:color w:val="000000"/>
          <w:kern w:val="20"/>
          <w:lang w:val="es-ES"/>
        </w:rPr>
        <w:t>,</w:t>
      </w:r>
      <w:r w:rsidRPr="00DA3B98">
        <w:rPr>
          <w:color w:val="000000"/>
          <w:kern w:val="20"/>
          <w:lang w:val="es-ES"/>
        </w:rPr>
        <w:t xml:space="preserve"> por la que se adoptó el Marco Mundial de Biodiversidad de Kunming-Montreal como marco mundial </w:t>
      </w:r>
      <w:r w:rsidR="00094573">
        <w:rPr>
          <w:color w:val="000000"/>
          <w:kern w:val="20"/>
          <w:lang w:val="es-ES"/>
        </w:rPr>
        <w:t xml:space="preserve">de acción </w:t>
      </w:r>
      <w:r w:rsidRPr="00DA3B98">
        <w:rPr>
          <w:color w:val="000000"/>
          <w:kern w:val="20"/>
          <w:lang w:val="es-ES"/>
        </w:rPr>
        <w:t>flexible para que todas las Partes y todos los interesados tomen medidas tendientes a alcanzar la Visión de la Diversidad Biológica para 2050 y lograr los tres objetivos del Convenio, así como el objetivo del Protocolo de Nagoya;</w:t>
      </w:r>
    </w:p>
    <w:p w:rsidR="00DA3B98" w:rsidRPr="00DA3B98" w:rsidRDefault="00DA3B98" w:rsidP="00DA3B98">
      <w:pPr>
        <w:pStyle w:val="ListParagraph"/>
        <w:numPr>
          <w:ilvl w:val="0"/>
          <w:numId w:val="19"/>
        </w:numPr>
        <w:spacing w:before="120" w:after="120"/>
        <w:ind w:left="0" w:firstLine="709"/>
        <w:contextualSpacing w:val="0"/>
        <w:rPr>
          <w:i/>
          <w:iCs/>
          <w:color w:val="000000"/>
          <w:kern w:val="20"/>
          <w:lang w:val="es-ES"/>
        </w:rPr>
      </w:pPr>
      <w:r w:rsidRPr="00DA3B98">
        <w:rPr>
          <w:i/>
          <w:iCs/>
          <w:color w:val="000000"/>
          <w:kern w:val="20"/>
          <w:lang w:val="es-ES"/>
        </w:rPr>
        <w:t xml:space="preserve">Hace suyo </w:t>
      </w:r>
      <w:r w:rsidRPr="00DA3B98">
        <w:rPr>
          <w:color w:val="000000"/>
          <w:kern w:val="20"/>
          <w:lang w:val="es-ES"/>
        </w:rPr>
        <w:t>el Marco Mundial de Biodiversidad de Kunming-Montreal, que figura en el anexo de la decisión 15/4 de la Conferencia de las Partes, y toma nota de otras decisiones relacionadas adoptadas por la Conferencia de las Partes en su 15ª reunión;</w:t>
      </w:r>
    </w:p>
    <w:p w:rsidR="00AE04F7" w:rsidRPr="00DA3B98" w:rsidRDefault="00DA3B98" w:rsidP="00DA3B98">
      <w:pPr>
        <w:pStyle w:val="ListParagraph"/>
        <w:numPr>
          <w:ilvl w:val="0"/>
          <w:numId w:val="19"/>
        </w:numPr>
        <w:spacing w:before="120" w:after="120"/>
        <w:ind w:left="0" w:firstLine="709"/>
        <w:contextualSpacing w:val="0"/>
        <w:rPr>
          <w:rFonts w:eastAsia="Malgun Gothic"/>
          <w:i/>
          <w:color w:val="000000" w:themeColor="text1"/>
          <w:kern w:val="20"/>
          <w:lang w:val="es-ES"/>
        </w:rPr>
      </w:pPr>
      <w:r w:rsidRPr="00DA3B98">
        <w:rPr>
          <w:i/>
          <w:iCs/>
          <w:color w:val="000000"/>
          <w:kern w:val="20"/>
          <w:lang w:val="es-ES"/>
        </w:rPr>
        <w:t xml:space="preserve">Invita </w:t>
      </w:r>
      <w:r w:rsidRPr="00DA3B98">
        <w:rPr>
          <w:color w:val="000000"/>
          <w:kern w:val="20"/>
          <w:lang w:val="es-ES"/>
        </w:rPr>
        <w:t xml:space="preserve">a las Partes, y alienta a otros Gobiernos, a utilizar el enfoque para la planificación, el seguimiento, la presentación de informes y la revisión en el marco del Convenio </w:t>
      </w:r>
      <w:r w:rsidR="00094573">
        <w:rPr>
          <w:color w:val="000000"/>
          <w:kern w:val="20"/>
          <w:lang w:val="es-ES"/>
        </w:rPr>
        <w:t>a fin de</w:t>
      </w:r>
      <w:r w:rsidRPr="00DA3B98">
        <w:rPr>
          <w:color w:val="000000"/>
          <w:kern w:val="20"/>
          <w:lang w:val="es-ES"/>
        </w:rPr>
        <w:t xml:space="preserve"> mejorar la aplicación del Protocolo de Nagoya y la integración del acceso y la participación en los beneficios en las versiones actualizadas de las estrategias y planes de acción nacionales en materia de biodiversidad</w:t>
      </w:r>
      <w:r w:rsidR="00AE04F7" w:rsidRPr="00DA3B98">
        <w:rPr>
          <w:rFonts w:eastAsia="Malgun Gothic"/>
          <w:i/>
          <w:color w:val="000000" w:themeColor="text1"/>
          <w:kern w:val="20"/>
          <w:lang w:val="es-ES"/>
        </w:rPr>
        <w:t>.</w:t>
      </w:r>
    </w:p>
    <w:p w:rsidR="00F6586C" w:rsidRPr="00DA3B98" w:rsidRDefault="00F6586C" w:rsidP="00F6586C">
      <w:pPr>
        <w:pStyle w:val="Para1"/>
        <w:numPr>
          <w:ilvl w:val="0"/>
          <w:numId w:val="0"/>
        </w:numPr>
        <w:rPr>
          <w:lang w:val="es-ES"/>
        </w:rPr>
      </w:pPr>
    </w:p>
    <w:p w:rsidR="00C9161D" w:rsidRPr="00DA3B98" w:rsidRDefault="00C9161D" w:rsidP="00E82A13">
      <w:pPr>
        <w:jc w:val="center"/>
        <w:rPr>
          <w:lang w:val="es-ES"/>
        </w:rPr>
      </w:pPr>
      <w:r w:rsidRPr="00DA3B98">
        <w:rPr>
          <w:lang w:val="es-ES"/>
        </w:rPr>
        <w:t>______</w:t>
      </w:r>
      <w:r w:rsidR="007A76EC" w:rsidRPr="00DA3B98">
        <w:rPr>
          <w:lang w:val="es-ES"/>
        </w:rPr>
        <w:t>____</w:t>
      </w:r>
    </w:p>
    <w:sectPr w:rsidR="00C9161D" w:rsidRPr="00DA3B98" w:rsidSect="00DA3B98">
      <w:headerReference w:type="even" r:id="rId15"/>
      <w:headerReference w:type="default" r:id="rId16"/>
      <w:pgSz w:w="12240" w:h="15840" w:code="1"/>
      <w:pgMar w:top="562" w:right="1440" w:bottom="113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84" w:rsidRDefault="003F1B84" w:rsidP="00CF1848">
      <w:r>
        <w:separator/>
      </w:r>
    </w:p>
  </w:endnote>
  <w:endnote w:type="continuationSeparator" w:id="1">
    <w:p w:rsidR="003F1B84" w:rsidRDefault="003F1B84" w:rsidP="00CF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84" w:rsidRDefault="003F1B84" w:rsidP="00CF1848">
      <w:r>
        <w:separator/>
      </w:r>
    </w:p>
  </w:footnote>
  <w:footnote w:type="continuationSeparator" w:id="1">
    <w:p w:rsidR="003F1B84" w:rsidRDefault="003F1B84" w:rsidP="00CF1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534681" w:rsidRPr="00134846" w:rsidRDefault="003059D1" w:rsidP="00534681">
        <w:pPr>
          <w:pStyle w:val="Header"/>
          <w:rPr>
            <w:lang w:val="fr-FR"/>
          </w:rPr>
        </w:pPr>
        <w:r>
          <w:rPr>
            <w:lang w:val="fr-FR"/>
          </w:rPr>
          <w:t>CBD/NP/MOP/DEC/4/5</w:t>
        </w:r>
      </w:p>
    </w:sdtContent>
  </w:sdt>
  <w:p w:rsidR="00534681" w:rsidRPr="00134846" w:rsidRDefault="00534681" w:rsidP="00534681">
    <w:pPr>
      <w:pStyle w:val="Header"/>
      <w:rPr>
        <w:lang w:val="fr-FR"/>
      </w:rPr>
    </w:pPr>
    <w:r w:rsidRPr="00134846">
      <w:rPr>
        <w:lang w:val="fr-FR"/>
      </w:rPr>
      <w:t xml:space="preserve">Page </w:t>
    </w:r>
    <w:r w:rsidR="002A3160">
      <w:fldChar w:fldCharType="begin"/>
    </w:r>
    <w:r w:rsidRPr="00134846">
      <w:rPr>
        <w:lang w:val="fr-FR"/>
      </w:rPr>
      <w:instrText xml:space="preserve"> PAGE   \* MERGEFORMAT </w:instrText>
    </w:r>
    <w:r w:rsidR="002A3160">
      <w:fldChar w:fldCharType="separate"/>
    </w:r>
    <w:r w:rsidR="00F6586C" w:rsidRPr="00134846">
      <w:rPr>
        <w:noProof/>
        <w:lang w:val="fr-FR"/>
      </w:rPr>
      <w:t>2</w:t>
    </w:r>
    <w:r w:rsidR="002A3160">
      <w:rPr>
        <w:noProof/>
      </w:rPr>
      <w:fldChar w:fldCharType="end"/>
    </w:r>
  </w:p>
  <w:p w:rsidR="00534681" w:rsidRPr="00134846" w:rsidRDefault="00534681">
    <w:pPr>
      <w:pStyle w:val="Header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134846" w:rsidRDefault="003059D1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CBD/NP/MOP/DEC/4/5</w:t>
        </w:r>
      </w:p>
    </w:sdtContent>
  </w:sdt>
  <w:p w:rsidR="009505C9" w:rsidRPr="00134846" w:rsidRDefault="009505C9" w:rsidP="009505C9">
    <w:pPr>
      <w:pStyle w:val="Header"/>
      <w:jc w:val="right"/>
      <w:rPr>
        <w:lang w:val="fr-FR"/>
      </w:rPr>
    </w:pPr>
    <w:r w:rsidRPr="00134846">
      <w:rPr>
        <w:lang w:val="fr-FR"/>
      </w:rPr>
      <w:t xml:space="preserve">Page </w:t>
    </w:r>
    <w:r w:rsidR="002A3160">
      <w:fldChar w:fldCharType="begin"/>
    </w:r>
    <w:r w:rsidRPr="00134846">
      <w:rPr>
        <w:lang w:val="fr-FR"/>
      </w:rPr>
      <w:instrText xml:space="preserve"> PAGE   \* MERGEFORMAT </w:instrText>
    </w:r>
    <w:r w:rsidR="002A3160">
      <w:fldChar w:fldCharType="separate"/>
    </w:r>
    <w:r w:rsidR="00F6586C" w:rsidRPr="00134846">
      <w:rPr>
        <w:noProof/>
        <w:lang w:val="fr-FR"/>
      </w:rPr>
      <w:t>3</w:t>
    </w:r>
    <w:r w:rsidR="002A3160">
      <w:rPr>
        <w:noProof/>
      </w:rPr>
      <w:fldChar w:fldCharType="end"/>
    </w:r>
  </w:p>
  <w:p w:rsidR="009505C9" w:rsidRPr="00134846" w:rsidRDefault="009505C9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26E74"/>
    <w:multiLevelType w:val="hybridMultilevel"/>
    <w:tmpl w:val="525849BE"/>
    <w:lvl w:ilvl="0" w:tplc="7DCC7ADA">
      <w:start w:val="1"/>
      <w:numFmt w:val="decimal"/>
      <w:lvlText w:val="%1."/>
      <w:lvlJc w:val="left"/>
      <w:pPr>
        <w:ind w:left="2084" w:hanging="360"/>
      </w:pPr>
      <w:rPr>
        <w:rFonts w:hint="default"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2804" w:hanging="360"/>
      </w:pPr>
    </w:lvl>
    <w:lvl w:ilvl="2" w:tplc="1009001B" w:tentative="1">
      <w:start w:val="1"/>
      <w:numFmt w:val="lowerRoman"/>
      <w:lvlText w:val="%3."/>
      <w:lvlJc w:val="right"/>
      <w:pPr>
        <w:ind w:left="3524" w:hanging="180"/>
      </w:pPr>
    </w:lvl>
    <w:lvl w:ilvl="3" w:tplc="1009000F" w:tentative="1">
      <w:start w:val="1"/>
      <w:numFmt w:val="decimal"/>
      <w:lvlText w:val="%4."/>
      <w:lvlJc w:val="left"/>
      <w:pPr>
        <w:ind w:left="4244" w:hanging="360"/>
      </w:pPr>
    </w:lvl>
    <w:lvl w:ilvl="4" w:tplc="10090019" w:tentative="1">
      <w:start w:val="1"/>
      <w:numFmt w:val="lowerLetter"/>
      <w:lvlText w:val="%5."/>
      <w:lvlJc w:val="left"/>
      <w:pPr>
        <w:ind w:left="4964" w:hanging="360"/>
      </w:pPr>
    </w:lvl>
    <w:lvl w:ilvl="5" w:tplc="1009001B" w:tentative="1">
      <w:start w:val="1"/>
      <w:numFmt w:val="lowerRoman"/>
      <w:lvlText w:val="%6."/>
      <w:lvlJc w:val="right"/>
      <w:pPr>
        <w:ind w:left="5684" w:hanging="180"/>
      </w:pPr>
    </w:lvl>
    <w:lvl w:ilvl="6" w:tplc="1009000F" w:tentative="1">
      <w:start w:val="1"/>
      <w:numFmt w:val="decimal"/>
      <w:lvlText w:val="%7."/>
      <w:lvlJc w:val="left"/>
      <w:pPr>
        <w:ind w:left="6404" w:hanging="360"/>
      </w:pPr>
    </w:lvl>
    <w:lvl w:ilvl="7" w:tplc="10090019" w:tentative="1">
      <w:start w:val="1"/>
      <w:numFmt w:val="lowerLetter"/>
      <w:lvlText w:val="%8."/>
      <w:lvlJc w:val="left"/>
      <w:pPr>
        <w:ind w:left="7124" w:hanging="360"/>
      </w:pPr>
    </w:lvl>
    <w:lvl w:ilvl="8" w:tplc="10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161D"/>
    <w:rsid w:val="00020A25"/>
    <w:rsid w:val="00037CF0"/>
    <w:rsid w:val="0007171B"/>
    <w:rsid w:val="00094573"/>
    <w:rsid w:val="000C519F"/>
    <w:rsid w:val="000C64C2"/>
    <w:rsid w:val="000E673A"/>
    <w:rsid w:val="000F74F5"/>
    <w:rsid w:val="00105372"/>
    <w:rsid w:val="001312AD"/>
    <w:rsid w:val="00131E7A"/>
    <w:rsid w:val="00134846"/>
    <w:rsid w:val="00172AF6"/>
    <w:rsid w:val="00176CEE"/>
    <w:rsid w:val="00186DD8"/>
    <w:rsid w:val="001B13FE"/>
    <w:rsid w:val="00265484"/>
    <w:rsid w:val="002A3160"/>
    <w:rsid w:val="0030169D"/>
    <w:rsid w:val="003059D1"/>
    <w:rsid w:val="003060EB"/>
    <w:rsid w:val="003153EB"/>
    <w:rsid w:val="00321985"/>
    <w:rsid w:val="0032200E"/>
    <w:rsid w:val="00322766"/>
    <w:rsid w:val="00351205"/>
    <w:rsid w:val="00371813"/>
    <w:rsid w:val="00372F74"/>
    <w:rsid w:val="00386DD9"/>
    <w:rsid w:val="003A0503"/>
    <w:rsid w:val="003B7BB2"/>
    <w:rsid w:val="003F1B84"/>
    <w:rsid w:val="003F7224"/>
    <w:rsid w:val="00424C55"/>
    <w:rsid w:val="00427921"/>
    <w:rsid w:val="00427D21"/>
    <w:rsid w:val="004644C2"/>
    <w:rsid w:val="00467F9C"/>
    <w:rsid w:val="004A3FBE"/>
    <w:rsid w:val="00534681"/>
    <w:rsid w:val="00535F59"/>
    <w:rsid w:val="00563442"/>
    <w:rsid w:val="00565B42"/>
    <w:rsid w:val="005714B4"/>
    <w:rsid w:val="005B4ADC"/>
    <w:rsid w:val="005C2581"/>
    <w:rsid w:val="005C4CE6"/>
    <w:rsid w:val="005E0C86"/>
    <w:rsid w:val="005E0ED3"/>
    <w:rsid w:val="006122BA"/>
    <w:rsid w:val="00690CD5"/>
    <w:rsid w:val="006B2290"/>
    <w:rsid w:val="007148BB"/>
    <w:rsid w:val="00717D88"/>
    <w:rsid w:val="0074467F"/>
    <w:rsid w:val="00761EAB"/>
    <w:rsid w:val="0076332C"/>
    <w:rsid w:val="00786056"/>
    <w:rsid w:val="007942D3"/>
    <w:rsid w:val="007A76EC"/>
    <w:rsid w:val="007B2099"/>
    <w:rsid w:val="007B6C09"/>
    <w:rsid w:val="007B7741"/>
    <w:rsid w:val="007C37CF"/>
    <w:rsid w:val="007E09DA"/>
    <w:rsid w:val="008178B6"/>
    <w:rsid w:val="0083009D"/>
    <w:rsid w:val="008616C5"/>
    <w:rsid w:val="00865B74"/>
    <w:rsid w:val="0088248B"/>
    <w:rsid w:val="008974F0"/>
    <w:rsid w:val="008B012A"/>
    <w:rsid w:val="008D1309"/>
    <w:rsid w:val="008F4016"/>
    <w:rsid w:val="00906E17"/>
    <w:rsid w:val="00930BA1"/>
    <w:rsid w:val="0093169E"/>
    <w:rsid w:val="00937130"/>
    <w:rsid w:val="009505C9"/>
    <w:rsid w:val="00950752"/>
    <w:rsid w:val="00966424"/>
    <w:rsid w:val="009850F2"/>
    <w:rsid w:val="009C2DE6"/>
    <w:rsid w:val="009E0601"/>
    <w:rsid w:val="009E2A39"/>
    <w:rsid w:val="00A04458"/>
    <w:rsid w:val="00A1252A"/>
    <w:rsid w:val="00A40DE5"/>
    <w:rsid w:val="00A760F7"/>
    <w:rsid w:val="00AA40ED"/>
    <w:rsid w:val="00AA6F92"/>
    <w:rsid w:val="00AA7009"/>
    <w:rsid w:val="00AB400F"/>
    <w:rsid w:val="00AB6934"/>
    <w:rsid w:val="00AD7FFC"/>
    <w:rsid w:val="00AE04F7"/>
    <w:rsid w:val="00AF42DE"/>
    <w:rsid w:val="00AF7A5A"/>
    <w:rsid w:val="00B26ACD"/>
    <w:rsid w:val="00B3369F"/>
    <w:rsid w:val="00B430F6"/>
    <w:rsid w:val="00B94E6C"/>
    <w:rsid w:val="00BA33A0"/>
    <w:rsid w:val="00BB4606"/>
    <w:rsid w:val="00BC7760"/>
    <w:rsid w:val="00BF11F9"/>
    <w:rsid w:val="00C23D2F"/>
    <w:rsid w:val="00C443BD"/>
    <w:rsid w:val="00C451C5"/>
    <w:rsid w:val="00C9161D"/>
    <w:rsid w:val="00CA0C1D"/>
    <w:rsid w:val="00CF1848"/>
    <w:rsid w:val="00D12044"/>
    <w:rsid w:val="00D30264"/>
    <w:rsid w:val="00D33EFC"/>
    <w:rsid w:val="00D40DBC"/>
    <w:rsid w:val="00D454F1"/>
    <w:rsid w:val="00D76A18"/>
    <w:rsid w:val="00D80849"/>
    <w:rsid w:val="00D82E8F"/>
    <w:rsid w:val="00D9755F"/>
    <w:rsid w:val="00DA3B98"/>
    <w:rsid w:val="00DD118C"/>
    <w:rsid w:val="00DE7C7C"/>
    <w:rsid w:val="00DF173A"/>
    <w:rsid w:val="00E058CC"/>
    <w:rsid w:val="00E64647"/>
    <w:rsid w:val="00E66235"/>
    <w:rsid w:val="00E82A13"/>
    <w:rsid w:val="00E83C24"/>
    <w:rsid w:val="00E9318D"/>
    <w:rsid w:val="00EC14E6"/>
    <w:rsid w:val="00EC1F46"/>
    <w:rsid w:val="00F44686"/>
    <w:rsid w:val="00F53193"/>
    <w:rsid w:val="00F5357E"/>
    <w:rsid w:val="00F6586C"/>
    <w:rsid w:val="00F94774"/>
    <w:rsid w:val="00FA0E9A"/>
    <w:rsid w:val="00FA663B"/>
    <w:rsid w:val="00FB6142"/>
    <w:rsid w:val="00FC25F8"/>
    <w:rsid w:val="00FC53DB"/>
    <w:rsid w:val="00FE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Revision">
    <w:name w:val="Revision"/>
    <w:hidden/>
    <w:uiPriority w:val="99"/>
    <w:semiHidden/>
    <w:rsid w:val="003059D1"/>
    <w:rPr>
      <w:rFonts w:ascii="Times New Roman" w:eastAsia="Times New Roman" w:hAnsi="Times New Roman" w:cs="Times New Roman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5714B4"/>
    <w:pPr>
      <w:spacing w:before="100" w:beforeAutospacing="1" w:after="100" w:afterAutospacing="1"/>
      <w:jc w:val="left"/>
    </w:pPr>
    <w:rPr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921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92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810A55"/>
    <w:rsid w:val="000E3D3C"/>
    <w:rsid w:val="00114A2C"/>
    <w:rsid w:val="00346CD3"/>
    <w:rsid w:val="0046422C"/>
    <w:rsid w:val="004760CF"/>
    <w:rsid w:val="004E092F"/>
    <w:rsid w:val="00500A2B"/>
    <w:rsid w:val="0058288D"/>
    <w:rsid w:val="00665C6B"/>
    <w:rsid w:val="006801B3"/>
    <w:rsid w:val="00810A55"/>
    <w:rsid w:val="008C6619"/>
    <w:rsid w:val="008D420E"/>
    <w:rsid w:val="0098642F"/>
    <w:rsid w:val="00A256FA"/>
    <w:rsid w:val="00B27D2C"/>
    <w:rsid w:val="00B6707D"/>
    <w:rsid w:val="00BE2168"/>
    <w:rsid w:val="00C80BB8"/>
    <w:rsid w:val="00C8104B"/>
    <w:rsid w:val="00D21EF4"/>
    <w:rsid w:val="00D31D12"/>
    <w:rsid w:val="00DF0A3D"/>
    <w:rsid w:val="00F8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6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F1B8B6-D150-44DF-B744-0740F98F8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1773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NP-4/5.	Enhancing the implementation of the Nagoya Protocol in the context of the post-2020 global biodiversity framework</vt:lpstr>
    </vt:vector>
  </TitlesOfParts>
  <Company>SCBD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NP-4/5.	Mejora de la aplicación del Protocolo de Nagoya en el contexto del Marco Mundial de Biodiversidad de Kunming-Montreal</dc:title>
  <dc:subject>CBD/NP/MOP/DEC/4/5</dc:subject>
  <dc:creator>SCBD</dc:creator>
  <cp:keywords>Decision adopted by the Parties to the Nagoya Protocol on Access and Benefit-sharing</cp:keywords>
  <cp:lastModifiedBy>Laura Perez</cp:lastModifiedBy>
  <cp:revision>3</cp:revision>
  <cp:lastPrinted>2023-02-22T19:54:00Z</cp:lastPrinted>
  <dcterms:created xsi:type="dcterms:W3CDTF">2023-02-23T22:02:00Z</dcterms:created>
  <dcterms:modified xsi:type="dcterms:W3CDTF">2023-02-23T22:13:00Z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