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44" w:type="pct"/>
        <w:tblLayout w:type="fixed"/>
        <w:tblLook w:val="00A0"/>
      </w:tblPr>
      <w:tblGrid>
        <w:gridCol w:w="989"/>
        <w:gridCol w:w="5260"/>
        <w:gridCol w:w="3794"/>
      </w:tblGrid>
      <w:tr w:rsidR="00EA6AB2" w:rsidRPr="001F2682">
        <w:trPr>
          <w:trHeight w:val="851"/>
        </w:trPr>
        <w:tc>
          <w:tcPr>
            <w:tcW w:w="989" w:type="dxa"/>
            <w:tcBorders>
              <w:bottom w:val="single" w:sz="12" w:space="0" w:color="auto"/>
            </w:tcBorders>
          </w:tcPr>
          <w:p w:rsidR="00EA6AB2" w:rsidRPr="001F2682" w:rsidRDefault="001312D6">
            <w:pPr>
              <w:rPr>
                <w:rFonts w:eastAsia="Times New Roman"/>
                <w:lang w:val="es-ES"/>
              </w:rPr>
            </w:pPr>
            <w:r w:rsidRPr="001F2682">
              <w:rPr>
                <w:rFonts w:eastAsia="Times New Roman"/>
                <w:snapToGrid/>
                <w:lang w:val="es-ES" w:eastAsia="en-US"/>
              </w:rPr>
              <w:drawing>
                <wp:inline distT="0" distB="0" distL="0" distR="0">
                  <wp:extent cx="426720" cy="360680"/>
                  <wp:effectExtent l="1905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a:srcRect/>
                          <a:stretch>
                            <a:fillRect/>
                          </a:stretch>
                        </pic:blipFill>
                        <pic:spPr bwMode="auto">
                          <a:xfrm>
                            <a:off x="0" y="0"/>
                            <a:ext cx="426720" cy="360680"/>
                          </a:xfrm>
                          <a:prstGeom prst="rect">
                            <a:avLst/>
                          </a:prstGeom>
                          <a:noFill/>
                          <a:ln w="9525">
                            <a:noFill/>
                            <a:miter lim="800000"/>
                            <a:headEnd/>
                            <a:tailEnd/>
                          </a:ln>
                        </pic:spPr>
                      </pic:pic>
                    </a:graphicData>
                  </a:graphic>
                </wp:inline>
              </w:drawing>
            </w:r>
          </w:p>
        </w:tc>
        <w:tc>
          <w:tcPr>
            <w:tcW w:w="5260" w:type="dxa"/>
            <w:tcBorders>
              <w:bottom w:val="single" w:sz="12" w:space="0" w:color="auto"/>
            </w:tcBorders>
            <w:tcFitText/>
          </w:tcPr>
          <w:p w:rsidR="00EA6AB2" w:rsidRPr="001F2682" w:rsidRDefault="001312D6">
            <w:pPr>
              <w:rPr>
                <w:rFonts w:eastAsia="Times New Roman"/>
                <w:lang w:val="es-ES"/>
              </w:rPr>
            </w:pPr>
            <w:r w:rsidRPr="001F2682">
              <w:rPr>
                <w:rFonts w:eastAsia="Times New Roman"/>
                <w:snapToGrid/>
                <w:lang w:val="es-ES" w:eastAsia="en-US"/>
              </w:rPr>
              <w:drawing>
                <wp:inline distT="0" distB="0" distL="0" distR="0">
                  <wp:extent cx="609600" cy="350520"/>
                  <wp:effectExtent l="1905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609600" cy="350520"/>
                          </a:xfrm>
                          <a:prstGeom prst="rect">
                            <a:avLst/>
                          </a:prstGeom>
                          <a:noFill/>
                          <a:ln w="9525">
                            <a:noFill/>
                            <a:miter lim="800000"/>
                            <a:headEnd/>
                            <a:tailEnd/>
                          </a:ln>
                        </pic:spPr>
                      </pic:pic>
                    </a:graphicData>
                  </a:graphic>
                </wp:inline>
              </w:drawing>
            </w:r>
          </w:p>
        </w:tc>
        <w:tc>
          <w:tcPr>
            <w:tcW w:w="3794" w:type="dxa"/>
            <w:tcBorders>
              <w:bottom w:val="single" w:sz="12" w:space="0" w:color="auto"/>
            </w:tcBorders>
          </w:tcPr>
          <w:p w:rsidR="00EA6AB2" w:rsidRPr="001F2682" w:rsidRDefault="00EA6AB2">
            <w:pPr>
              <w:jc w:val="right"/>
              <w:rPr>
                <w:rFonts w:ascii="Arial" w:eastAsia="Times New Roman" w:hAnsi="Arial" w:cs="Arial"/>
                <w:b/>
                <w:bCs/>
                <w:sz w:val="32"/>
                <w:szCs w:val="32"/>
                <w:lang w:val="es-ES"/>
              </w:rPr>
            </w:pPr>
            <w:r w:rsidRPr="001F2682">
              <w:rPr>
                <w:rFonts w:ascii="Arial" w:eastAsia="Times New Roman" w:hAnsi="Arial" w:cs="Arial"/>
                <w:b/>
                <w:bCs/>
                <w:sz w:val="32"/>
                <w:szCs w:val="32"/>
                <w:lang w:val="es-ES"/>
              </w:rPr>
              <w:t>CBD</w:t>
            </w:r>
          </w:p>
        </w:tc>
      </w:tr>
      <w:tr w:rsidR="00EA6AB2" w:rsidRPr="001F2682">
        <w:tc>
          <w:tcPr>
            <w:tcW w:w="6249" w:type="dxa"/>
            <w:gridSpan w:val="2"/>
            <w:tcBorders>
              <w:top w:val="single" w:sz="12" w:space="0" w:color="auto"/>
              <w:bottom w:val="single" w:sz="36" w:space="0" w:color="auto"/>
            </w:tcBorders>
            <w:vAlign w:val="center"/>
          </w:tcPr>
          <w:p w:rsidR="00EA6AB2" w:rsidRPr="001F2682" w:rsidRDefault="001312D6">
            <w:pPr>
              <w:rPr>
                <w:rFonts w:eastAsia="Times New Roman"/>
                <w:lang w:val="es-ES"/>
              </w:rPr>
            </w:pPr>
            <w:r w:rsidRPr="001F2682">
              <w:rPr>
                <w:rFonts w:eastAsia="Times New Roman"/>
                <w:snapToGrid/>
                <w:lang w:val="es-ES" w:eastAsia="en-US"/>
              </w:rPr>
              <w:drawing>
                <wp:inline distT="0" distB="0" distL="0" distR="0">
                  <wp:extent cx="2875280" cy="1056640"/>
                  <wp:effectExtent l="19050" t="0" r="127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srcRect/>
                          <a:stretch>
                            <a:fillRect/>
                          </a:stretch>
                        </pic:blipFill>
                        <pic:spPr bwMode="auto">
                          <a:xfrm>
                            <a:off x="0" y="0"/>
                            <a:ext cx="2875280" cy="1056640"/>
                          </a:xfrm>
                          <a:prstGeom prst="rect">
                            <a:avLst/>
                          </a:prstGeom>
                          <a:noFill/>
                          <a:ln w="9525">
                            <a:noFill/>
                            <a:miter lim="800000"/>
                            <a:headEnd/>
                            <a:tailEnd/>
                          </a:ln>
                        </pic:spPr>
                      </pic:pic>
                    </a:graphicData>
                  </a:graphic>
                </wp:inline>
              </w:drawing>
            </w:r>
          </w:p>
        </w:tc>
        <w:tc>
          <w:tcPr>
            <w:tcW w:w="3794" w:type="dxa"/>
            <w:tcBorders>
              <w:top w:val="single" w:sz="12" w:space="0" w:color="auto"/>
              <w:bottom w:val="single" w:sz="36" w:space="0" w:color="auto"/>
            </w:tcBorders>
          </w:tcPr>
          <w:p w:rsidR="00EA6AB2" w:rsidRPr="001F2682" w:rsidRDefault="00EA6AB2">
            <w:pPr>
              <w:ind w:left="1215"/>
              <w:rPr>
                <w:rFonts w:eastAsia="Times New Roman"/>
                <w:lang w:val="es-ES"/>
              </w:rPr>
            </w:pPr>
            <w:r w:rsidRPr="001F2682">
              <w:rPr>
                <w:rFonts w:eastAsia="Times New Roman"/>
                <w:lang w:val="es-ES"/>
              </w:rPr>
              <w:t>Distr.</w:t>
            </w:r>
          </w:p>
          <w:p w:rsidR="00EA6AB2" w:rsidRPr="001F2682" w:rsidRDefault="00EA6AB2">
            <w:pPr>
              <w:ind w:left="1215"/>
              <w:rPr>
                <w:rFonts w:eastAsia="Times New Roman"/>
                <w:lang w:val="es-ES"/>
              </w:rPr>
            </w:pPr>
            <w:r w:rsidRPr="001F2682">
              <w:rPr>
                <w:rFonts w:eastAsia="Times New Roman"/>
                <w:caps/>
                <w:lang w:val="es-ES"/>
              </w:rPr>
              <w:t>GENERAL</w:t>
            </w:r>
          </w:p>
          <w:p w:rsidR="00EA6AB2" w:rsidRPr="001F2682" w:rsidRDefault="00EA6AB2">
            <w:pPr>
              <w:ind w:left="1215"/>
              <w:rPr>
                <w:rFonts w:eastAsia="Times New Roman"/>
                <w:lang w:val="es-ES"/>
              </w:rPr>
            </w:pPr>
          </w:p>
          <w:p w:rsidR="00EA6AB2" w:rsidRPr="001F2682" w:rsidRDefault="00EA6AB2">
            <w:pPr>
              <w:ind w:left="1215"/>
              <w:rPr>
                <w:rFonts w:eastAsia="Times New Roman"/>
                <w:lang w:val="es-ES"/>
              </w:rPr>
            </w:pPr>
            <w:r w:rsidRPr="001F2682">
              <w:rPr>
                <w:rFonts w:eastAsia="Times New Roman"/>
                <w:lang w:val="es-ES"/>
              </w:rPr>
              <w:t>CBD/NP/MOP/DEC/4/8</w:t>
            </w:r>
          </w:p>
          <w:p w:rsidR="00EA6AB2" w:rsidRPr="001F2682" w:rsidRDefault="00EA6AB2">
            <w:pPr>
              <w:ind w:left="1215"/>
              <w:rPr>
                <w:rFonts w:eastAsia="Times New Roman"/>
                <w:lang w:val="es-ES"/>
              </w:rPr>
            </w:pPr>
            <w:r w:rsidRPr="001F2682">
              <w:rPr>
                <w:rFonts w:eastAsia="Times New Roman"/>
                <w:lang w:val="es-ES"/>
              </w:rPr>
              <w:t>19 de diciembre de 2022</w:t>
            </w:r>
          </w:p>
          <w:p w:rsidR="00EA6AB2" w:rsidRPr="001F2682" w:rsidRDefault="00EA6AB2">
            <w:pPr>
              <w:ind w:left="1215"/>
              <w:rPr>
                <w:rFonts w:eastAsia="Times New Roman"/>
                <w:lang w:val="es-ES"/>
              </w:rPr>
            </w:pPr>
          </w:p>
          <w:p w:rsidR="00EA6AB2" w:rsidRPr="001F2682" w:rsidRDefault="00EA6AB2">
            <w:pPr>
              <w:ind w:left="1215"/>
              <w:rPr>
                <w:rFonts w:eastAsia="Times New Roman"/>
                <w:lang w:val="es-ES"/>
              </w:rPr>
            </w:pPr>
            <w:r w:rsidRPr="001F2682">
              <w:rPr>
                <w:rFonts w:eastAsia="Times New Roman"/>
                <w:lang w:val="es-ES"/>
              </w:rPr>
              <w:t>ESPAÑOL</w:t>
            </w:r>
          </w:p>
          <w:p w:rsidR="00EA6AB2" w:rsidRPr="001F2682" w:rsidRDefault="00EA6AB2">
            <w:pPr>
              <w:ind w:left="1215"/>
              <w:rPr>
                <w:rFonts w:eastAsia="Times New Roman"/>
                <w:lang w:val="es-ES"/>
              </w:rPr>
            </w:pPr>
            <w:r w:rsidRPr="001F2682">
              <w:rPr>
                <w:rFonts w:eastAsia="Times New Roman"/>
                <w:lang w:val="es-ES"/>
              </w:rPr>
              <w:t>ORIGINAL: INGLÉS</w:t>
            </w:r>
          </w:p>
          <w:p w:rsidR="00EA6AB2" w:rsidRPr="001F2682" w:rsidRDefault="00EA6AB2">
            <w:pPr>
              <w:rPr>
                <w:rFonts w:eastAsia="Times New Roman"/>
                <w:lang w:val="es-ES"/>
              </w:rPr>
            </w:pPr>
          </w:p>
        </w:tc>
      </w:tr>
    </w:tbl>
    <w:p w:rsidR="00EA6AB2" w:rsidRPr="001F2682" w:rsidRDefault="00EA6AB2">
      <w:pPr>
        <w:pStyle w:val="Cornernotation"/>
        <w:kinsoku w:val="0"/>
        <w:overflowPunct w:val="0"/>
        <w:autoSpaceDE w:val="0"/>
        <w:autoSpaceDN w:val="0"/>
        <w:spacing w:before="60"/>
        <w:ind w:left="227" w:right="3792" w:hanging="227"/>
        <w:rPr>
          <w:rFonts w:eastAsia="Times New Roman"/>
          <w:kern w:val="22"/>
          <w:lang w:val="es-ES"/>
        </w:rPr>
      </w:pPr>
      <w:r w:rsidRPr="001F2682">
        <w:rPr>
          <w:rFonts w:eastAsia="Times New Roman"/>
          <w:kern w:val="22"/>
          <w:lang w:val="es-ES"/>
        </w:rPr>
        <w:t>CONFERENCIA DE LAS PARTES EN EL CONVENIO SOBRE LA DIVERSIDAD BIOLÓGICA QUE ACTÚA COMO REUNIÓN DE LAS PARTES EN EL PROTOCOLO DE NAGOYA SOBRE ACCESO A LOS RECURSOS GENÉTICOS Y PARTICIPACIÓN JUSTA Y EQUITATIVA EN LOS BENEFICIOS QUE SE DERIVEN DE SU UTILIZACIÓN</w:t>
      </w:r>
    </w:p>
    <w:p w:rsidR="00EA6AB2" w:rsidRPr="001F2682" w:rsidRDefault="00EA6AB2">
      <w:pPr>
        <w:pStyle w:val="Cornernotation"/>
        <w:kinsoku w:val="0"/>
        <w:overflowPunct w:val="0"/>
        <w:autoSpaceDE w:val="0"/>
        <w:autoSpaceDN w:val="0"/>
        <w:ind w:left="0" w:right="3792" w:firstLine="0"/>
        <w:rPr>
          <w:rFonts w:eastAsia="Times New Roman"/>
          <w:kern w:val="22"/>
          <w:lang w:val="es-ES"/>
        </w:rPr>
      </w:pPr>
      <w:r w:rsidRPr="001F2682">
        <w:rPr>
          <w:rFonts w:eastAsia="Times New Roman"/>
          <w:kern w:val="22"/>
          <w:lang w:val="es-ES"/>
        </w:rPr>
        <w:t>Cuarta reunión – Parte II</w:t>
      </w:r>
    </w:p>
    <w:p w:rsidR="00EA6AB2" w:rsidRPr="001F2682" w:rsidRDefault="00EA6AB2">
      <w:pPr>
        <w:pStyle w:val="Cornernotation"/>
        <w:kinsoku w:val="0"/>
        <w:overflowPunct w:val="0"/>
        <w:autoSpaceDE w:val="0"/>
        <w:autoSpaceDN w:val="0"/>
        <w:ind w:left="227" w:right="3792" w:hanging="227"/>
        <w:rPr>
          <w:rFonts w:eastAsia="Times New Roman"/>
          <w:kern w:val="22"/>
          <w:lang w:val="es-ES"/>
        </w:rPr>
      </w:pPr>
      <w:r w:rsidRPr="001F2682">
        <w:rPr>
          <w:rFonts w:eastAsia="Times New Roman"/>
          <w:kern w:val="22"/>
          <w:lang w:val="es-ES"/>
        </w:rPr>
        <w:t>Montreal (Canadá), 7 a 19 de diciembre de 2022</w:t>
      </w:r>
    </w:p>
    <w:p w:rsidR="00EA6AB2" w:rsidRPr="001F2682" w:rsidRDefault="00EA6AB2">
      <w:pPr>
        <w:ind w:right="3792"/>
        <w:rPr>
          <w:rFonts w:eastAsia="Times New Roman"/>
          <w:kern w:val="22"/>
          <w:lang w:val="es-ES"/>
        </w:rPr>
      </w:pPr>
      <w:r w:rsidRPr="001F2682">
        <w:rPr>
          <w:rFonts w:eastAsia="Times New Roman"/>
          <w:kern w:val="22"/>
          <w:lang w:val="es-ES"/>
        </w:rPr>
        <w:t>Tema 7 del programa</w:t>
      </w:r>
    </w:p>
    <w:p w:rsidR="00EA6AB2" w:rsidRPr="001F2682" w:rsidRDefault="00EA6AB2">
      <w:pPr>
        <w:spacing w:before="240" w:after="240"/>
        <w:jc w:val="center"/>
        <w:rPr>
          <w:rFonts w:eastAsia="Times New Roman"/>
          <w:caps/>
          <w:lang w:val="es-ES"/>
        </w:rPr>
      </w:pPr>
      <w:r w:rsidRPr="001F2682">
        <w:rPr>
          <w:rFonts w:eastAsia="Times New Roman"/>
          <w:b/>
          <w:bCs/>
          <w:caps/>
          <w:lang w:val="es-ES"/>
        </w:rPr>
        <w:t>DECISIÓN ADOPTADA POR LAS PARTES EN EL Protocolo de Nagoya sobre Acceso y Participación en los Beneficios</w:t>
      </w:r>
    </w:p>
    <w:p w:rsidR="00EA6AB2" w:rsidRPr="001F2682" w:rsidRDefault="00EA6AB2">
      <w:pPr>
        <w:spacing w:before="240" w:after="240"/>
        <w:ind w:left="1526" w:hanging="1094"/>
        <w:jc w:val="center"/>
        <w:outlineLvl w:val="1"/>
        <w:rPr>
          <w:rFonts w:eastAsia="Times New Roman"/>
          <w:b/>
          <w:bCs/>
          <w:caps/>
          <w:lang w:val="es-ES"/>
        </w:rPr>
      </w:pPr>
      <w:r w:rsidRPr="001F2682">
        <w:rPr>
          <w:rFonts w:eastAsia="Times New Roman"/>
          <w:b/>
          <w:bCs/>
          <w:kern w:val="22"/>
          <w:lang w:val="es-ES"/>
        </w:rPr>
        <w:t>NP-4/8.</w:t>
      </w:r>
      <w:r w:rsidRPr="001F2682">
        <w:rPr>
          <w:rFonts w:eastAsia="Times New Roman"/>
          <w:b/>
          <w:bCs/>
          <w:kern w:val="22"/>
          <w:lang w:val="es-ES"/>
        </w:rPr>
        <w:tab/>
        <w:t>Mecanismo financiero y recursos financieros (artículo 25)</w:t>
      </w:r>
    </w:p>
    <w:p w:rsidR="00EA6AB2" w:rsidRPr="001F2682" w:rsidRDefault="00EA6AB2">
      <w:pPr>
        <w:pStyle w:val="ListParagraph"/>
        <w:keepNext/>
        <w:suppressLineNumbers/>
        <w:suppressAutoHyphens/>
        <w:kinsoku w:val="0"/>
        <w:overflowPunct w:val="0"/>
        <w:autoSpaceDE w:val="0"/>
        <w:autoSpaceDN w:val="0"/>
        <w:snapToGrid w:val="0"/>
        <w:spacing w:before="240" w:after="120"/>
        <w:ind w:left="0"/>
        <w:jc w:val="center"/>
        <w:outlineLvl w:val="2"/>
        <w:rPr>
          <w:rFonts w:eastAsia="Times New Roman"/>
          <w:lang w:val="es-ES"/>
        </w:rPr>
      </w:pPr>
      <w:r w:rsidRPr="001F2682">
        <w:rPr>
          <w:rFonts w:eastAsia="Times New Roman"/>
          <w:b/>
          <w:bCs/>
          <w:lang w:val="es-ES"/>
        </w:rPr>
        <w:t>A.</w:t>
      </w:r>
      <w:r w:rsidRPr="001F2682">
        <w:rPr>
          <w:rFonts w:eastAsia="Times New Roman"/>
          <w:b/>
          <w:bCs/>
          <w:lang w:val="es-ES"/>
        </w:rPr>
        <w:tab/>
        <w:t>El mecanismo financiero</w:t>
      </w:r>
    </w:p>
    <w:p w:rsidR="00EA6AB2" w:rsidRPr="001F2682" w:rsidRDefault="00EA6AB2">
      <w:pPr>
        <w:pStyle w:val="ListParagraph"/>
        <w:suppressLineNumbers/>
        <w:suppressAutoHyphens/>
        <w:kinsoku w:val="0"/>
        <w:overflowPunct w:val="0"/>
        <w:autoSpaceDE w:val="0"/>
        <w:autoSpaceDN w:val="0"/>
        <w:snapToGrid w:val="0"/>
        <w:spacing w:before="120"/>
        <w:ind w:left="0" w:firstLine="720"/>
        <w:rPr>
          <w:rFonts w:eastAsia="Times New Roman"/>
          <w:i/>
          <w:iCs/>
          <w:lang w:val="es-ES"/>
        </w:rPr>
      </w:pPr>
      <w:r w:rsidRPr="001F2682">
        <w:rPr>
          <w:rFonts w:eastAsia="Times New Roman"/>
          <w:i/>
          <w:iCs/>
          <w:lang w:val="es-ES"/>
        </w:rPr>
        <w:t>La Conferencia de las Partes que actúa como reunión de las Partes en el Protocolo de Nagoya,</w:t>
      </w:r>
    </w:p>
    <w:p w:rsidR="00EA6AB2" w:rsidRPr="001F2682" w:rsidRDefault="00EA6AB2">
      <w:pPr>
        <w:suppressLineNumbers/>
        <w:suppressAutoHyphens/>
        <w:kinsoku w:val="0"/>
        <w:overflowPunct w:val="0"/>
        <w:autoSpaceDE w:val="0"/>
        <w:autoSpaceDN w:val="0"/>
        <w:snapToGrid w:val="0"/>
        <w:spacing w:before="120"/>
        <w:ind w:firstLine="709"/>
        <w:rPr>
          <w:rFonts w:eastAsia="Times New Roman"/>
          <w:i/>
          <w:iCs/>
          <w:kern w:val="22"/>
          <w:lang w:val="es-ES"/>
        </w:rPr>
      </w:pPr>
      <w:r w:rsidRPr="001F2682">
        <w:rPr>
          <w:rFonts w:eastAsia="Times New Roman"/>
          <w:i/>
          <w:iCs/>
          <w:lang w:val="es-ES"/>
        </w:rPr>
        <w:t>Habiendo considerado</w:t>
      </w:r>
      <w:r w:rsidRPr="001F2682">
        <w:rPr>
          <w:rFonts w:eastAsia="Times New Roman"/>
          <w:lang w:val="es-ES"/>
        </w:rPr>
        <w:t xml:space="preserve"> la información sobre la aplicación del Protocolo de Nagoya proporcionada en el informe del Consejo del Fondo para el Medio Ambiente Mundial y las orientaciones programáticas de la octava reposición</w:t>
      </w:r>
      <w:r w:rsidR="001F2682">
        <w:rPr>
          <w:rFonts w:eastAsia="Times New Roman"/>
          <w:lang w:val="es-ES"/>
        </w:rPr>
        <w:t xml:space="preserve"> del Fondo para el Medio Ambiente Mundial</w:t>
      </w:r>
      <w:r w:rsidRPr="001F2682">
        <w:rPr>
          <w:rStyle w:val="FootnoteReference"/>
          <w:rFonts w:eastAsia="Times New Roman"/>
          <w:lang w:val="es-ES"/>
        </w:rPr>
        <w:footnoteReference w:id="2"/>
      </w:r>
      <w:r w:rsidRPr="001F2682">
        <w:rPr>
          <w:rFonts w:eastAsia="Times New Roman"/>
          <w:lang w:val="es-ES"/>
        </w:rPr>
        <w:t>,</w:t>
      </w:r>
    </w:p>
    <w:p w:rsidR="00EA6AB2" w:rsidRPr="001F2682" w:rsidRDefault="00EA6AB2">
      <w:pPr>
        <w:pStyle w:val="Para1"/>
        <w:numPr>
          <w:ilvl w:val="0"/>
          <w:numId w:val="0"/>
        </w:numPr>
        <w:ind w:firstLine="709"/>
        <w:rPr>
          <w:rFonts w:eastAsia="Times New Roman"/>
          <w:kern w:val="22"/>
          <w:lang w:val="es-ES"/>
        </w:rPr>
      </w:pPr>
      <w:r w:rsidRPr="001F2682">
        <w:rPr>
          <w:rFonts w:eastAsia="Times New Roman"/>
          <w:kern w:val="22"/>
          <w:lang w:val="es-ES"/>
        </w:rPr>
        <w:t>1.</w:t>
      </w:r>
      <w:r w:rsidRPr="001F2682">
        <w:rPr>
          <w:rFonts w:eastAsia="Times New Roman"/>
          <w:i/>
          <w:iCs/>
          <w:kern w:val="22"/>
          <w:lang w:val="es-ES"/>
        </w:rPr>
        <w:tab/>
      </w:r>
      <w:r w:rsidRPr="001F2682">
        <w:rPr>
          <w:rFonts w:eastAsia="Times New Roman"/>
          <w:i/>
          <w:iCs/>
          <w:lang w:val="es-ES"/>
        </w:rPr>
        <w:t>Acoge con satisfacción</w:t>
      </w:r>
      <w:r w:rsidRPr="001F2682">
        <w:rPr>
          <w:rFonts w:eastAsia="Times New Roman"/>
          <w:lang w:val="es-ES"/>
        </w:rPr>
        <w:t xml:space="preserve"> la octava reposición del Fondo Fiduciario del Fondo para el Medio Ambiente Mundial y el apoyo que esta </w:t>
      </w:r>
      <w:r w:rsidR="001F2682">
        <w:rPr>
          <w:rFonts w:eastAsia="Times New Roman"/>
          <w:lang w:val="es-ES"/>
        </w:rPr>
        <w:t>pone a disposición</w:t>
      </w:r>
      <w:r w:rsidRPr="001F2682">
        <w:rPr>
          <w:rFonts w:eastAsia="Times New Roman"/>
          <w:lang w:val="es-ES"/>
        </w:rPr>
        <w:t xml:space="preserve"> </w:t>
      </w:r>
      <w:r w:rsidR="001F2682">
        <w:rPr>
          <w:rFonts w:eastAsia="Times New Roman"/>
          <w:lang w:val="es-ES"/>
        </w:rPr>
        <w:t>de</w:t>
      </w:r>
      <w:r w:rsidRPr="001F2682">
        <w:rPr>
          <w:rFonts w:eastAsia="Times New Roman"/>
          <w:lang w:val="es-ES"/>
        </w:rPr>
        <w:t xml:space="preserve"> las Partes para la aplicación del Protocolo de Nagoya, y expresa su agradecimiento a los países que aportaron a la séptima reposición;</w:t>
      </w:r>
    </w:p>
    <w:p w:rsidR="00EA6AB2" w:rsidRPr="001F2682" w:rsidRDefault="00EA6AB2">
      <w:pPr>
        <w:pStyle w:val="Para1"/>
        <w:numPr>
          <w:ilvl w:val="0"/>
          <w:numId w:val="0"/>
        </w:numPr>
        <w:ind w:firstLine="709"/>
        <w:rPr>
          <w:rFonts w:eastAsia="Times New Roman"/>
          <w:kern w:val="22"/>
          <w:lang w:val="es-ES"/>
        </w:rPr>
      </w:pPr>
      <w:r w:rsidRPr="001F2682">
        <w:rPr>
          <w:rFonts w:eastAsia="Times New Roman"/>
          <w:kern w:val="22"/>
          <w:lang w:val="es-ES"/>
        </w:rPr>
        <w:t>2.</w:t>
      </w:r>
      <w:r w:rsidRPr="001F2682">
        <w:rPr>
          <w:rFonts w:eastAsia="Times New Roman"/>
          <w:i/>
          <w:iCs/>
          <w:kern w:val="22"/>
          <w:lang w:val="es-ES"/>
        </w:rPr>
        <w:tab/>
        <w:t>Acoge con satisfacción</w:t>
      </w:r>
      <w:r w:rsidR="001F2682" w:rsidRPr="001F2682">
        <w:rPr>
          <w:rFonts w:eastAsia="Times New Roman"/>
          <w:i/>
          <w:iCs/>
          <w:kern w:val="22"/>
          <w:lang w:val="es-ES"/>
        </w:rPr>
        <w:t xml:space="preserve"> también</w:t>
      </w:r>
      <w:r w:rsidRPr="001F2682">
        <w:rPr>
          <w:rFonts w:eastAsia="Times New Roman"/>
          <w:kern w:val="22"/>
          <w:lang w:val="es-ES"/>
        </w:rPr>
        <w:t xml:space="preserve"> la Estrategia para el Área Focal de Biodiversidad contenida en las orientaciones programáticas para la octava reposición del Fondo Fiduciario del Fondo para el Medio Ambiente Mundial, que incluye un objetivo referido a la aplicación efectiva del Protocolo de Nagoya;</w:t>
      </w:r>
    </w:p>
    <w:p w:rsidR="00EA6AB2" w:rsidRPr="001F2682" w:rsidRDefault="00EA6AB2">
      <w:pPr>
        <w:pStyle w:val="Para1"/>
        <w:numPr>
          <w:ilvl w:val="0"/>
          <w:numId w:val="0"/>
        </w:numPr>
        <w:ind w:firstLine="709"/>
        <w:rPr>
          <w:rFonts w:eastAsia="Times New Roman"/>
          <w:kern w:val="22"/>
          <w:lang w:val="es-ES"/>
        </w:rPr>
      </w:pPr>
      <w:r w:rsidRPr="001F2682">
        <w:rPr>
          <w:rFonts w:eastAsia="Times New Roman"/>
          <w:kern w:val="22"/>
          <w:lang w:val="es-ES"/>
        </w:rPr>
        <w:t>3</w:t>
      </w:r>
      <w:r w:rsidRPr="001F2682">
        <w:rPr>
          <w:rFonts w:eastAsia="Times New Roman"/>
          <w:i/>
          <w:iCs/>
          <w:kern w:val="22"/>
          <w:lang w:val="es-ES"/>
        </w:rPr>
        <w:t>.</w:t>
      </w:r>
      <w:r w:rsidRPr="001F2682">
        <w:rPr>
          <w:rFonts w:eastAsia="Times New Roman"/>
          <w:i/>
          <w:iCs/>
          <w:kern w:val="22"/>
          <w:lang w:val="es-ES"/>
        </w:rPr>
        <w:tab/>
        <w:t>Insta</w:t>
      </w:r>
      <w:r w:rsidRPr="001F2682">
        <w:rPr>
          <w:rFonts w:eastAsia="Times New Roman"/>
          <w:kern w:val="22"/>
          <w:lang w:val="es-ES"/>
        </w:rPr>
        <w:t xml:space="preserve"> a las Partes que reúnan las condiciones a dar prioridad a proyectos de acceso y participación en los beneficios </w:t>
      </w:r>
      <w:r w:rsidR="001F2682">
        <w:rPr>
          <w:rFonts w:eastAsia="Times New Roman"/>
          <w:kern w:val="22"/>
          <w:lang w:val="es-ES"/>
        </w:rPr>
        <w:t>en</w:t>
      </w:r>
      <w:r w:rsidRPr="001F2682">
        <w:rPr>
          <w:rFonts w:eastAsia="Times New Roman"/>
          <w:kern w:val="22"/>
          <w:lang w:val="es-ES"/>
        </w:rPr>
        <w:t xml:space="preserve"> la programación de sus asignaciones nacionales para la octava reposición en el marco del Sistema para la Asignación Transparente de Recursos;</w:t>
      </w:r>
    </w:p>
    <w:p w:rsidR="00EA6AB2" w:rsidRPr="001F2682" w:rsidRDefault="00EA6AB2">
      <w:pPr>
        <w:pStyle w:val="Para1"/>
        <w:numPr>
          <w:ilvl w:val="0"/>
          <w:numId w:val="0"/>
        </w:numPr>
        <w:ind w:firstLine="709"/>
        <w:rPr>
          <w:rFonts w:eastAsia="Times New Roman"/>
          <w:kern w:val="22"/>
          <w:lang w:val="es-ES"/>
        </w:rPr>
      </w:pPr>
      <w:r w:rsidRPr="001F2682">
        <w:rPr>
          <w:rFonts w:eastAsia="Times New Roman"/>
          <w:kern w:val="22"/>
          <w:lang w:val="es-ES"/>
        </w:rPr>
        <w:t>4.</w:t>
      </w:r>
      <w:r w:rsidRPr="001F2682">
        <w:rPr>
          <w:rFonts w:eastAsia="Times New Roman"/>
          <w:i/>
          <w:iCs/>
          <w:kern w:val="22"/>
          <w:lang w:val="es-ES"/>
        </w:rPr>
        <w:tab/>
        <w:t>Alienta</w:t>
      </w:r>
      <w:r w:rsidRPr="001F2682">
        <w:rPr>
          <w:rFonts w:eastAsia="Times New Roman"/>
          <w:kern w:val="22"/>
          <w:lang w:val="es-ES"/>
        </w:rPr>
        <w:t xml:space="preserve"> a las Partes a incorporar actividades de acceso y participación en los beneficios en proyectos desarrollados bajo otros objetivos del área focal de biodiversidad, los programas integrados y programas mundiales pertinentes de las orientaciones programáticas para la octava reposición del Fondo Fiduciario para el Fondo para el Medio Ambiente Mundial;</w:t>
      </w:r>
    </w:p>
    <w:p w:rsidR="00EA6AB2" w:rsidRPr="001F2682" w:rsidRDefault="00EA6AB2">
      <w:pPr>
        <w:pStyle w:val="Para1"/>
        <w:numPr>
          <w:ilvl w:val="0"/>
          <w:numId w:val="0"/>
        </w:numPr>
        <w:ind w:firstLine="709"/>
        <w:rPr>
          <w:rFonts w:eastAsia="Times New Roman"/>
          <w:kern w:val="22"/>
          <w:lang w:val="es-ES"/>
        </w:rPr>
      </w:pPr>
      <w:r w:rsidRPr="001F2682">
        <w:rPr>
          <w:rFonts w:eastAsia="Times New Roman"/>
          <w:kern w:val="22"/>
          <w:lang w:val="es-ES"/>
        </w:rPr>
        <w:lastRenderedPageBreak/>
        <w:t>5.</w:t>
      </w:r>
      <w:r w:rsidRPr="001F2682">
        <w:rPr>
          <w:rFonts w:eastAsia="Times New Roman"/>
          <w:kern w:val="22"/>
          <w:lang w:val="es-ES"/>
        </w:rPr>
        <w:tab/>
      </w:r>
      <w:r w:rsidRPr="001F2682">
        <w:rPr>
          <w:rFonts w:eastAsia="Times New Roman"/>
          <w:i/>
          <w:iCs/>
          <w:kern w:val="22"/>
          <w:lang w:val="es-ES"/>
        </w:rPr>
        <w:t>Pide</w:t>
      </w:r>
      <w:r w:rsidRPr="001F2682">
        <w:rPr>
          <w:rFonts w:eastAsia="Times New Roman"/>
          <w:kern w:val="22"/>
          <w:lang w:val="es-ES"/>
        </w:rPr>
        <w:t xml:space="preserve"> a la Secretaria Ejecutiva que </w:t>
      </w:r>
      <w:r w:rsidR="00BD5033" w:rsidRPr="001F2682">
        <w:rPr>
          <w:rFonts w:eastAsia="Times New Roman"/>
          <w:lang w:val="es-ES"/>
        </w:rPr>
        <w:t>proporcione a las Partes que reúnan las condiciones</w:t>
      </w:r>
      <w:r w:rsidRPr="001F2682">
        <w:rPr>
          <w:rFonts w:eastAsia="Times New Roman"/>
          <w:lang w:val="es-ES"/>
        </w:rPr>
        <w:t xml:space="preserve"> información sobre oportunidades de financiación </w:t>
      </w:r>
      <w:r w:rsidR="00BD5033">
        <w:rPr>
          <w:rFonts w:eastAsia="Times New Roman"/>
          <w:lang w:val="es-ES"/>
        </w:rPr>
        <w:t>para</w:t>
      </w:r>
      <w:r w:rsidRPr="001F2682">
        <w:rPr>
          <w:rFonts w:eastAsia="Times New Roman"/>
          <w:lang w:val="es-ES"/>
        </w:rPr>
        <w:t xml:space="preserve"> apoy</w:t>
      </w:r>
      <w:r w:rsidR="00BD5033">
        <w:rPr>
          <w:rFonts w:eastAsia="Times New Roman"/>
          <w:lang w:val="es-ES"/>
        </w:rPr>
        <w:t>ar</w:t>
      </w:r>
      <w:r w:rsidRPr="001F2682">
        <w:rPr>
          <w:rFonts w:eastAsia="Times New Roman"/>
          <w:lang w:val="es-ES"/>
        </w:rPr>
        <w:t xml:space="preserve"> la ejecución de actividades</w:t>
      </w:r>
      <w:r w:rsidR="00BD5033">
        <w:rPr>
          <w:rFonts w:eastAsia="Times New Roman"/>
          <w:lang w:val="es-ES"/>
        </w:rPr>
        <w:t xml:space="preserve"> de</w:t>
      </w:r>
      <w:r w:rsidRPr="001F2682">
        <w:rPr>
          <w:rFonts w:eastAsia="Times New Roman"/>
          <w:lang w:val="es-ES"/>
        </w:rPr>
        <w:t xml:space="preserve"> acceso y participación en los beneficios en el marco de la octava reposición de recursos del Fondo Fiduciario del Fondo para el Medio Ambiente Mundial</w:t>
      </w:r>
      <w:r w:rsidRPr="001F2682">
        <w:rPr>
          <w:rFonts w:eastAsia="Times New Roman"/>
          <w:kern w:val="22"/>
          <w:lang w:val="es-ES"/>
        </w:rPr>
        <w:t>;</w:t>
      </w:r>
    </w:p>
    <w:p w:rsidR="00EA6AB2" w:rsidRPr="001F2682" w:rsidRDefault="00EA6AB2">
      <w:pPr>
        <w:pStyle w:val="Para1"/>
        <w:numPr>
          <w:ilvl w:val="0"/>
          <w:numId w:val="0"/>
        </w:numPr>
        <w:ind w:firstLine="709"/>
        <w:rPr>
          <w:rFonts w:eastAsia="Times New Roman"/>
          <w:kern w:val="22"/>
          <w:lang w:val="es-ES"/>
        </w:rPr>
      </w:pPr>
      <w:r w:rsidRPr="001F2682">
        <w:rPr>
          <w:rFonts w:eastAsia="Times New Roman"/>
          <w:kern w:val="22"/>
          <w:lang w:val="es-ES"/>
        </w:rPr>
        <w:t>6.</w:t>
      </w:r>
      <w:r w:rsidRPr="001F2682">
        <w:rPr>
          <w:rFonts w:eastAsia="Times New Roman"/>
          <w:kern w:val="22"/>
          <w:lang w:val="es-ES"/>
        </w:rPr>
        <w:tab/>
      </w:r>
      <w:r w:rsidRPr="001F2682">
        <w:rPr>
          <w:rFonts w:eastAsia="Times New Roman"/>
          <w:i/>
          <w:iCs/>
          <w:kern w:val="22"/>
          <w:lang w:val="es-ES"/>
        </w:rPr>
        <w:t xml:space="preserve">Recomienda </w:t>
      </w:r>
      <w:r w:rsidRPr="001F2682">
        <w:rPr>
          <w:rFonts w:eastAsia="Times New Roman"/>
          <w:kern w:val="22"/>
          <w:lang w:val="es-ES"/>
        </w:rPr>
        <w:t>a la Conferencia de las Partes que en su 15ª reunión incluya los siguientes elementos en el marco cuatrienal (2022</w:t>
      </w:r>
      <w:r w:rsidR="00BD5033">
        <w:rPr>
          <w:rFonts w:eastAsia="Times New Roman"/>
          <w:kern w:val="22"/>
          <w:lang w:val="es-ES"/>
        </w:rPr>
        <w:t>–</w:t>
      </w:r>
      <w:r w:rsidRPr="001F2682">
        <w:rPr>
          <w:rFonts w:eastAsia="Times New Roman"/>
          <w:kern w:val="22"/>
          <w:lang w:val="es-ES"/>
        </w:rPr>
        <w:t xml:space="preserve">2026) de prioridades programáticas orientado a la obtención de resultados para el octavo período de reposición del Fondo Fiduciario del Fondo para el Medio Ambiente Mundial: </w:t>
      </w:r>
    </w:p>
    <w:p w:rsidR="00EA6AB2" w:rsidRPr="001F2682" w:rsidRDefault="00EA6AB2">
      <w:pPr>
        <w:pStyle w:val="Para1"/>
        <w:numPr>
          <w:ilvl w:val="0"/>
          <w:numId w:val="0"/>
        </w:numPr>
        <w:ind w:firstLine="709"/>
        <w:rPr>
          <w:rFonts w:eastAsia="Times New Roman"/>
          <w:kern w:val="22"/>
          <w:lang w:val="es-ES"/>
        </w:rPr>
      </w:pPr>
      <w:r w:rsidRPr="001F2682">
        <w:rPr>
          <w:rFonts w:eastAsia="Times New Roman"/>
          <w:lang w:val="es-ES"/>
        </w:rPr>
        <w:t>a)</w:t>
      </w:r>
      <w:r w:rsidRPr="001F2682">
        <w:rPr>
          <w:rFonts w:eastAsia="Times New Roman"/>
          <w:lang w:val="es-ES"/>
        </w:rPr>
        <w:tab/>
        <w:t>Prioridades específicas para la creación sostenida de capacidad en apoyo a la aplicación del Protocolo de Nagoya</w:t>
      </w:r>
      <w:r w:rsidRPr="001F2682">
        <w:rPr>
          <w:rStyle w:val="FootnoteReference"/>
          <w:rFonts w:eastAsia="Times New Roman"/>
          <w:lang w:val="es-ES"/>
        </w:rPr>
        <w:footnoteReference w:id="3"/>
      </w:r>
      <w:r w:rsidRPr="001F2682">
        <w:rPr>
          <w:rFonts w:eastAsia="Times New Roman"/>
          <w:lang w:val="es-ES"/>
        </w:rPr>
        <w:t>;</w:t>
      </w:r>
    </w:p>
    <w:p w:rsidR="00EA6AB2" w:rsidRPr="001F2682" w:rsidRDefault="00EA6AB2">
      <w:pPr>
        <w:pStyle w:val="Para1"/>
        <w:numPr>
          <w:ilvl w:val="0"/>
          <w:numId w:val="0"/>
        </w:numPr>
        <w:ind w:firstLine="709"/>
        <w:rPr>
          <w:rFonts w:eastAsia="Times New Roman"/>
          <w:lang w:val="es-ES"/>
        </w:rPr>
      </w:pPr>
      <w:r w:rsidRPr="001F2682">
        <w:rPr>
          <w:rFonts w:eastAsia="Times New Roman"/>
          <w:kern w:val="22"/>
          <w:lang w:val="es-ES"/>
        </w:rPr>
        <w:t>b)</w:t>
      </w:r>
      <w:r w:rsidRPr="001F2682">
        <w:rPr>
          <w:rFonts w:eastAsia="Times New Roman"/>
          <w:kern w:val="22"/>
          <w:lang w:val="es-ES"/>
        </w:rPr>
        <w:tab/>
        <w:t xml:space="preserve">Apoyo </w:t>
      </w:r>
      <w:r w:rsidRPr="001F2682">
        <w:rPr>
          <w:rFonts w:eastAsia="Times New Roman"/>
          <w:lang w:val="es-ES"/>
        </w:rPr>
        <w:t>para la</w:t>
      </w:r>
      <w:r w:rsidR="00BD5033" w:rsidRPr="00BD5033">
        <w:rPr>
          <w:rFonts w:eastAsia="Times New Roman"/>
          <w:lang w:val="es-ES"/>
        </w:rPr>
        <w:t xml:space="preserve"> </w:t>
      </w:r>
      <w:r w:rsidR="00BD5033" w:rsidRPr="001F2682">
        <w:rPr>
          <w:rFonts w:eastAsia="Times New Roman"/>
          <w:lang w:val="es-ES"/>
        </w:rPr>
        <w:t>incorporación</w:t>
      </w:r>
      <w:r w:rsidRPr="001F2682">
        <w:rPr>
          <w:rFonts w:eastAsia="Times New Roman"/>
          <w:lang w:val="es-ES"/>
        </w:rPr>
        <w:t xml:space="preserve"> y la</w:t>
      </w:r>
      <w:r w:rsidR="00BD5033" w:rsidRPr="001F2682">
        <w:rPr>
          <w:rFonts w:eastAsia="Times New Roman"/>
          <w:lang w:val="es-ES"/>
        </w:rPr>
        <w:t xml:space="preserve"> integración</w:t>
      </w:r>
      <w:r w:rsidRPr="001F2682">
        <w:rPr>
          <w:rFonts w:eastAsia="Times New Roman"/>
          <w:lang w:val="es-ES"/>
        </w:rPr>
        <w:t xml:space="preserve"> del acceso y la participación en los beneficios que se deriven de los recursos genéticos y </w:t>
      </w:r>
      <w:r w:rsidR="00E24908">
        <w:rPr>
          <w:rFonts w:eastAsia="Times New Roman"/>
          <w:lang w:val="es-ES"/>
        </w:rPr>
        <w:t xml:space="preserve">de </w:t>
      </w:r>
      <w:r w:rsidRPr="001F2682">
        <w:rPr>
          <w:rFonts w:eastAsia="Times New Roman"/>
          <w:lang w:val="es-ES"/>
        </w:rPr>
        <w:t xml:space="preserve">los conocimientos tradicionales asociados a </w:t>
      </w:r>
      <w:r w:rsidR="00BD5033">
        <w:rPr>
          <w:rFonts w:eastAsia="Times New Roman"/>
          <w:lang w:val="es-ES"/>
        </w:rPr>
        <w:t>l</w:t>
      </w:r>
      <w:r w:rsidRPr="001F2682">
        <w:rPr>
          <w:rFonts w:eastAsia="Times New Roman"/>
          <w:lang w:val="es-ES"/>
        </w:rPr>
        <w:t xml:space="preserve">os recursos </w:t>
      </w:r>
      <w:r w:rsidR="00BD5033">
        <w:rPr>
          <w:rFonts w:eastAsia="Times New Roman"/>
          <w:lang w:val="es-ES"/>
        </w:rPr>
        <w:t xml:space="preserve">genéticos </w:t>
      </w:r>
      <w:r w:rsidRPr="001F2682">
        <w:rPr>
          <w:rFonts w:eastAsia="Times New Roman"/>
          <w:lang w:val="es-ES"/>
        </w:rPr>
        <w:t>en políticas y actividades relacionadas con la diversidad biológica y el desarrollo sostenible</w:t>
      </w:r>
      <w:r w:rsidRPr="001F2682">
        <w:rPr>
          <w:rFonts w:eastAsia="Times New Roman"/>
          <w:kern w:val="22"/>
          <w:lang w:val="es-ES"/>
        </w:rPr>
        <w:t>;</w:t>
      </w:r>
    </w:p>
    <w:p w:rsidR="00EA6AB2" w:rsidRPr="001F2682" w:rsidRDefault="00EA6AB2">
      <w:pPr>
        <w:pStyle w:val="Para1"/>
        <w:numPr>
          <w:ilvl w:val="0"/>
          <w:numId w:val="0"/>
        </w:numPr>
        <w:ind w:firstLine="709"/>
        <w:rPr>
          <w:rFonts w:eastAsia="Times New Roman"/>
          <w:lang w:val="es-ES"/>
        </w:rPr>
      </w:pPr>
      <w:r w:rsidRPr="001F2682">
        <w:rPr>
          <w:rFonts w:eastAsia="Times New Roman"/>
          <w:kern w:val="22"/>
          <w:lang w:val="es-ES"/>
        </w:rPr>
        <w:t xml:space="preserve">c) </w:t>
      </w:r>
      <w:r w:rsidRPr="001F2682">
        <w:rPr>
          <w:rFonts w:eastAsia="Times New Roman"/>
          <w:kern w:val="22"/>
          <w:lang w:val="es-ES"/>
        </w:rPr>
        <w:tab/>
      </w:r>
      <w:r w:rsidRPr="001F2682">
        <w:rPr>
          <w:rFonts w:eastAsia="Times New Roman"/>
          <w:lang w:val="es-ES"/>
        </w:rPr>
        <w:t>Apoyo para el desarrollo y el mantenimiento de capacidades institucionales duraderas para la gestión, el seguimiento y la evaluación de marcos nacionales de acceso y participación en los beneficios</w:t>
      </w:r>
      <w:r w:rsidRPr="001F2682">
        <w:rPr>
          <w:rFonts w:eastAsia="Times New Roman"/>
          <w:kern w:val="22"/>
          <w:lang w:val="es-ES"/>
        </w:rPr>
        <w:t>;</w:t>
      </w:r>
    </w:p>
    <w:p w:rsidR="00EA6AB2" w:rsidRPr="001F2682" w:rsidRDefault="00EA6AB2">
      <w:pPr>
        <w:pStyle w:val="Para1"/>
        <w:numPr>
          <w:ilvl w:val="0"/>
          <w:numId w:val="0"/>
        </w:numPr>
        <w:ind w:firstLine="709"/>
        <w:rPr>
          <w:rFonts w:eastAsia="Times New Roman"/>
          <w:kern w:val="22"/>
          <w:lang w:val="es-ES"/>
        </w:rPr>
      </w:pPr>
      <w:r w:rsidRPr="001F2682">
        <w:rPr>
          <w:rFonts w:eastAsia="Times New Roman"/>
          <w:kern w:val="22"/>
          <w:lang w:val="es-ES"/>
        </w:rPr>
        <w:t>7.</w:t>
      </w:r>
      <w:r w:rsidRPr="001F2682">
        <w:rPr>
          <w:rFonts w:eastAsia="Times New Roman"/>
          <w:kern w:val="22"/>
          <w:lang w:val="es-ES"/>
        </w:rPr>
        <w:tab/>
      </w:r>
      <w:r w:rsidRPr="001F2682">
        <w:rPr>
          <w:rFonts w:eastAsia="Times New Roman"/>
          <w:i/>
          <w:iCs/>
          <w:kern w:val="22"/>
          <w:lang w:val="es-ES"/>
        </w:rPr>
        <w:t>Alienta</w:t>
      </w:r>
      <w:r w:rsidRPr="001F2682">
        <w:rPr>
          <w:rFonts w:eastAsia="Times New Roman"/>
          <w:kern w:val="22"/>
          <w:lang w:val="es-ES"/>
        </w:rPr>
        <w:t xml:space="preserve"> a las Partes a cooperar a nivel mundial, regional y subregional y recomienda a la Conferencia de las Partes que solicite al Fondo para el Medio Ambiente Mundial que continúe prestando e incrementando apoyo para proyectos conjuntos, a nivel mundial, regional o nacional, a fin de maximizar sinergias y oportunidades para compartir recursos, información, experiencias y conocimientos especializados de manera eficaz en función de los costos;</w:t>
      </w:r>
    </w:p>
    <w:p w:rsidR="00EA6AB2" w:rsidRPr="001F2682" w:rsidRDefault="00EA6AB2">
      <w:pPr>
        <w:pStyle w:val="Para1"/>
        <w:numPr>
          <w:ilvl w:val="0"/>
          <w:numId w:val="0"/>
        </w:numPr>
        <w:ind w:firstLine="709"/>
        <w:rPr>
          <w:rFonts w:eastAsia="Times New Roman"/>
          <w:lang w:val="es-ES"/>
        </w:rPr>
      </w:pPr>
      <w:r w:rsidRPr="001F2682">
        <w:rPr>
          <w:rFonts w:eastAsia="Times New Roman"/>
          <w:kern w:val="22"/>
          <w:lang w:val="es-ES"/>
        </w:rPr>
        <w:t>8.</w:t>
      </w:r>
      <w:r w:rsidRPr="001F2682">
        <w:rPr>
          <w:rFonts w:eastAsia="Times New Roman"/>
          <w:kern w:val="22"/>
          <w:lang w:val="es-ES"/>
        </w:rPr>
        <w:tab/>
      </w:r>
      <w:r w:rsidRPr="001F2682">
        <w:rPr>
          <w:rFonts w:eastAsia="Times New Roman"/>
          <w:i/>
          <w:iCs/>
          <w:kern w:val="22"/>
          <w:lang w:val="es-ES"/>
        </w:rPr>
        <w:t>Recomienda</w:t>
      </w:r>
      <w:r w:rsidRPr="001F2682">
        <w:rPr>
          <w:rFonts w:eastAsia="Times New Roman"/>
          <w:kern w:val="22"/>
          <w:lang w:val="es-ES"/>
        </w:rPr>
        <w:t xml:space="preserve"> a la Conferencia de las Partes que, </w:t>
      </w:r>
      <w:r w:rsidRPr="001F2682">
        <w:rPr>
          <w:rFonts w:eastAsia="Times New Roman"/>
          <w:lang w:val="es-ES"/>
        </w:rPr>
        <w:t>al adoptar orientaci</w:t>
      </w:r>
      <w:r w:rsidR="00E24908">
        <w:rPr>
          <w:rFonts w:eastAsia="Times New Roman"/>
          <w:lang w:val="es-ES"/>
        </w:rPr>
        <w:t>ó</w:t>
      </w:r>
      <w:r w:rsidRPr="001F2682">
        <w:rPr>
          <w:rFonts w:eastAsia="Times New Roman"/>
          <w:lang w:val="es-ES"/>
        </w:rPr>
        <w:t xml:space="preserve">n para el mecanismo financiero, invite al Fondo para el Medio Ambiente Mundial a poner </w:t>
      </w:r>
      <w:r w:rsidR="00E24908" w:rsidRPr="001F2682">
        <w:rPr>
          <w:rFonts w:eastAsia="Times New Roman"/>
          <w:lang w:val="es-ES"/>
        </w:rPr>
        <w:t xml:space="preserve">oportunamente </w:t>
      </w:r>
      <w:r w:rsidRPr="001F2682">
        <w:rPr>
          <w:rFonts w:eastAsia="Times New Roman"/>
          <w:lang w:val="es-ES"/>
        </w:rPr>
        <w:t>recursos financieros a disposición de las Partes que reúnan las condiciones</w:t>
      </w:r>
      <w:r w:rsidR="00E24908">
        <w:rPr>
          <w:rFonts w:eastAsia="Times New Roman"/>
          <w:lang w:val="es-ES"/>
        </w:rPr>
        <w:t>,</w:t>
      </w:r>
      <w:r w:rsidRPr="001F2682">
        <w:rPr>
          <w:rFonts w:eastAsia="Times New Roman"/>
          <w:lang w:val="es-ES"/>
        </w:rPr>
        <w:t xml:space="preserve"> para a</w:t>
      </w:r>
      <w:r w:rsidR="00E24908">
        <w:rPr>
          <w:rFonts w:eastAsia="Times New Roman"/>
          <w:lang w:val="es-ES"/>
        </w:rPr>
        <w:t>sisti</w:t>
      </w:r>
      <w:r w:rsidRPr="001F2682">
        <w:rPr>
          <w:rFonts w:eastAsia="Times New Roman"/>
          <w:lang w:val="es-ES"/>
        </w:rPr>
        <w:t xml:space="preserve">rlas en el cumplimiento de </w:t>
      </w:r>
      <w:r w:rsidR="00E24908">
        <w:rPr>
          <w:rFonts w:eastAsia="Times New Roman"/>
          <w:lang w:val="es-ES"/>
        </w:rPr>
        <w:t>su</w:t>
      </w:r>
      <w:r w:rsidRPr="001F2682">
        <w:rPr>
          <w:rFonts w:eastAsia="Times New Roman"/>
          <w:lang w:val="es-ES"/>
        </w:rPr>
        <w:t xml:space="preserve"> obligación de presentación de informes asumida en virtud del Protocolo;</w:t>
      </w:r>
    </w:p>
    <w:p w:rsidR="00EA6AB2" w:rsidRPr="001F2682" w:rsidRDefault="00EA6AB2">
      <w:pPr>
        <w:pStyle w:val="Para1"/>
        <w:numPr>
          <w:ilvl w:val="0"/>
          <w:numId w:val="0"/>
        </w:numPr>
        <w:ind w:firstLine="709"/>
        <w:rPr>
          <w:rFonts w:eastAsia="Times New Roman"/>
          <w:lang w:val="es-ES"/>
        </w:rPr>
      </w:pPr>
      <w:r w:rsidRPr="001F2682">
        <w:rPr>
          <w:rFonts w:eastAsia="Times New Roman"/>
          <w:lang w:val="es-ES"/>
        </w:rPr>
        <w:t xml:space="preserve">9. </w:t>
      </w:r>
      <w:r w:rsidRPr="001F2682">
        <w:rPr>
          <w:rFonts w:eastAsia="Times New Roman"/>
          <w:lang w:val="es-ES"/>
        </w:rPr>
        <w:tab/>
      </w:r>
      <w:r w:rsidRPr="001F2682">
        <w:rPr>
          <w:rFonts w:eastAsia="Times New Roman"/>
          <w:i/>
          <w:iCs/>
          <w:lang w:val="es-ES"/>
        </w:rPr>
        <w:t>Invita</w:t>
      </w:r>
      <w:r w:rsidRPr="001F2682">
        <w:rPr>
          <w:rFonts w:eastAsia="Times New Roman"/>
          <w:lang w:val="es-ES"/>
        </w:rPr>
        <w:t xml:space="preserve"> a las Partes en el Protocolo de Nagoya a participar activamente en el sexto examen de la eficacia del mecanismo financiero establecido con arreglo al Convenio;</w:t>
      </w:r>
    </w:p>
    <w:p w:rsidR="00EA6AB2" w:rsidRPr="001F2682" w:rsidRDefault="00EA6AB2">
      <w:pPr>
        <w:pStyle w:val="Para1"/>
        <w:numPr>
          <w:ilvl w:val="0"/>
          <w:numId w:val="0"/>
        </w:numPr>
        <w:ind w:firstLine="709"/>
        <w:rPr>
          <w:rFonts w:eastAsia="Times New Roman"/>
          <w:lang w:val="es-ES"/>
        </w:rPr>
      </w:pPr>
      <w:r w:rsidRPr="001F2682">
        <w:rPr>
          <w:rFonts w:eastAsia="Times New Roman"/>
          <w:lang w:val="es-ES"/>
        </w:rPr>
        <w:t>10.</w:t>
      </w:r>
      <w:r w:rsidRPr="001F2682">
        <w:rPr>
          <w:rFonts w:eastAsia="Times New Roman"/>
          <w:lang w:val="es-ES"/>
        </w:rPr>
        <w:tab/>
      </w:r>
      <w:r w:rsidRPr="001F2682">
        <w:rPr>
          <w:rFonts w:eastAsia="Times New Roman"/>
          <w:i/>
          <w:iCs/>
          <w:lang w:val="es-ES"/>
        </w:rPr>
        <w:t>Pide</w:t>
      </w:r>
      <w:r w:rsidRPr="001F2682">
        <w:rPr>
          <w:rFonts w:eastAsia="Times New Roman"/>
          <w:lang w:val="es-ES"/>
        </w:rPr>
        <w:t xml:space="preserve"> a la Secretaria Ejecutiva, con sujeción a la disponibilidad de recursos, en el contexto del sexto examen de la eficacia del mecanismo financiero, que recopile opiniones e información de las Partes que reúnan las condiciones sobre sus experiencias y las lecciones aprendidas en el acceso y la utilización de fondos del mecanismo financiero para la aplicación del Protocolo de Nagoya, incluida información sobre desafíos en el acceso y la utilización de financiación del Fondo para el Medio Ambiente Mundial, y las razones subyacentes, así como sobre posibles obstáculos a la colaboración regional.</w:t>
      </w:r>
    </w:p>
    <w:p w:rsidR="00EA6AB2" w:rsidRPr="001F2682" w:rsidRDefault="00EA6AB2">
      <w:pPr>
        <w:pStyle w:val="ListParagraph"/>
        <w:keepNext/>
        <w:suppressLineNumbers/>
        <w:suppressAutoHyphens/>
        <w:kinsoku w:val="0"/>
        <w:overflowPunct w:val="0"/>
        <w:autoSpaceDE w:val="0"/>
        <w:autoSpaceDN w:val="0"/>
        <w:snapToGrid w:val="0"/>
        <w:spacing w:before="240" w:after="120"/>
        <w:ind w:left="0"/>
        <w:jc w:val="center"/>
        <w:outlineLvl w:val="2"/>
        <w:rPr>
          <w:rFonts w:eastAsia="Times New Roman"/>
          <w:b/>
          <w:bCs/>
          <w:lang w:val="es-ES"/>
        </w:rPr>
      </w:pPr>
      <w:r w:rsidRPr="001F2682">
        <w:rPr>
          <w:rFonts w:eastAsia="Times New Roman"/>
          <w:b/>
          <w:bCs/>
          <w:lang w:val="es-ES"/>
        </w:rPr>
        <w:t xml:space="preserve">B. </w:t>
      </w:r>
      <w:r w:rsidRPr="001F2682">
        <w:rPr>
          <w:rFonts w:eastAsia="Times New Roman"/>
          <w:b/>
          <w:bCs/>
          <w:lang w:val="es-ES"/>
        </w:rPr>
        <w:tab/>
        <w:t>Movilización de recursos</w:t>
      </w:r>
    </w:p>
    <w:p w:rsidR="00EA6AB2" w:rsidRPr="001F2682" w:rsidRDefault="00EA6AB2">
      <w:pPr>
        <w:pStyle w:val="Para1"/>
        <w:numPr>
          <w:ilvl w:val="0"/>
          <w:numId w:val="0"/>
        </w:numPr>
        <w:suppressLineNumbers/>
        <w:suppressAutoHyphens/>
        <w:kinsoku w:val="0"/>
        <w:overflowPunct w:val="0"/>
        <w:autoSpaceDE w:val="0"/>
        <w:autoSpaceDN w:val="0"/>
        <w:ind w:firstLine="567"/>
        <w:rPr>
          <w:rFonts w:eastAsia="Times New Roman"/>
          <w:lang w:val="es-ES"/>
        </w:rPr>
      </w:pPr>
      <w:r w:rsidRPr="001F2682">
        <w:rPr>
          <w:rFonts w:eastAsia="Times New Roman"/>
          <w:i/>
          <w:iCs/>
          <w:lang w:val="es-ES"/>
        </w:rPr>
        <w:t>La Conferencia de las Partes que actúa como reunión de las Partes en el Protocolo de Nagoya,</w:t>
      </w:r>
    </w:p>
    <w:p w:rsidR="00EA6AB2" w:rsidRPr="001F2682" w:rsidRDefault="00EA6AB2">
      <w:pPr>
        <w:pStyle w:val="Para1"/>
        <w:numPr>
          <w:ilvl w:val="0"/>
          <w:numId w:val="0"/>
        </w:numPr>
        <w:suppressLineNumbers/>
        <w:suppressAutoHyphens/>
        <w:kinsoku w:val="0"/>
        <w:overflowPunct w:val="0"/>
        <w:autoSpaceDE w:val="0"/>
        <w:autoSpaceDN w:val="0"/>
        <w:ind w:firstLine="567"/>
        <w:rPr>
          <w:rFonts w:eastAsia="Times New Roman"/>
          <w:lang w:val="es-ES"/>
        </w:rPr>
      </w:pPr>
      <w:r w:rsidRPr="001F2682">
        <w:rPr>
          <w:rFonts w:eastAsia="Times New Roman"/>
          <w:i/>
          <w:iCs/>
          <w:lang w:val="es-ES"/>
        </w:rPr>
        <w:t>Recordando</w:t>
      </w:r>
      <w:r w:rsidRPr="001F2682">
        <w:rPr>
          <w:rFonts w:eastAsia="Times New Roman"/>
          <w:lang w:val="es-ES"/>
        </w:rPr>
        <w:t xml:space="preserve"> la decisión NP-1/7, y la </w:t>
      </w:r>
      <w:r w:rsidRPr="001F2682">
        <w:rPr>
          <w:rFonts w:eastAsia="Times New Roman"/>
          <w:kern w:val="22"/>
          <w:lang w:val="es-ES"/>
        </w:rPr>
        <w:t>decisión XI/4, párrafo 12, por la que la Conferencia de las Partes decidió incluir la consideración de la movilización de recursos para el Protocolo de Nagoya en la implementación de la estrategia para la movi</w:t>
      </w:r>
      <w:r w:rsidR="00E24908">
        <w:rPr>
          <w:rFonts w:eastAsia="Times New Roman"/>
          <w:kern w:val="22"/>
          <w:lang w:val="es-ES"/>
        </w:rPr>
        <w:t>lización de recursos en apoyo a</w:t>
      </w:r>
      <w:r w:rsidRPr="001F2682">
        <w:rPr>
          <w:rFonts w:eastAsia="Times New Roman"/>
          <w:kern w:val="22"/>
          <w:lang w:val="es-ES"/>
        </w:rPr>
        <w:t>l</w:t>
      </w:r>
      <w:r w:rsidR="00E24908">
        <w:rPr>
          <w:rFonts w:eastAsia="Times New Roman"/>
          <w:kern w:val="22"/>
          <w:lang w:val="es-ES"/>
        </w:rPr>
        <w:t xml:space="preserve"> l</w:t>
      </w:r>
      <w:r w:rsidRPr="001F2682">
        <w:rPr>
          <w:rFonts w:eastAsia="Times New Roman"/>
          <w:kern w:val="22"/>
          <w:lang w:val="es-ES"/>
        </w:rPr>
        <w:t>o</w:t>
      </w:r>
      <w:r w:rsidR="00E24908">
        <w:rPr>
          <w:rFonts w:eastAsia="Times New Roman"/>
          <w:kern w:val="22"/>
          <w:lang w:val="es-ES"/>
        </w:rPr>
        <w:t>gro</w:t>
      </w:r>
      <w:r w:rsidRPr="001F2682">
        <w:rPr>
          <w:rFonts w:eastAsia="Times New Roman"/>
          <w:kern w:val="22"/>
          <w:lang w:val="es-ES"/>
        </w:rPr>
        <w:t xml:space="preserve"> de los tres objetivos del Convenio para el período 2008</w:t>
      </w:r>
      <w:r w:rsidR="00E24908">
        <w:rPr>
          <w:rFonts w:eastAsia="Times New Roman"/>
          <w:kern w:val="22"/>
          <w:lang w:val="es-ES"/>
        </w:rPr>
        <w:t>–</w:t>
      </w:r>
      <w:r w:rsidRPr="001F2682">
        <w:rPr>
          <w:rFonts w:eastAsia="Times New Roman"/>
          <w:kern w:val="22"/>
          <w:lang w:val="es-ES"/>
        </w:rPr>
        <w:t>2015,</w:t>
      </w:r>
    </w:p>
    <w:p w:rsidR="00EA6AB2" w:rsidRPr="001F2682" w:rsidRDefault="00EA6AB2">
      <w:pPr>
        <w:pStyle w:val="Para1"/>
        <w:numPr>
          <w:ilvl w:val="0"/>
          <w:numId w:val="0"/>
        </w:numPr>
        <w:suppressLineNumbers/>
        <w:suppressAutoHyphens/>
        <w:kinsoku w:val="0"/>
        <w:overflowPunct w:val="0"/>
        <w:autoSpaceDE w:val="0"/>
        <w:autoSpaceDN w:val="0"/>
        <w:ind w:firstLine="567"/>
        <w:rPr>
          <w:rFonts w:eastAsia="Times New Roman"/>
          <w:lang w:val="es-ES"/>
        </w:rPr>
      </w:pPr>
      <w:r w:rsidRPr="001F2682">
        <w:rPr>
          <w:rFonts w:eastAsia="Times New Roman"/>
          <w:lang w:val="es-ES"/>
        </w:rPr>
        <w:lastRenderedPageBreak/>
        <w:t>1.</w:t>
      </w:r>
      <w:r w:rsidRPr="001F2682">
        <w:rPr>
          <w:rFonts w:eastAsia="Times New Roman"/>
          <w:lang w:val="es-ES"/>
        </w:rPr>
        <w:tab/>
      </w:r>
      <w:r w:rsidRPr="001F2682">
        <w:rPr>
          <w:rFonts w:eastAsia="Times New Roman"/>
          <w:i/>
          <w:iCs/>
          <w:kern w:val="22"/>
          <w:lang w:val="es-ES"/>
        </w:rPr>
        <w:t>Acoge con satisfacción</w:t>
      </w:r>
      <w:r w:rsidRPr="001F2682">
        <w:rPr>
          <w:rFonts w:eastAsia="Times New Roman"/>
          <w:kern w:val="22"/>
          <w:lang w:val="es-ES"/>
        </w:rPr>
        <w:t xml:space="preserve"> la decisión</w:t>
      </w:r>
      <w:r w:rsidR="006860C4">
        <w:rPr>
          <w:rFonts w:eastAsia="Times New Roman"/>
          <w:kern w:val="22"/>
          <w:lang w:val="es-ES"/>
        </w:rPr>
        <w:t> </w:t>
      </w:r>
      <w:r w:rsidRPr="001F2682">
        <w:rPr>
          <w:rFonts w:eastAsia="Times New Roman"/>
          <w:kern w:val="22"/>
          <w:lang w:val="es-ES"/>
        </w:rPr>
        <w:t>15/7 de la Conferencia de las Partes referida a la movilización de recursos y toma nota del proceso establecido en dicha decisión para desarrollar más a fondo la presentación de informes en el marco del Convenio;</w:t>
      </w:r>
    </w:p>
    <w:p w:rsidR="00EA6AB2" w:rsidRPr="001F2682" w:rsidRDefault="00EA6AB2">
      <w:pPr>
        <w:pStyle w:val="Para1"/>
        <w:numPr>
          <w:ilvl w:val="0"/>
          <w:numId w:val="0"/>
        </w:numPr>
        <w:suppressLineNumbers/>
        <w:suppressAutoHyphens/>
        <w:kinsoku w:val="0"/>
        <w:overflowPunct w:val="0"/>
        <w:autoSpaceDE w:val="0"/>
        <w:autoSpaceDN w:val="0"/>
        <w:ind w:firstLine="567"/>
        <w:rPr>
          <w:rFonts w:eastAsia="Times New Roman"/>
          <w:lang w:val="es-ES"/>
        </w:rPr>
      </w:pPr>
      <w:r w:rsidRPr="001F2682">
        <w:rPr>
          <w:rFonts w:eastAsia="Times New Roman"/>
          <w:lang w:val="es-ES"/>
        </w:rPr>
        <w:t>2.</w:t>
      </w:r>
      <w:r w:rsidRPr="001F2682">
        <w:rPr>
          <w:rFonts w:eastAsia="Times New Roman"/>
          <w:lang w:val="es-ES"/>
        </w:rPr>
        <w:tab/>
      </w:r>
      <w:r w:rsidRPr="001F2682">
        <w:rPr>
          <w:rFonts w:eastAsia="Times New Roman"/>
          <w:i/>
          <w:iCs/>
          <w:kern w:val="22"/>
          <w:lang w:val="es-ES"/>
        </w:rPr>
        <w:t>Pide</w:t>
      </w:r>
      <w:r w:rsidRPr="001F2682">
        <w:rPr>
          <w:rFonts w:eastAsia="Times New Roman"/>
          <w:kern w:val="22"/>
          <w:lang w:val="es-ES"/>
        </w:rPr>
        <w:t xml:space="preserve"> al Grupo de Expertos Técnicos sobre Presentación de Informes Financieros que también considere la presentación de informes financieros relacionados con la movilización de recursos para el Protocolo de Nagoya;</w:t>
      </w:r>
    </w:p>
    <w:p w:rsidR="00EA6AB2" w:rsidRPr="001F2682" w:rsidRDefault="00EA6AB2">
      <w:pPr>
        <w:pStyle w:val="Para1"/>
        <w:numPr>
          <w:ilvl w:val="0"/>
          <w:numId w:val="0"/>
        </w:numPr>
        <w:suppressLineNumbers/>
        <w:suppressAutoHyphens/>
        <w:kinsoku w:val="0"/>
        <w:overflowPunct w:val="0"/>
        <w:autoSpaceDE w:val="0"/>
        <w:autoSpaceDN w:val="0"/>
        <w:ind w:firstLine="567"/>
        <w:rPr>
          <w:rFonts w:eastAsia="Times New Roman"/>
          <w:lang w:val="es-ES"/>
        </w:rPr>
      </w:pPr>
      <w:r w:rsidRPr="001F2682">
        <w:rPr>
          <w:rFonts w:eastAsia="Times New Roman"/>
          <w:lang w:val="es-ES"/>
        </w:rPr>
        <w:t>3.</w:t>
      </w:r>
      <w:r w:rsidRPr="001F2682">
        <w:rPr>
          <w:rFonts w:eastAsia="Times New Roman"/>
          <w:lang w:val="es-ES"/>
        </w:rPr>
        <w:tab/>
      </w:r>
      <w:r w:rsidRPr="001F2682">
        <w:rPr>
          <w:rFonts w:eastAsia="Times New Roman"/>
          <w:i/>
          <w:iCs/>
          <w:lang w:val="es-ES"/>
        </w:rPr>
        <w:t>Alienta</w:t>
      </w:r>
      <w:r w:rsidRPr="001F2682">
        <w:rPr>
          <w:rFonts w:eastAsia="Times New Roman"/>
          <w:lang w:val="es-ES"/>
        </w:rPr>
        <w:t xml:space="preserve"> a las Partes a considerar la movilización de recursos para el Protocolo de Nagoya en la implementación de la estrategia de movilización de recursos adoptada en la decisión </w:t>
      </w:r>
      <w:r w:rsidR="006860C4">
        <w:rPr>
          <w:rFonts w:eastAsia="Times New Roman"/>
          <w:lang w:val="es-ES"/>
        </w:rPr>
        <w:t>1</w:t>
      </w:r>
      <w:r w:rsidRPr="001F2682">
        <w:rPr>
          <w:rFonts w:eastAsia="Times New Roman"/>
          <w:lang w:val="es-ES"/>
        </w:rPr>
        <w:t>5/7 de la Conferencia de las Partes y, en particular, a incluir en planes nacionales de financiación de la diversidad biológica disposiciones referidas a la aplicación del Protocolo de Nagoya, teniendo en cuenta el artículo 20 del Convenio sobre la Diversidad Biológica y el artículo 25 del Protocolo de Nagoya.</w:t>
      </w:r>
    </w:p>
    <w:p w:rsidR="00EA6AB2" w:rsidRPr="001F2682" w:rsidRDefault="00EA6AB2">
      <w:pPr>
        <w:jc w:val="center"/>
        <w:rPr>
          <w:rFonts w:eastAsia="Times New Roman"/>
          <w:lang w:val="es-ES"/>
        </w:rPr>
      </w:pPr>
      <w:r w:rsidRPr="001F2682">
        <w:rPr>
          <w:rFonts w:eastAsia="Times New Roman"/>
          <w:lang w:val="es-ES"/>
        </w:rPr>
        <w:t>__________</w:t>
      </w:r>
    </w:p>
    <w:sectPr w:rsidR="00EA6AB2" w:rsidRPr="001F2682">
      <w:headerReference w:type="even" r:id="rId10"/>
      <w:headerReference w:type="default" r:id="rId11"/>
      <w:pgSz w:w="12240" w:h="15840"/>
      <w:pgMar w:top="567"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6CD1" w:rsidRDefault="000B6CD1">
      <w:pPr>
        <w:rPr>
          <w:rFonts w:eastAsia="Times New Roman"/>
        </w:rPr>
      </w:pPr>
      <w:r>
        <w:rPr>
          <w:rFonts w:eastAsia="Times New Roman"/>
        </w:rPr>
        <w:separator/>
      </w:r>
    </w:p>
  </w:endnote>
  <w:endnote w:type="continuationSeparator" w:id="1">
    <w:p w:rsidR="000B6CD1" w:rsidRDefault="000B6CD1">
      <w:pPr>
        <w:rPr>
          <w:rFonts w:eastAsia="Times New Roman"/>
        </w:rPr>
      </w:pPr>
      <w:r>
        <w:rPr>
          <w:rFonts w:eastAsia="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6CD1" w:rsidRDefault="000B6CD1">
      <w:pPr>
        <w:rPr>
          <w:rFonts w:eastAsia="Times New Roman"/>
        </w:rPr>
      </w:pPr>
      <w:r>
        <w:rPr>
          <w:rFonts w:eastAsia="Times New Roman"/>
        </w:rPr>
        <w:separator/>
      </w:r>
    </w:p>
  </w:footnote>
  <w:footnote w:type="continuationSeparator" w:id="1">
    <w:p w:rsidR="000B6CD1" w:rsidRDefault="000B6CD1">
      <w:pPr>
        <w:rPr>
          <w:rFonts w:eastAsia="Times New Roman"/>
        </w:rPr>
      </w:pPr>
      <w:r>
        <w:rPr>
          <w:rFonts w:eastAsia="Times New Roman"/>
        </w:rPr>
        <w:continuationSeparator/>
      </w:r>
    </w:p>
  </w:footnote>
  <w:footnote w:id="2">
    <w:p w:rsidR="00EA6AB2" w:rsidRPr="001F2682" w:rsidRDefault="00EA6AB2">
      <w:pPr>
        <w:pStyle w:val="FootnoteText"/>
        <w:ind w:firstLine="0"/>
        <w:jc w:val="left"/>
        <w:rPr>
          <w:rFonts w:eastAsia="Times New Roman"/>
          <w:lang w:val="es-ES"/>
        </w:rPr>
      </w:pPr>
      <w:r w:rsidRPr="001F2682">
        <w:rPr>
          <w:rStyle w:val="FootnoteReference"/>
          <w:rFonts w:eastAsia="Times New Roman"/>
          <w:lang w:val="es-ES"/>
        </w:rPr>
        <w:footnoteRef/>
      </w:r>
      <w:r w:rsidRPr="001F2682">
        <w:rPr>
          <w:rFonts w:eastAsia="Times New Roman"/>
          <w:lang w:val="es-ES"/>
        </w:rPr>
        <w:t xml:space="preserve"> Informe del Fondo para el Medio Ambiente Mundial presentado a la 15ª reunión de la Conferencia de las Partes en el Convenio sobre la Diversidad Biológica (CBD/COP/15/8); Orientaciones Programáticas del FMAM</w:t>
      </w:r>
      <w:r w:rsidRPr="001F2682">
        <w:rPr>
          <w:rFonts w:eastAsia="Times New Roman"/>
          <w:kern w:val="18"/>
          <w:lang w:val="es-ES"/>
        </w:rPr>
        <w:t xml:space="preserve"> (</w:t>
      </w:r>
      <w:hyperlink r:id="rId1" w:history="1">
        <w:r w:rsidRPr="001F2682">
          <w:rPr>
            <w:rStyle w:val="Hyperlink"/>
            <w:rFonts w:eastAsia="Times New Roman"/>
            <w:kern w:val="18"/>
            <w:lang w:val="es-ES"/>
          </w:rPr>
          <w:t>GEF/R.08/29/Rev.01</w:t>
        </w:r>
      </w:hyperlink>
      <w:r w:rsidRPr="001F2682">
        <w:rPr>
          <w:rStyle w:val="Hyperlink"/>
          <w:rFonts w:eastAsia="Times New Roman"/>
          <w:kern w:val="18"/>
          <w:lang w:val="es-ES"/>
        </w:rPr>
        <w:t>)</w:t>
      </w:r>
      <w:r w:rsidRPr="001F2682">
        <w:rPr>
          <w:rFonts w:eastAsia="Times New Roman"/>
          <w:lang w:val="es-ES"/>
        </w:rPr>
        <w:t>.</w:t>
      </w:r>
    </w:p>
  </w:footnote>
  <w:footnote w:id="3">
    <w:p w:rsidR="00EA6AB2" w:rsidRPr="001F2682" w:rsidRDefault="00EA6AB2">
      <w:pPr>
        <w:pStyle w:val="FootnoteText"/>
        <w:ind w:firstLine="0"/>
        <w:jc w:val="left"/>
        <w:rPr>
          <w:rFonts w:eastAsia="Times New Roman"/>
          <w:lang w:val="es-ES"/>
        </w:rPr>
      </w:pPr>
      <w:r w:rsidRPr="001F2682">
        <w:rPr>
          <w:rStyle w:val="FootnoteReference"/>
          <w:rFonts w:eastAsia="Times New Roman"/>
          <w:lang w:val="es-ES"/>
        </w:rPr>
        <w:footnoteRef/>
      </w:r>
      <w:r w:rsidRPr="001F2682">
        <w:rPr>
          <w:rFonts w:eastAsia="Times New Roman"/>
          <w:lang w:val="es-ES"/>
        </w:rPr>
        <w:t xml:space="preserve"> Decisión </w:t>
      </w:r>
      <w:hyperlink r:id="rId2" w:history="1">
        <w:r w:rsidRPr="001F2682">
          <w:rPr>
            <w:rFonts w:eastAsia="Times New Roman"/>
            <w:lang w:val="es-ES"/>
          </w:rPr>
          <w:t>NP-4/7</w:t>
        </w:r>
      </w:hyperlink>
      <w:r w:rsidRPr="001F2682">
        <w:rPr>
          <w:rFonts w:eastAsia="Times New Roman"/>
          <w:lang w:val="es-ES"/>
        </w:rPr>
        <w:t>, anexo.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AB2" w:rsidRPr="001F2682" w:rsidRDefault="00EA6AB2">
    <w:pPr>
      <w:pStyle w:val="Header"/>
      <w:rPr>
        <w:rFonts w:eastAsia="Times New Roman"/>
        <w:lang w:val="es-ES"/>
      </w:rPr>
    </w:pPr>
    <w:r w:rsidRPr="001F2682">
      <w:rPr>
        <w:rFonts w:eastAsia="Times New Roman"/>
        <w:lang w:val="es-ES"/>
      </w:rPr>
      <w:t>CBD/NP/MOP/DEC/4/8</w:t>
    </w:r>
  </w:p>
  <w:p w:rsidR="00EA6AB2" w:rsidRPr="001F2682" w:rsidRDefault="00EA6AB2">
    <w:pPr>
      <w:pStyle w:val="Header"/>
      <w:rPr>
        <w:rFonts w:eastAsia="Times New Roman"/>
        <w:lang w:val="es-ES"/>
      </w:rPr>
    </w:pPr>
    <w:r w:rsidRPr="001F2682">
      <w:rPr>
        <w:rFonts w:eastAsia="Times New Roman"/>
        <w:lang w:val="es-ES"/>
      </w:rPr>
      <w:t xml:space="preserve">Página </w:t>
    </w:r>
    <w:r w:rsidRPr="001F2682">
      <w:rPr>
        <w:rFonts w:eastAsia="Times New Roman"/>
        <w:lang w:val="es-ES"/>
      </w:rPr>
      <w:fldChar w:fldCharType="begin"/>
    </w:r>
    <w:r w:rsidRPr="001F2682">
      <w:rPr>
        <w:rFonts w:eastAsia="Times New Roman"/>
        <w:lang w:val="es-ES"/>
      </w:rPr>
      <w:instrText xml:space="preserve"> PAGE   \* MERGEFORMAT </w:instrText>
    </w:r>
    <w:r w:rsidRPr="001F2682">
      <w:rPr>
        <w:rFonts w:eastAsia="Times New Roman"/>
        <w:lang w:val="es-ES"/>
      </w:rPr>
      <w:fldChar w:fldCharType="separate"/>
    </w:r>
    <w:r w:rsidR="006860C4">
      <w:rPr>
        <w:rFonts w:eastAsia="Times New Roman"/>
        <w:noProof/>
        <w:lang w:val="es-ES"/>
      </w:rPr>
      <w:t>2</w:t>
    </w:r>
    <w:r w:rsidRPr="001F2682">
      <w:rPr>
        <w:rFonts w:eastAsia="Times New Roman"/>
        <w:lang w:val="es-ES"/>
      </w:rPr>
      <w:fldChar w:fldCharType="end"/>
    </w:r>
  </w:p>
  <w:p w:rsidR="00EA6AB2" w:rsidRDefault="00EA6AB2">
    <w:pPr>
      <w:pStyle w:val="Header"/>
      <w:rPr>
        <w:rFonts w:eastAsia="Times New Roman"/>
        <w:lang/>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AB2" w:rsidRPr="001F2682" w:rsidRDefault="00EA6AB2">
    <w:pPr>
      <w:pStyle w:val="Header"/>
      <w:jc w:val="right"/>
      <w:rPr>
        <w:rFonts w:eastAsia="Times New Roman"/>
        <w:lang w:val="es-ES"/>
      </w:rPr>
    </w:pPr>
    <w:r w:rsidRPr="001F2682">
      <w:rPr>
        <w:rFonts w:eastAsia="Times New Roman"/>
        <w:lang w:val="es-ES"/>
      </w:rPr>
      <w:t>CBD/NP/MOP/DEC/4/8</w:t>
    </w:r>
  </w:p>
  <w:p w:rsidR="00EA6AB2" w:rsidRPr="001F2682" w:rsidRDefault="00EA6AB2">
    <w:pPr>
      <w:pStyle w:val="Header"/>
      <w:jc w:val="right"/>
      <w:rPr>
        <w:rFonts w:eastAsia="Times New Roman"/>
        <w:lang w:val="es-ES"/>
      </w:rPr>
    </w:pPr>
    <w:r w:rsidRPr="001F2682">
      <w:rPr>
        <w:rFonts w:eastAsia="Times New Roman"/>
        <w:lang w:val="es-ES"/>
      </w:rPr>
      <w:t xml:space="preserve">Página </w:t>
    </w:r>
    <w:r w:rsidRPr="001F2682">
      <w:rPr>
        <w:rFonts w:eastAsia="Times New Roman"/>
        <w:lang w:val="es-ES"/>
      </w:rPr>
      <w:fldChar w:fldCharType="begin"/>
    </w:r>
    <w:r w:rsidRPr="001F2682">
      <w:rPr>
        <w:rFonts w:eastAsia="Times New Roman"/>
        <w:lang w:val="es-ES"/>
      </w:rPr>
      <w:instrText xml:space="preserve"> PAGE   \* MERGEFORMAT </w:instrText>
    </w:r>
    <w:r w:rsidRPr="001F2682">
      <w:rPr>
        <w:rFonts w:eastAsia="Times New Roman"/>
        <w:lang w:val="es-ES"/>
      </w:rPr>
      <w:fldChar w:fldCharType="separate"/>
    </w:r>
    <w:r w:rsidR="006860C4">
      <w:rPr>
        <w:rFonts w:eastAsia="Times New Roman"/>
        <w:noProof/>
        <w:lang w:val="es-ES"/>
      </w:rPr>
      <w:t>3</w:t>
    </w:r>
    <w:r w:rsidRPr="001F2682">
      <w:rPr>
        <w:rFonts w:eastAsia="Times New Roman"/>
        <w:lang w:val="es-ES"/>
      </w:rPr>
      <w:fldChar w:fldCharType="end"/>
    </w:r>
  </w:p>
  <w:p w:rsidR="00EA6AB2" w:rsidRPr="001F2682" w:rsidRDefault="00EA6AB2">
    <w:pPr>
      <w:pStyle w:val="Header"/>
      <w:rPr>
        <w:rFonts w:eastAsia="Times New Roman"/>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191"/>
        </w:tabs>
        <w:ind w:left="1191" w:hanging="471"/>
      </w:pPr>
      <w:rPr>
        <w:rFonts w:hint="default"/>
        <w:b w:val="0"/>
        <w:bCs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pPr>
      <w:rPr>
        <w:rFonts w:hint="default"/>
      </w:rPr>
    </w:lvl>
    <w:lvl w:ilvl="1" w:tplc="561613B4">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pPr>
      <w:rPr>
        <w:rFonts w:hint="default"/>
      </w:rPr>
    </w:lvl>
    <w:lvl w:ilvl="1">
      <w:start w:val="1"/>
      <w:numFmt w:val="upperLetter"/>
      <w:lvlText w:val="%2."/>
      <w:lvlJc w:val="left"/>
      <w:pPr>
        <w:tabs>
          <w:tab w:val="num" w:pos="360"/>
        </w:tabs>
      </w:pPr>
      <w:rPr>
        <w:rFonts w:hint="default"/>
      </w:rPr>
    </w:lvl>
    <w:lvl w:ilvl="2">
      <w:start w:val="1"/>
      <w:numFmt w:val="decimal"/>
      <w:lvlText w:val="%3."/>
      <w:lvlJc w:val="left"/>
      <w:pPr>
        <w:tabs>
          <w:tab w:val="num" w:pos="360"/>
        </w:tabs>
      </w:pPr>
      <w:rPr>
        <w:rFonts w:hint="default"/>
      </w:rPr>
    </w:lvl>
    <w:lvl w:ilvl="3">
      <w:start w:val="1"/>
      <w:numFmt w:val="decimal"/>
      <w:lvlText w:val="1.%4"/>
      <w:lvlJc w:val="left"/>
      <w:pPr>
        <w:tabs>
          <w:tab w:val="num" w:pos="360"/>
        </w:tabs>
      </w:pPr>
      <w:rPr>
        <w:rFonts w:hint="default"/>
      </w:rPr>
    </w:lvl>
    <w:lvl w:ilvl="4">
      <w:start w:val="1"/>
      <w:numFmt w:val="lowerRoman"/>
      <w:pStyle w:val="Heading5"/>
      <w:lvlText w:val="(%5)"/>
      <w:lvlJc w:val="left"/>
      <w:pPr>
        <w:tabs>
          <w:tab w:val="num" w:pos="720"/>
        </w:tabs>
      </w:pPr>
      <w:rPr>
        <w:rFonts w:hint="default"/>
      </w:rPr>
    </w:lvl>
    <w:lvl w:ilvl="5">
      <w:start w:val="1"/>
      <w:numFmt w:val="lowerLetter"/>
      <w:lvlText w:val="(%6)"/>
      <w:lvlJc w:val="left"/>
      <w:pPr>
        <w:tabs>
          <w:tab w:val="num" w:pos="1080"/>
        </w:tabs>
        <w:ind w:left="72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360"/>
        </w:tabs>
        <w:ind w:left="-720"/>
      </w:pPr>
      <w:rPr>
        <w:rFonts w:hint="default"/>
      </w:rPr>
    </w:lvl>
    <w:lvl w:ilvl="8">
      <w:start w:val="1"/>
      <w:numFmt w:val="lowerRoman"/>
      <w:lvlText w:val="(%9)"/>
      <w:lvlJc w:val="left"/>
      <w:pPr>
        <w:tabs>
          <w:tab w:val="num" w:pos="6120"/>
        </w:tabs>
        <w:ind w:left="5760"/>
      </w:pPr>
      <w:rPr>
        <w:rFonts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hint="default"/>
        <w:b w:val="0"/>
        <w:bCs w:val="0"/>
        <w:i w:val="0"/>
        <w:iCs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nsid w:val="48E4287B"/>
    <w:multiLevelType w:val="multilevel"/>
    <w:tmpl w:val="2E6A1D38"/>
    <w:lvl w:ilvl="0">
      <w:start w:val="1"/>
      <w:numFmt w:val="decimal"/>
      <w:lvlText w:val="%1."/>
      <w:lvlJc w:val="left"/>
      <w:pPr>
        <w:tabs>
          <w:tab w:val="num" w:pos="360"/>
        </w:tabs>
      </w:pPr>
    </w:lvl>
    <w:lvl w:ilvl="1">
      <w:start w:val="1"/>
      <w:numFmt w:val="lowerLetter"/>
      <w:lvlText w:val="(%2)"/>
      <w:lvlJc w:val="left"/>
      <w:pPr>
        <w:tabs>
          <w:tab w:val="num" w:pos="1440"/>
        </w:tabs>
        <w:ind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cs="Symbol" w:hint="default"/>
        <w:sz w:val="28"/>
        <w:szCs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440"/>
        </w:tabs>
        <w:ind w:firstLine="720"/>
      </w:pPr>
      <w:rPr>
        <w:rFonts w:hint="default"/>
        <w:b w:val="0"/>
        <w:bCs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81151E5"/>
    <w:multiLevelType w:val="hybridMultilevel"/>
    <w:tmpl w:val="05FA9C00"/>
    <w:lvl w:ilvl="0" w:tplc="72F6D3AC">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C975246"/>
    <w:multiLevelType w:val="hybridMultilevel"/>
    <w:tmpl w:val="8CC0468E"/>
    <w:lvl w:ilvl="0" w:tplc="4342ADA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cs="Symbol" w:hint="default"/>
      </w:rPr>
    </w:lvl>
    <w:lvl w:ilvl="1" w:tplc="E3FE1308">
      <w:start w:val="1"/>
      <w:numFmt w:val="bullet"/>
      <w:lvlText w:val="o"/>
      <w:lvlJc w:val="left"/>
      <w:pPr>
        <w:tabs>
          <w:tab w:val="num" w:pos="1440"/>
        </w:tabs>
        <w:ind w:left="1440" w:hanging="360"/>
      </w:pPr>
      <w:rPr>
        <w:rFonts w:ascii="Courier New" w:hAnsi="Courier New" w:cs="Courier New" w:hint="default"/>
      </w:rPr>
    </w:lvl>
    <w:lvl w:ilvl="2" w:tplc="12162BAC">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10">
    <w:nsid w:val="73D802DE"/>
    <w:multiLevelType w:val="hybridMultilevel"/>
    <w:tmpl w:val="33140710"/>
    <w:lvl w:ilvl="0" w:tplc="D30ACC9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7B617DFD"/>
    <w:multiLevelType w:val="hybridMultilevel"/>
    <w:tmpl w:val="0DFE417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evenAndOddHeaders/>
  <w:characterSpacingControl w:val="doNotCompress"/>
  <w:doNotValidateAgainstSchema/>
  <w:doNotDemarcateInvalidXml/>
  <w:footnotePr>
    <w:footnote w:id="0"/>
    <w:footnote w:id="1"/>
  </w:footnotePr>
  <w:endnotePr>
    <w:endnote w:id="0"/>
    <w:endnote w:id="1"/>
  </w:endnotePr>
  <w:compat/>
  <w:rsids>
    <w:rsidRoot w:val="00C9161D"/>
    <w:rsid w:val="0000441A"/>
    <w:rsid w:val="00020166"/>
    <w:rsid w:val="00020A25"/>
    <w:rsid w:val="000318FF"/>
    <w:rsid w:val="0007171B"/>
    <w:rsid w:val="000736C8"/>
    <w:rsid w:val="00075906"/>
    <w:rsid w:val="000819D3"/>
    <w:rsid w:val="00081AE9"/>
    <w:rsid w:val="00087E8D"/>
    <w:rsid w:val="000B6CD1"/>
    <w:rsid w:val="000C64C2"/>
    <w:rsid w:val="000E079D"/>
    <w:rsid w:val="000E673A"/>
    <w:rsid w:val="000F74F5"/>
    <w:rsid w:val="00105372"/>
    <w:rsid w:val="001226B6"/>
    <w:rsid w:val="00122E2A"/>
    <w:rsid w:val="001312AD"/>
    <w:rsid w:val="001312D6"/>
    <w:rsid w:val="00131E7A"/>
    <w:rsid w:val="00133EFA"/>
    <w:rsid w:val="00134846"/>
    <w:rsid w:val="001378D8"/>
    <w:rsid w:val="001626F4"/>
    <w:rsid w:val="00172AF6"/>
    <w:rsid w:val="00176CEE"/>
    <w:rsid w:val="00176ED0"/>
    <w:rsid w:val="00177096"/>
    <w:rsid w:val="001857AE"/>
    <w:rsid w:val="00186DD8"/>
    <w:rsid w:val="00186EEF"/>
    <w:rsid w:val="00187EC5"/>
    <w:rsid w:val="001A4E94"/>
    <w:rsid w:val="001B13FE"/>
    <w:rsid w:val="001B32C1"/>
    <w:rsid w:val="001B7D82"/>
    <w:rsid w:val="001C0D46"/>
    <w:rsid w:val="001C33DE"/>
    <w:rsid w:val="001E38DB"/>
    <w:rsid w:val="001F2682"/>
    <w:rsid w:val="001F4164"/>
    <w:rsid w:val="001F68A0"/>
    <w:rsid w:val="00215B2D"/>
    <w:rsid w:val="00240E55"/>
    <w:rsid w:val="00271831"/>
    <w:rsid w:val="002774A8"/>
    <w:rsid w:val="00291B37"/>
    <w:rsid w:val="002A2064"/>
    <w:rsid w:val="002F010D"/>
    <w:rsid w:val="002F5A4B"/>
    <w:rsid w:val="0030169D"/>
    <w:rsid w:val="003060EB"/>
    <w:rsid w:val="003153EB"/>
    <w:rsid w:val="00321985"/>
    <w:rsid w:val="003219AA"/>
    <w:rsid w:val="00336C4F"/>
    <w:rsid w:val="00341806"/>
    <w:rsid w:val="00351089"/>
    <w:rsid w:val="00351205"/>
    <w:rsid w:val="00363D3A"/>
    <w:rsid w:val="00372F74"/>
    <w:rsid w:val="00373027"/>
    <w:rsid w:val="00386DD9"/>
    <w:rsid w:val="0039561C"/>
    <w:rsid w:val="003B7BB2"/>
    <w:rsid w:val="003E6F8F"/>
    <w:rsid w:val="003F7224"/>
    <w:rsid w:val="00401217"/>
    <w:rsid w:val="00405174"/>
    <w:rsid w:val="0040746E"/>
    <w:rsid w:val="00414B96"/>
    <w:rsid w:val="00427D21"/>
    <w:rsid w:val="00427F65"/>
    <w:rsid w:val="00440ECF"/>
    <w:rsid w:val="004505D6"/>
    <w:rsid w:val="004644C2"/>
    <w:rsid w:val="004647C0"/>
    <w:rsid w:val="00467F9C"/>
    <w:rsid w:val="00491352"/>
    <w:rsid w:val="004A7F13"/>
    <w:rsid w:val="004B44DE"/>
    <w:rsid w:val="004B784E"/>
    <w:rsid w:val="004F158C"/>
    <w:rsid w:val="004F5EE3"/>
    <w:rsid w:val="00510BEB"/>
    <w:rsid w:val="00517E01"/>
    <w:rsid w:val="00532787"/>
    <w:rsid w:val="00534681"/>
    <w:rsid w:val="00552015"/>
    <w:rsid w:val="005633A4"/>
    <w:rsid w:val="00563442"/>
    <w:rsid w:val="00564DAE"/>
    <w:rsid w:val="00565B42"/>
    <w:rsid w:val="00567CA7"/>
    <w:rsid w:val="00571487"/>
    <w:rsid w:val="00580230"/>
    <w:rsid w:val="0058271B"/>
    <w:rsid w:val="005A0106"/>
    <w:rsid w:val="005B4ADC"/>
    <w:rsid w:val="005C4CE6"/>
    <w:rsid w:val="005E0ED3"/>
    <w:rsid w:val="005E2392"/>
    <w:rsid w:val="005F0693"/>
    <w:rsid w:val="005F3515"/>
    <w:rsid w:val="00604A13"/>
    <w:rsid w:val="0060715A"/>
    <w:rsid w:val="006122BA"/>
    <w:rsid w:val="00615FF6"/>
    <w:rsid w:val="0061749B"/>
    <w:rsid w:val="00624B4A"/>
    <w:rsid w:val="0064648B"/>
    <w:rsid w:val="00660CB5"/>
    <w:rsid w:val="006860C4"/>
    <w:rsid w:val="0069263A"/>
    <w:rsid w:val="006A63B1"/>
    <w:rsid w:val="006B2290"/>
    <w:rsid w:val="006C1DC3"/>
    <w:rsid w:val="006D49DB"/>
    <w:rsid w:val="006D7DB4"/>
    <w:rsid w:val="006F6EAD"/>
    <w:rsid w:val="0071717B"/>
    <w:rsid w:val="00717D88"/>
    <w:rsid w:val="00730C5E"/>
    <w:rsid w:val="0073172B"/>
    <w:rsid w:val="00773811"/>
    <w:rsid w:val="00786056"/>
    <w:rsid w:val="00792BBC"/>
    <w:rsid w:val="00793324"/>
    <w:rsid w:val="007942D3"/>
    <w:rsid w:val="00794D30"/>
    <w:rsid w:val="007A73CD"/>
    <w:rsid w:val="007B2099"/>
    <w:rsid w:val="007B3F93"/>
    <w:rsid w:val="007B6C09"/>
    <w:rsid w:val="007B7741"/>
    <w:rsid w:val="007D4A87"/>
    <w:rsid w:val="007E02DE"/>
    <w:rsid w:val="007E09DA"/>
    <w:rsid w:val="007E0DA8"/>
    <w:rsid w:val="007F35C8"/>
    <w:rsid w:val="007F3D19"/>
    <w:rsid w:val="00801D03"/>
    <w:rsid w:val="008178B6"/>
    <w:rsid w:val="00823BC8"/>
    <w:rsid w:val="0083009D"/>
    <w:rsid w:val="00846BA8"/>
    <w:rsid w:val="00857004"/>
    <w:rsid w:val="008639D6"/>
    <w:rsid w:val="00865B74"/>
    <w:rsid w:val="0088262E"/>
    <w:rsid w:val="008827CC"/>
    <w:rsid w:val="008836FD"/>
    <w:rsid w:val="008974F0"/>
    <w:rsid w:val="008A2E6D"/>
    <w:rsid w:val="008B012A"/>
    <w:rsid w:val="008D1BD6"/>
    <w:rsid w:val="00906E17"/>
    <w:rsid w:val="00910961"/>
    <w:rsid w:val="00912B29"/>
    <w:rsid w:val="009149B0"/>
    <w:rsid w:val="00914B63"/>
    <w:rsid w:val="00927408"/>
    <w:rsid w:val="00930BA1"/>
    <w:rsid w:val="0093169E"/>
    <w:rsid w:val="0093407C"/>
    <w:rsid w:val="00937130"/>
    <w:rsid w:val="009505C9"/>
    <w:rsid w:val="00950752"/>
    <w:rsid w:val="00954A33"/>
    <w:rsid w:val="00966424"/>
    <w:rsid w:val="00970706"/>
    <w:rsid w:val="009826A9"/>
    <w:rsid w:val="00992428"/>
    <w:rsid w:val="009C1E46"/>
    <w:rsid w:val="009C2DE6"/>
    <w:rsid w:val="00A06B74"/>
    <w:rsid w:val="00A1252A"/>
    <w:rsid w:val="00A138C4"/>
    <w:rsid w:val="00A4739B"/>
    <w:rsid w:val="00A50651"/>
    <w:rsid w:val="00AA40ED"/>
    <w:rsid w:val="00AA6F92"/>
    <w:rsid w:val="00AB1483"/>
    <w:rsid w:val="00AB6934"/>
    <w:rsid w:val="00AC2E9C"/>
    <w:rsid w:val="00AC4C26"/>
    <w:rsid w:val="00AD3F4A"/>
    <w:rsid w:val="00AD7FFC"/>
    <w:rsid w:val="00AE190E"/>
    <w:rsid w:val="00AE3A55"/>
    <w:rsid w:val="00AE5CE8"/>
    <w:rsid w:val="00AE75A5"/>
    <w:rsid w:val="00AF42DE"/>
    <w:rsid w:val="00B22FE1"/>
    <w:rsid w:val="00B26ACD"/>
    <w:rsid w:val="00B305FD"/>
    <w:rsid w:val="00B31292"/>
    <w:rsid w:val="00B331F7"/>
    <w:rsid w:val="00B3369F"/>
    <w:rsid w:val="00B36A21"/>
    <w:rsid w:val="00B41F05"/>
    <w:rsid w:val="00B54098"/>
    <w:rsid w:val="00B55356"/>
    <w:rsid w:val="00B617E8"/>
    <w:rsid w:val="00B94E6C"/>
    <w:rsid w:val="00BA33A0"/>
    <w:rsid w:val="00BB4606"/>
    <w:rsid w:val="00BD5033"/>
    <w:rsid w:val="00BE5CBD"/>
    <w:rsid w:val="00BF11F9"/>
    <w:rsid w:val="00BF6291"/>
    <w:rsid w:val="00BF6745"/>
    <w:rsid w:val="00BF7848"/>
    <w:rsid w:val="00C068FF"/>
    <w:rsid w:val="00C23D2F"/>
    <w:rsid w:val="00C35E66"/>
    <w:rsid w:val="00C443BD"/>
    <w:rsid w:val="00C451C5"/>
    <w:rsid w:val="00C86A3D"/>
    <w:rsid w:val="00C9161D"/>
    <w:rsid w:val="00CA062D"/>
    <w:rsid w:val="00CA0C1D"/>
    <w:rsid w:val="00CC1569"/>
    <w:rsid w:val="00CC6AA5"/>
    <w:rsid w:val="00CD0551"/>
    <w:rsid w:val="00CE3643"/>
    <w:rsid w:val="00CF1848"/>
    <w:rsid w:val="00D12044"/>
    <w:rsid w:val="00D12D6C"/>
    <w:rsid w:val="00D30264"/>
    <w:rsid w:val="00D33EFC"/>
    <w:rsid w:val="00D36C5D"/>
    <w:rsid w:val="00D40DBC"/>
    <w:rsid w:val="00D5429F"/>
    <w:rsid w:val="00D65621"/>
    <w:rsid w:val="00D76A18"/>
    <w:rsid w:val="00D80849"/>
    <w:rsid w:val="00D82E8F"/>
    <w:rsid w:val="00D948AB"/>
    <w:rsid w:val="00DA7D9A"/>
    <w:rsid w:val="00DB4C03"/>
    <w:rsid w:val="00DC5AB8"/>
    <w:rsid w:val="00DC612E"/>
    <w:rsid w:val="00DD118C"/>
    <w:rsid w:val="00E220AA"/>
    <w:rsid w:val="00E24908"/>
    <w:rsid w:val="00E316EB"/>
    <w:rsid w:val="00E3742D"/>
    <w:rsid w:val="00E37734"/>
    <w:rsid w:val="00E4254A"/>
    <w:rsid w:val="00E50933"/>
    <w:rsid w:val="00E66235"/>
    <w:rsid w:val="00E66B36"/>
    <w:rsid w:val="00E70B72"/>
    <w:rsid w:val="00E83C24"/>
    <w:rsid w:val="00E919B3"/>
    <w:rsid w:val="00E9318D"/>
    <w:rsid w:val="00E97504"/>
    <w:rsid w:val="00EA6AB2"/>
    <w:rsid w:val="00EB21DC"/>
    <w:rsid w:val="00EB6749"/>
    <w:rsid w:val="00EC1F46"/>
    <w:rsid w:val="00ED73A3"/>
    <w:rsid w:val="00EF3E94"/>
    <w:rsid w:val="00F0707E"/>
    <w:rsid w:val="00F43823"/>
    <w:rsid w:val="00F53193"/>
    <w:rsid w:val="00F5357E"/>
    <w:rsid w:val="00F6586C"/>
    <w:rsid w:val="00F677E0"/>
    <w:rsid w:val="00F87B8A"/>
    <w:rsid w:val="00F94774"/>
    <w:rsid w:val="00FA0E9A"/>
    <w:rsid w:val="00FA663B"/>
    <w:rsid w:val="00FC25F8"/>
    <w:rsid w:val="00FC53DB"/>
    <w:rsid w:val="00FD4D94"/>
    <w:rsid w:val="00FE2131"/>
    <w:rsid w:val="00FE7ACA"/>
    <w:rsid w:val="00FF11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Courier New"/>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locked="1"/>
    <w:lsdException w:name="header" w:locked="1"/>
    <w:lsdException w:name="footer" w:locked="1"/>
    <w:lsdException w:name="caption" w:locked="1" w:qFormat="1"/>
    <w:lsdException w:name="footnote reference" w:locked="1"/>
    <w:lsdException w:name="annotation reference" w:locked="1"/>
    <w:lsdException w:name="page number" w:locked="1"/>
    <w:lsdException w:name="endnote reference" w:locked="1"/>
    <w:lsdException w:name="endnote text" w:locked="1"/>
    <w:lsdException w:name="toa heading" w:locked="1"/>
    <w:lsdException w:name="Title" w:locked="1" w:qFormat="1"/>
    <w:lsdException w:name="Default Paragraph Font" w:locked="1"/>
    <w:lsdException w:name="Body Text" w:locked="1"/>
    <w:lsdException w:name="Body Text Indent" w:locked="1"/>
    <w:lsdException w:name="Subtitle" w:locked="1" w:qFormat="1"/>
    <w:lsdException w:name="FollowedHyperlink" w:locked="1"/>
    <w:lsdException w:name="Strong" w:locked="1" w:qFormat="1"/>
    <w:lsdException w:name="Emphasis" w:locked="1" w:qFormat="1"/>
    <w:lsdException w:name="No Lis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Heading8Char"/>
    <w:qFormat/>
    <w:pPr>
      <w:jc w:val="both"/>
    </w:pPr>
    <w:rPr>
      <w:rFonts w:eastAsia="MS Mincho" w:cs="Times New Roman"/>
      <w:snapToGrid w:val="0"/>
      <w:sz w:val="22"/>
      <w:szCs w:val="22"/>
      <w:lang w:val="en-GB" w:eastAsia="ko-KR"/>
    </w:rPr>
  </w:style>
  <w:style w:type="paragraph" w:styleId="Heading1">
    <w:name w:val="heading 1"/>
    <w:basedOn w:val="Normal"/>
    <w:next w:val="Heading2"/>
    <w:qFormat/>
    <w:pPr>
      <w:keepNext/>
      <w:tabs>
        <w:tab w:val="left" w:pos="720"/>
      </w:tabs>
      <w:spacing w:before="240" w:after="120"/>
      <w:jc w:val="center"/>
      <w:outlineLvl w:val="0"/>
    </w:pPr>
    <w:rPr>
      <w:b/>
      <w:bCs/>
      <w:caps/>
    </w:rPr>
  </w:style>
  <w:style w:type="paragraph" w:styleId="Heading2">
    <w:name w:val="heading 2"/>
    <w:basedOn w:val="Normal"/>
    <w:next w:val="Normal"/>
    <w:link w:val="PlaceholderText"/>
    <w:qFormat/>
    <w:pPr>
      <w:keepNext/>
      <w:tabs>
        <w:tab w:val="left" w:pos="720"/>
      </w:tabs>
      <w:spacing w:before="120" w:after="120"/>
      <w:jc w:val="center"/>
      <w:outlineLvl w:val="1"/>
    </w:pPr>
    <w:rPr>
      <w:b/>
      <w:b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eastAsia="Times New Roman"/>
      <w:b/>
      <w:bCs/>
      <w:i/>
      <w:iCs/>
    </w:rPr>
  </w:style>
  <w:style w:type="paragraph" w:styleId="Heading5">
    <w:name w:val="heading 5"/>
    <w:basedOn w:val="Normal"/>
    <w:next w:val="Normal"/>
    <w:qFormat/>
    <w:pPr>
      <w:keepNext/>
      <w:numPr>
        <w:ilvl w:val="4"/>
        <w:numId w:val="1"/>
      </w:numPr>
      <w:spacing w:before="120" w:after="120"/>
      <w:jc w:val="left"/>
      <w:outlineLvl w:val="4"/>
    </w:pPr>
    <w:rPr>
      <w:i/>
      <w:iCs/>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b/>
      <w:bCs/>
      <w:sz w:val="28"/>
      <w:szCs w:val="28"/>
    </w:rPr>
  </w:style>
  <w:style w:type="paragraph" w:styleId="Heading8">
    <w:name w:val="heading 8"/>
    <w:basedOn w:val="Normal"/>
    <w:next w:val="Normal"/>
    <w:qFormat/>
    <w:pPr>
      <w:keepNext/>
      <w:jc w:val="right"/>
      <w:outlineLvl w:val="7"/>
    </w:pPr>
    <w:rPr>
      <w:b/>
      <w:bCs/>
      <w:sz w:val="32"/>
      <w:szCs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Pr>
      <w:rFonts w:eastAsia="MS Mincho" w:cs="Times New Roman"/>
      <w:snapToGrid w:val="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1"/>
    <w:semiHidden/>
    <w:rPr>
      <w:sz w:val="18"/>
      <w:szCs w:val="18"/>
    </w:rPr>
  </w:style>
  <w:style w:type="character" w:customStyle="1" w:styleId="BalloonTextChar">
    <w:name w:val="Balloon Text Char"/>
    <w:basedOn w:val="DefaultParagraphFont"/>
    <w:semiHidden/>
    <w:locked/>
    <w:rPr>
      <w:rFonts w:ascii="Times New Roman" w:hAnsi="Times New Roman" w:cs="Times New Roman"/>
      <w:sz w:val="18"/>
      <w:szCs w:val="18"/>
      <w:lang w:val="en-US"/>
    </w:rPr>
  </w:style>
  <w:style w:type="character" w:styleId="PlaceholderText">
    <w:name w:val="Placeholder Text"/>
    <w:aliases w:val="Heading 2 Char1"/>
    <w:basedOn w:val="DefaultParagraphFont"/>
    <w:link w:val="Heading2"/>
    <w:semiHidden/>
    <w:rPr>
      <w:color w:val="808080"/>
    </w:rPr>
  </w:style>
  <w:style w:type="paragraph" w:styleId="Header">
    <w:name w:val="header"/>
    <w:basedOn w:val="Normal"/>
    <w:pPr>
      <w:tabs>
        <w:tab w:val="center" w:pos="4320"/>
        <w:tab w:val="right" w:pos="8640"/>
      </w:tabs>
    </w:pPr>
  </w:style>
  <w:style w:type="character" w:customStyle="1" w:styleId="HeaderChar">
    <w:name w:val="Header Char"/>
    <w:basedOn w:val="DefaultParagraphFont"/>
    <w:locked/>
    <w:rPr>
      <w:rFonts w:ascii="Times New Roman" w:hAnsi="Times New Roman" w:cs="Times New Roman"/>
      <w:sz w:val="22"/>
      <w:szCs w:val="22"/>
      <w:lang w:val="en-GB"/>
    </w:rPr>
  </w:style>
  <w:style w:type="paragraph" w:styleId="Footer">
    <w:name w:val="footer"/>
    <w:basedOn w:val="Normal"/>
    <w:pPr>
      <w:tabs>
        <w:tab w:val="center" w:pos="4320"/>
        <w:tab w:val="right" w:pos="8640"/>
      </w:tabs>
      <w:ind w:firstLine="720"/>
      <w:jc w:val="right"/>
    </w:pPr>
  </w:style>
  <w:style w:type="character" w:customStyle="1" w:styleId="FooterChar">
    <w:name w:val="Footer Char"/>
    <w:basedOn w:val="DefaultParagraphFont"/>
    <w:locked/>
    <w:rPr>
      <w:rFonts w:ascii="Times New Roman" w:hAnsi="Times New Roman" w:cs="Times New Roman"/>
      <w:sz w:val="22"/>
      <w:szCs w:val="22"/>
      <w:lang w:val="en-GB"/>
    </w:rPr>
  </w:style>
  <w:style w:type="paragraph" w:customStyle="1" w:styleId="meetingname">
    <w:name w:val="meeting name"/>
    <w:basedOn w:val="Normal"/>
    <w:pPr>
      <w:ind w:left="142" w:right="4218" w:hanging="142"/>
    </w:pPr>
    <w:rPr>
      <w:caps/>
    </w:rPr>
  </w:style>
  <w:style w:type="paragraph" w:styleId="Title">
    <w:name w:val="Title"/>
    <w:basedOn w:val="Normal"/>
    <w:next w:val="Normal"/>
    <w:qFormat/>
    <w:pPr>
      <w:pBdr>
        <w:bottom w:val="single" w:sz="8" w:space="4" w:color="4F81BD"/>
      </w:pBdr>
      <w:spacing w:after="300"/>
    </w:pPr>
    <w:rPr>
      <w:rFonts w:eastAsia="Times New Roman"/>
      <w:color w:val="17365D"/>
      <w:spacing w:val="5"/>
      <w:kern w:val="28"/>
      <w:sz w:val="52"/>
      <w:szCs w:val="52"/>
    </w:rPr>
  </w:style>
  <w:style w:type="character" w:customStyle="1" w:styleId="TitleChar">
    <w:name w:val="Title Char"/>
    <w:basedOn w:val="DefaultParagraphFont"/>
    <w:locked/>
    <w:rPr>
      <w:rFonts w:ascii="Times New Roman" w:eastAsia="Times New Roman" w:hAnsi="Times New Roman" w:cs="Times New Roman"/>
      <w:color w:val="17365D"/>
      <w:spacing w:val="5"/>
      <w:kern w:val="28"/>
      <w:sz w:val="52"/>
      <w:szCs w:val="52"/>
      <w:lang w:val="en-US"/>
    </w:rPr>
  </w:style>
  <w:style w:type="paragraph" w:styleId="Subtitle">
    <w:name w:val="Subtitle"/>
    <w:basedOn w:val="Normal"/>
    <w:next w:val="Normal"/>
    <w:qFormat/>
    <w:pPr>
      <w:numPr>
        <w:ilvl w:val="1"/>
      </w:numPr>
    </w:pPr>
    <w:rPr>
      <w:rFonts w:eastAsia="Times New Roman"/>
      <w:i/>
      <w:iCs/>
      <w:color w:val="4F81BD"/>
      <w:spacing w:val="15"/>
      <w:sz w:val="24"/>
      <w:szCs w:val="24"/>
    </w:rPr>
  </w:style>
  <w:style w:type="character" w:customStyle="1" w:styleId="SubtitleChar">
    <w:name w:val="Subtitle Char"/>
    <w:basedOn w:val="DefaultParagraphFont"/>
    <w:locked/>
    <w:rPr>
      <w:rFonts w:ascii="Times New Roman" w:eastAsia="Times New Roman" w:hAnsi="Times New Roman" w:cs="Times New Roman"/>
      <w:i/>
      <w:iCs/>
      <w:color w:val="4F81BD"/>
      <w:spacing w:val="15"/>
      <w:lang w:val="en-US"/>
    </w:rPr>
  </w:style>
  <w:style w:type="character" w:customStyle="1" w:styleId="Heading1Char">
    <w:name w:val="Heading 1 Char"/>
    <w:basedOn w:val="DefaultParagraphFont"/>
    <w:locked/>
    <w:rPr>
      <w:rFonts w:ascii="Times New Roman" w:hAnsi="Times New Roman" w:cs="Times New Roman"/>
      <w:b/>
      <w:bCs/>
      <w:caps/>
      <w:sz w:val="22"/>
      <w:szCs w:val="22"/>
      <w:lang w:val="en-GB"/>
    </w:rPr>
  </w:style>
  <w:style w:type="paragraph" w:styleId="BodyText">
    <w:name w:val="Body Text"/>
    <w:basedOn w:val="Normal"/>
    <w:pPr>
      <w:spacing w:before="120" w:after="120"/>
      <w:ind w:firstLine="720"/>
    </w:pPr>
  </w:style>
  <w:style w:type="character" w:customStyle="1" w:styleId="BalloonTextChar1">
    <w:name w:val="Balloon Text Char1"/>
    <w:basedOn w:val="DefaultParagraphFont"/>
    <w:link w:val="BalloonText"/>
    <w:locked/>
    <w:rPr>
      <w:rFonts w:ascii="Times New Roman" w:hAnsi="Times New Roman" w:cs="Times New Roman"/>
      <w:sz w:val="22"/>
      <w:szCs w:val="22"/>
      <w:lang w:val="en-GB"/>
    </w:rPr>
  </w:style>
  <w:style w:type="paragraph" w:styleId="BodyTextIndent">
    <w:name w:val="Body Text Indent"/>
    <w:basedOn w:val="Normal"/>
    <w:pPr>
      <w:spacing w:before="120" w:after="120"/>
      <w:ind w:left="1440" w:hanging="720"/>
      <w:jc w:val="left"/>
    </w:pPr>
  </w:style>
  <w:style w:type="character" w:customStyle="1" w:styleId="BodyTextIndentChar">
    <w:name w:val="Body Text Indent Char"/>
    <w:basedOn w:val="DefaultParagraphFont"/>
    <w:locked/>
    <w:rPr>
      <w:rFonts w:ascii="Times New Roman" w:hAnsi="Times New Roman" w:cs="Times New Roman"/>
      <w:sz w:val="22"/>
      <w:szCs w:val="22"/>
      <w:lang w:val="en-GB"/>
    </w:rPr>
  </w:style>
  <w:style w:type="character" w:styleId="CommentReference">
    <w:name w:val="annotation reference"/>
    <w:basedOn w:val="DefaultParagraphFont"/>
    <w:semiHidden/>
    <w:rPr>
      <w:sz w:val="16"/>
      <w:szCs w:val="16"/>
    </w:rPr>
  </w:style>
  <w:style w:type="paragraph" w:styleId="CommentText">
    <w:name w:val="annotation text"/>
    <w:basedOn w:val="Normal"/>
    <w:semiHidden/>
    <w:pPr>
      <w:spacing w:after="120" w:line="240" w:lineRule="exact"/>
    </w:pPr>
  </w:style>
  <w:style w:type="character" w:customStyle="1" w:styleId="CommentTextChar">
    <w:name w:val="Comment Text Char"/>
    <w:basedOn w:val="DefaultParagraphFont"/>
    <w:semiHidden/>
    <w:locked/>
    <w:rPr>
      <w:rFonts w:ascii="Times New Roman" w:hAnsi="Times New Roman" w:cs="Times New Roman"/>
      <w:sz w:val="22"/>
      <w:szCs w:val="22"/>
      <w:lang w:val="en-GB"/>
    </w:rPr>
  </w:style>
  <w:style w:type="paragraph" w:customStyle="1" w:styleId="Cornernotation">
    <w:name w:val="Corner notation"/>
    <w:basedOn w:val="Normal"/>
    <w:pPr>
      <w:ind w:left="170" w:right="3119" w:hanging="170"/>
      <w:jc w:val="left"/>
    </w:pPr>
  </w:style>
  <w:style w:type="character" w:styleId="EndnoteReference">
    <w:name w:val="endnote reference"/>
    <w:basedOn w:val="DefaultParagraphFont"/>
    <w:semiHidden/>
    <w:rPr>
      <w:vertAlign w:val="superscript"/>
    </w:rPr>
  </w:style>
  <w:style w:type="paragraph" w:styleId="EndnoteText">
    <w:name w:val="endnote text"/>
    <w:basedOn w:val="Normal"/>
    <w:semiHidden/>
    <w:pPr>
      <w:widowControl w:val="0"/>
      <w:tabs>
        <w:tab w:val="left" w:pos="-720"/>
      </w:tabs>
      <w:suppressAutoHyphens/>
    </w:pPr>
    <w:rPr>
      <w:rFonts w:ascii="Courier New" w:hAnsi="Courier New" w:cs="Courier New"/>
    </w:rPr>
  </w:style>
  <w:style w:type="character" w:customStyle="1" w:styleId="EndnoteTextChar">
    <w:name w:val="Endnote Text Char"/>
    <w:basedOn w:val="DefaultParagraphFont"/>
    <w:semiHidden/>
    <w:locked/>
    <w:rPr>
      <w:rFonts w:ascii="Courier New" w:hAnsi="Courier New" w:cs="Courier New"/>
      <w:sz w:val="22"/>
      <w:szCs w:val="22"/>
      <w:lang w:val="en-GB"/>
    </w:rPr>
  </w:style>
  <w:style w:type="character" w:styleId="FollowedHyperlink">
    <w:name w:val="FollowedHyperlink"/>
    <w:basedOn w:val="DefaultParagraphFont"/>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basedOn w:val="DefaultParagraphFont"/>
    <w:semiHidden/>
    <w:locked/>
    <w:rPr>
      <w:sz w:val="22"/>
      <w:szCs w:val="22"/>
      <w:u w:val="none"/>
      <w:vertAlign w:val="superscript"/>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semiHidden/>
    <w:pPr>
      <w:keepLines/>
      <w:spacing w:after="60"/>
      <w:ind w:firstLine="720"/>
    </w:pPr>
    <w:rPr>
      <w:sz w:val="18"/>
      <w:szCs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ocked/>
    <w:rPr>
      <w:rFonts w:ascii="Times New Roman" w:hAnsi="Times New Roman" w:cs="Times New Roman"/>
      <w:sz w:val="18"/>
      <w:szCs w:val="18"/>
      <w:lang w:val="en-GB"/>
    </w:rPr>
  </w:style>
  <w:style w:type="paragraph" w:customStyle="1" w:styleId="HEADING">
    <w:name w:val="HEADING"/>
    <w:basedOn w:val="Normal"/>
    <w:pPr>
      <w:keepNext/>
      <w:spacing w:before="240" w:after="120"/>
      <w:jc w:val="center"/>
    </w:pPr>
    <w:rPr>
      <w:b/>
      <w:bCs/>
      <w:caps/>
    </w:rPr>
  </w:style>
  <w:style w:type="character" w:customStyle="1" w:styleId="Heading2Char">
    <w:name w:val="Heading 2 Char"/>
    <w:basedOn w:val="DefaultParagraphFont"/>
    <w:locked/>
    <w:rPr>
      <w:rFonts w:ascii="Times New Roman" w:hAnsi="Times New Roman" w:cs="Times New Roman"/>
      <w:b/>
      <w:bCs/>
      <w:sz w:val="22"/>
      <w:szCs w:val="22"/>
      <w:lang w:val="en-GB"/>
    </w:rPr>
  </w:style>
  <w:style w:type="paragraph" w:customStyle="1" w:styleId="HEADINGNOTFORTOC">
    <w:name w:val="HEADING (NOT FOR TOC)"/>
    <w:basedOn w:val="Heading1"/>
    <w:next w:val="Heading2"/>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2longmultiline">
    <w:name w:val="Heading 2 (long multiline)"/>
    <w:basedOn w:val="Heading2multiline"/>
    <w:pPr>
      <w:ind w:left="2127" w:hanging="1276"/>
    </w:pPr>
  </w:style>
  <w:style w:type="character" w:customStyle="1" w:styleId="Heading3Char">
    <w:name w:val="Heading 3 Char"/>
    <w:basedOn w:val="DefaultParagraphFont"/>
    <w:locked/>
    <w:rPr>
      <w:rFonts w:ascii="Times New Roman" w:hAnsi="Times New Roman" w:cs="Times New Roman"/>
      <w:i/>
      <w:iCs/>
      <w:sz w:val="22"/>
      <w:szCs w:val="22"/>
      <w:lang w:val="en-GB"/>
    </w:rPr>
  </w:style>
  <w:style w:type="paragraph" w:customStyle="1" w:styleId="heading2notforTOC">
    <w:name w:val="heading 2 not for TOC"/>
    <w:basedOn w:val="Heading3"/>
  </w:style>
  <w:style w:type="paragraph" w:customStyle="1" w:styleId="Heading3multiline">
    <w:name w:val="Heading 3 (multiline)"/>
    <w:basedOn w:val="Heading3"/>
    <w:next w:val="Normal"/>
    <w:pPr>
      <w:ind w:left="1418" w:hanging="425"/>
      <w:jc w:val="left"/>
    </w:pPr>
  </w:style>
  <w:style w:type="character" w:customStyle="1" w:styleId="Heading4Char">
    <w:name w:val="Heading 4 Char"/>
    <w:basedOn w:val="DefaultParagraphFont"/>
    <w:locked/>
    <w:rPr>
      <w:rFonts w:ascii="Times New Roman" w:eastAsia="Times New Roman" w:hAnsi="Times New Roman" w:cs="Times New Roman"/>
      <w:b/>
      <w:bCs/>
      <w:i/>
      <w:iCs/>
      <w:sz w:val="22"/>
      <w:szCs w:val="22"/>
      <w:lang w:val="en-GB"/>
    </w:rPr>
  </w:style>
  <w:style w:type="paragraph" w:customStyle="1" w:styleId="Heading4indent">
    <w:name w:val="Heading 4 indent"/>
    <w:basedOn w:val="Heading4"/>
    <w:pPr>
      <w:ind w:left="720"/>
      <w:outlineLvl w:val="9"/>
    </w:pPr>
  </w:style>
  <w:style w:type="character" w:customStyle="1" w:styleId="Heading5Char">
    <w:name w:val="Heading 5 Char"/>
    <w:basedOn w:val="DefaultParagraphFont"/>
    <w:locked/>
    <w:rPr>
      <w:rFonts w:ascii="Times New Roman" w:hAnsi="Times New Roman" w:cs="Times New Roman"/>
      <w:i/>
      <w:iCs/>
      <w:sz w:val="26"/>
      <w:szCs w:val="26"/>
      <w:lang w:val="en-CA"/>
    </w:rPr>
  </w:style>
  <w:style w:type="character" w:customStyle="1" w:styleId="Heading6Char">
    <w:name w:val="Heading 6 Char"/>
    <w:basedOn w:val="DefaultParagraphFont"/>
    <w:locked/>
    <w:rPr>
      <w:rFonts w:ascii="Times New Roman" w:hAnsi="Times New Roman" w:cs="Times New Roman"/>
      <w:sz w:val="22"/>
      <w:szCs w:val="22"/>
      <w:u w:val="single"/>
      <w:lang w:val="en-GB"/>
    </w:rPr>
  </w:style>
  <w:style w:type="character" w:customStyle="1" w:styleId="Heading7Char">
    <w:name w:val="Heading 7 Char"/>
    <w:basedOn w:val="DefaultParagraphFont"/>
    <w:locked/>
    <w:rPr>
      <w:rFonts w:ascii="Times New Roman" w:hAnsi="Times New Roman" w:cs="Times New Roman"/>
      <w:b/>
      <w:bCs/>
      <w:sz w:val="28"/>
      <w:szCs w:val="28"/>
      <w:lang w:val="en-GB"/>
    </w:rPr>
  </w:style>
  <w:style w:type="character" w:customStyle="1" w:styleId="Heading8Char">
    <w:name w:val="Heading 8 Char"/>
    <w:basedOn w:val="DefaultParagraphFont"/>
    <w:locked/>
    <w:rPr>
      <w:rFonts w:ascii="Times New Roman" w:hAnsi="Times New Roman" w:cs="Times New Roman"/>
      <w:b/>
      <w:bCs/>
      <w:sz w:val="32"/>
      <w:szCs w:val="32"/>
      <w:lang w:val="en-GB"/>
    </w:rPr>
  </w:style>
  <w:style w:type="character" w:customStyle="1" w:styleId="Heading9Char">
    <w:name w:val="Heading 9 Char"/>
    <w:basedOn w:val="DefaultParagraphFont"/>
    <w:locked/>
    <w:rPr>
      <w:rFonts w:ascii="Times New Roman" w:hAnsi="Times New Roman" w:cs="Times New Roman"/>
      <w:i/>
      <w:iCs/>
      <w:sz w:val="22"/>
      <w:szCs w:val="22"/>
      <w:lang w:val="en-GB"/>
    </w:rPr>
  </w:style>
  <w:style w:type="character" w:styleId="PageNumber">
    <w:name w:val="page number"/>
    <w:basedOn w:val="DefaultParagraphFont"/>
    <w:rPr>
      <w:rFonts w:ascii="Times New Roman" w:hAnsi="Times New Roman" w:cs="Times New Roman"/>
      <w:sz w:val="22"/>
      <w:szCs w:val="22"/>
    </w:rPr>
  </w:style>
  <w:style w:type="paragraph" w:customStyle="1" w:styleId="Para1">
    <w:name w:val="Para1"/>
    <w:basedOn w:val="Normal"/>
    <w:pPr>
      <w:numPr>
        <w:numId w:val="4"/>
      </w:numPr>
      <w:tabs>
        <w:tab w:val="clear" w:pos="360"/>
      </w:tabs>
      <w:spacing w:before="120" w:after="120"/>
    </w:pPr>
  </w:style>
  <w:style w:type="paragraph" w:customStyle="1" w:styleId="Para2">
    <w:name w:val="Para2"/>
    <w:basedOn w:val="Para1"/>
    <w:pPr>
      <w:numPr>
        <w:numId w:val="0"/>
      </w:numPr>
      <w:autoSpaceDE w:val="0"/>
      <w:autoSpaceDN w:val="0"/>
    </w:pPr>
  </w:style>
  <w:style w:type="paragraph" w:customStyle="1" w:styleId="Para3">
    <w:name w:val="Para3"/>
    <w:basedOn w:val="Normal"/>
    <w:pPr>
      <w:numPr>
        <w:ilvl w:val="3"/>
        <w:numId w:val="5"/>
      </w:numPr>
      <w:tabs>
        <w:tab w:val="left" w:pos="1980"/>
      </w:tabs>
      <w:spacing w:before="80" w:after="80"/>
    </w:pPr>
  </w:style>
  <w:style w:type="paragraph" w:customStyle="1" w:styleId="para4">
    <w:name w:val="para4"/>
    <w:basedOn w:val="Normal"/>
    <w:pPr>
      <w:overflowPunct w:val="0"/>
      <w:autoSpaceDE w:val="0"/>
      <w:autoSpaceDN w:val="0"/>
      <w:adjustRightInd w:val="0"/>
      <w:spacing w:after="120" w:line="240" w:lineRule="atLeast"/>
      <w:textAlignment w:val="baseline"/>
    </w:pPr>
    <w:rPr>
      <w:color w:val="000000"/>
      <w:sz w:val="20"/>
      <w:szCs w:val="20"/>
    </w:r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pPr>
      <w:spacing w:before="120" w:after="120"/>
      <w:ind w:left="720" w:right="720"/>
    </w:pPr>
  </w:style>
  <w:style w:type="paragraph" w:customStyle="1" w:styleId="recommendationheader">
    <w:name w:val="recommendation header"/>
    <w:basedOn w:val="Heading2"/>
  </w:style>
  <w:style w:type="paragraph" w:customStyle="1" w:styleId="recommendationheaderlong">
    <w:name w:val="recommendation header long"/>
    <w:basedOn w:val="Heading2longmultiline"/>
  </w:style>
  <w:style w:type="paragraph" w:customStyle="1" w:styleId="reference">
    <w:name w:val="reference"/>
    <w:basedOn w:val="Heading9"/>
    <w:rPr>
      <w:i w:val="0"/>
      <w:iCs w:val="0"/>
      <w:sz w:val="18"/>
      <w:szCs w:val="18"/>
    </w:rPr>
  </w:style>
  <w:style w:type="character" w:customStyle="1" w:styleId="StyleFootnoteReferenceNounderline">
    <w:name w:val="Style Footnote Reference + No underline"/>
    <w:rPr>
      <w:sz w:val="18"/>
      <w:szCs w:val="18"/>
      <w:u w:val="none"/>
      <w:vertAlign w:val="baseline"/>
    </w:rPr>
  </w:style>
  <w:style w:type="paragraph" w:customStyle="1" w:styleId="tabletitle">
    <w:name w:val="table title"/>
    <w:basedOn w:val="Heading2"/>
    <w:pPr>
      <w:jc w:val="left"/>
      <w:outlineLvl w:val="9"/>
    </w:pPr>
    <w:rPr>
      <w:i/>
      <w:iCs/>
    </w:rPr>
  </w:style>
  <w:style w:type="paragraph" w:styleId="TOAHeading">
    <w:name w:val="toa heading"/>
    <w:basedOn w:val="Normal"/>
    <w:next w:val="Normal"/>
    <w:semiHidden/>
    <w:pPr>
      <w:spacing w:before="120"/>
    </w:pPr>
    <w:rPr>
      <w:b/>
      <w:bCs/>
      <w:sz w:val="24"/>
      <w:szCs w:val="24"/>
    </w:r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lang w:val="en-US"/>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styleId="TOC9">
    <w:name w:val="toc 9"/>
    <w:basedOn w:val="Normal"/>
    <w:next w:val="Normal"/>
    <w:autoRedefine/>
    <w:semiHidden/>
    <w:pPr>
      <w:spacing w:before="120" w:after="120"/>
      <w:ind w:left="1760"/>
      <w:jc w:val="left"/>
    </w:pPr>
  </w:style>
  <w:style w:type="character" w:styleId="Hyperlink">
    <w:name w:val="Hyperlink"/>
    <w:basedOn w:val="DefaultParagraphFont"/>
    <w:rPr>
      <w:color w:val="0000FF"/>
      <w:sz w:val="18"/>
      <w:szCs w:val="18"/>
      <w:u w:val="single"/>
    </w:rPr>
  </w:style>
  <w:style w:type="character" w:customStyle="1" w:styleId="Para1Char">
    <w:name w:val="Para1 Char"/>
    <w:locked/>
    <w:rPr>
      <w:rFonts w:ascii="Times New Roman" w:hAnsi="Times New Roman" w:cs="Times New Roman"/>
      <w:snapToGrid w:val="0"/>
      <w:sz w:val="18"/>
      <w:szCs w:val="18"/>
      <w:lang w:val="en-GB"/>
    </w:rPr>
  </w:style>
  <w:style w:type="paragraph" w:customStyle="1" w:styleId="CBD-Doc-Type">
    <w:name w:val="CBD-Doc-Type"/>
    <w:basedOn w:val="Normal"/>
    <w:pPr>
      <w:keepLines/>
      <w:spacing w:before="240" w:after="120"/>
    </w:pPr>
    <w:rPr>
      <w:b/>
      <w:bCs/>
      <w:i/>
      <w:iCs/>
      <w:sz w:val="24"/>
      <w:szCs w:val="24"/>
    </w:rPr>
  </w:style>
  <w:style w:type="paragraph" w:customStyle="1" w:styleId="CBD-Doc">
    <w:name w:val="CBD-Doc"/>
    <w:basedOn w:val="Normal"/>
    <w:pPr>
      <w:keepLines/>
      <w:numPr>
        <w:numId w:val="9"/>
      </w:numPr>
      <w:spacing w:after="120"/>
    </w:pPr>
  </w:style>
  <w:style w:type="paragraph" w:customStyle="1"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pPr>
      <w:ind w:left="720"/>
    </w:pPr>
  </w:style>
  <w:style w:type="paragraph" w:styleId="Caption">
    <w:name w:val="caption"/>
    <w:basedOn w:val="Normal"/>
    <w:next w:val="Normal"/>
    <w:qFormat/>
    <w:pPr>
      <w:keepNext/>
      <w:keepLines/>
      <w:spacing w:after="200"/>
    </w:pPr>
    <w:rPr>
      <w:b/>
      <w:bCs/>
    </w:rPr>
  </w:style>
  <w:style w:type="paragraph" w:customStyle="1" w:styleId="Style1">
    <w:name w:val="Style1"/>
    <w:basedOn w:val="Heading2"/>
    <w:rPr>
      <w:i/>
      <w:iCs/>
    </w:rPr>
  </w:style>
  <w:style w:type="paragraph" w:customStyle="1" w:styleId="BVIfnrChar">
    <w:name w:val="BVI fnr Char"/>
    <w:aliases w:val="BVI fnr Car Car Char,BVI fnr Car Char,BVI fnr Car Car Car Car Char Char,BVI fnr Car Car Car Car Char,BVI fnr Car Car Car Char,BVI fnr Car Car Car Car Car Char"/>
    <w:basedOn w:val="Normal"/>
    <w:pPr>
      <w:spacing w:after="160" w:line="240" w:lineRule="exact"/>
      <w:jc w:val="left"/>
    </w:pPr>
    <w:rPr>
      <w:vertAlign w:val="superscript"/>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ocked/>
    <w:rPr>
      <w:rFonts w:ascii="Times New Roman" w:hAnsi="Times New Roman" w:cs="Times New Roman"/>
      <w:sz w:val="22"/>
      <w:szCs w:val="22"/>
      <w:lang w:val="en-GB"/>
    </w:rPr>
  </w:style>
  <w:style w:type="paragraph" w:styleId="Revision">
    <w:name w:val="Revision"/>
    <w:hidden/>
    <w:semiHidden/>
    <w:rPr>
      <w:rFonts w:eastAsia="MS Mincho" w:cs="Times New Roman"/>
      <w:snapToGrid w:val="0"/>
      <w:sz w:val="22"/>
      <w:szCs w:val="22"/>
      <w:lang w:val="en-GB" w:eastAsia="ko-KR"/>
    </w:rPr>
  </w:style>
  <w:style w:type="paragraph" w:styleId="CommentSubject">
    <w:name w:val="annotation subject"/>
    <w:basedOn w:val="CommentText"/>
    <w:next w:val="CommentText"/>
    <w:semiHidden/>
    <w:pPr>
      <w:spacing w:after="0" w:line="240" w:lineRule="auto"/>
    </w:pPr>
    <w:rPr>
      <w:b/>
      <w:bCs/>
      <w:sz w:val="20"/>
      <w:szCs w:val="20"/>
    </w:rPr>
  </w:style>
  <w:style w:type="character" w:customStyle="1" w:styleId="CommentSubjectChar">
    <w:name w:val="Comment Subject Char"/>
    <w:basedOn w:val="CommentTextChar"/>
    <w:semiHidden/>
    <w:locked/>
    <w:rPr>
      <w:b/>
      <w:bCs/>
      <w:sz w:val="20"/>
      <w:szCs w:val="20"/>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decisions/np-mop-03/np-mop-03-dec-15-es.pdf" TargetMode="External"/><Relationship Id="rId1" Type="http://schemas.openxmlformats.org/officeDocument/2006/relationships/hyperlink" Target="https://www.thegef.org/sites/default/files/documents/2022-04/GEF_R.08_29_Rev.01_GEF8_Programming_Direc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1022</Words>
  <Characters>5491</Characters>
  <Application>Microsoft Office Word</Application>
  <DocSecurity>0</DocSecurity>
  <Lines>99</Lines>
  <Paragraphs>42</Paragraphs>
  <ScaleCrop>false</ScaleCrop>
  <HeadingPairs>
    <vt:vector size="2" baseType="variant">
      <vt:variant>
        <vt:lpstr>Title</vt:lpstr>
      </vt:variant>
      <vt:variant>
        <vt:i4>1</vt:i4>
      </vt:variant>
    </vt:vector>
  </HeadingPairs>
  <TitlesOfParts>
    <vt:vector size="1" baseType="lpstr">
      <vt:lpstr>NP-4/8.	Financial mechanism and resources (Article 25)</vt:lpstr>
    </vt:vector>
  </TitlesOfParts>
  <Company>SCBD</Company>
  <LinksUpToDate>false</LinksUpToDate>
  <CharactersWithSpaces>6471</CharactersWithSpaces>
  <SharedDoc>false</SharedDoc>
  <HLinks>
    <vt:vector size="12" baseType="variant">
      <vt:variant>
        <vt:i4>7405613</vt:i4>
      </vt:variant>
      <vt:variant>
        <vt:i4>3</vt:i4>
      </vt:variant>
      <vt:variant>
        <vt:i4>0</vt:i4>
      </vt:variant>
      <vt:variant>
        <vt:i4>5</vt:i4>
      </vt:variant>
      <vt:variant>
        <vt:lpwstr>https://www.cbd.int/doc/decisions/np-mop-03/np-mop-03-dec-15-es.pdf</vt:lpwstr>
      </vt:variant>
      <vt:variant>
        <vt:lpwstr/>
      </vt:variant>
      <vt:variant>
        <vt:i4>7077984</vt:i4>
      </vt:variant>
      <vt:variant>
        <vt:i4>0</vt:i4>
      </vt:variant>
      <vt:variant>
        <vt:i4>0</vt:i4>
      </vt:variant>
      <vt:variant>
        <vt:i4>5</vt:i4>
      </vt:variant>
      <vt:variant>
        <vt:lpwstr>https://www.thegef.org/sites/default/files/documents/2022-04/GEF_R.08_29_Rev.01_GEF8_Programming_Directions.pdf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NP-4/8.	Financial mechanism and resources (Article 25)</dc:title>
  <dc:subject>CBD/NP/MOP/DEC/4/8</dc:subject>
  <dc:creator>SCBD</dc:creator>
  <cp:keywords>Decision adopted by the Parties to the Nagoya Protocol on Access and Benefit-sharing</cp:keywords>
  <cp:lastModifiedBy>Laura Perez</cp:lastModifiedBy>
  <cp:revision>3</cp:revision>
  <cp:lastPrinted>2020-01-21T16:56:00Z</cp:lastPrinted>
  <dcterms:created xsi:type="dcterms:W3CDTF">2023-02-21T22:01:00Z</dcterms:created>
  <dcterms:modified xsi:type="dcterms:W3CDTF">2023-02-21T22:35:00Z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