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4A64C20A" w14:textId="77777777" w:rsidTr="009C2DE6">
        <w:trPr>
          <w:trHeight w:val="851"/>
        </w:trPr>
        <w:tc>
          <w:tcPr>
            <w:tcW w:w="976" w:type="dxa"/>
            <w:tcBorders>
              <w:bottom w:val="single" w:sz="12" w:space="0" w:color="auto"/>
            </w:tcBorders>
          </w:tcPr>
          <w:p w14:paraId="4A64C207" w14:textId="77777777" w:rsidR="00C9161D" w:rsidRPr="00321985" w:rsidRDefault="00C9161D" w:rsidP="00321985">
            <w:r>
              <w:rPr>
                <w:noProof/>
                <w:lang w:val="es-ES_tradnl" w:eastAsia="es-ES_tradnl"/>
              </w:rPr>
              <w:drawing>
                <wp:inline distT="0" distB="0" distL="0" distR="0" wp14:anchorId="4A64C235" wp14:editId="4A64C23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A64C208" w14:textId="77777777" w:rsidR="00FA663B" w:rsidRPr="00321985" w:rsidRDefault="005626E0" w:rsidP="00321985">
            <w:r w:rsidRPr="005626E0">
              <w:rPr>
                <w:noProof/>
                <w:snapToGrid w:val="0"/>
                <w:lang w:val="es-ES_tradnl" w:eastAsia="es-ES_tradnl"/>
              </w:rPr>
              <w:drawing>
                <wp:inline distT="0" distB="0" distL="0" distR="0" wp14:anchorId="4A64C237" wp14:editId="4A64C238">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4A64C209"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4A64C215" w14:textId="77777777" w:rsidTr="00CF1848">
        <w:tc>
          <w:tcPr>
            <w:tcW w:w="6117" w:type="dxa"/>
            <w:gridSpan w:val="2"/>
            <w:tcBorders>
              <w:top w:val="single" w:sz="12" w:space="0" w:color="auto"/>
              <w:bottom w:val="single" w:sz="36" w:space="0" w:color="auto"/>
            </w:tcBorders>
            <w:vAlign w:val="center"/>
          </w:tcPr>
          <w:p w14:paraId="4A64C20B" w14:textId="77777777" w:rsidR="00C9161D" w:rsidRDefault="005626E0" w:rsidP="00C9161D">
            <w:r w:rsidRPr="003D4111">
              <w:rPr>
                <w:noProof/>
                <w:snapToGrid w:val="0"/>
                <w:kern w:val="22"/>
                <w:lang w:val="es-ES_tradnl" w:eastAsia="es-ES_tradnl"/>
              </w:rPr>
              <w:drawing>
                <wp:inline distT="0" distB="0" distL="0" distR="0" wp14:anchorId="4A64C239" wp14:editId="4A64C23A">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4A64C20C" w14:textId="77777777" w:rsidR="00C9161D" w:rsidRPr="00C9161D" w:rsidRDefault="00C9161D" w:rsidP="00176CEE">
            <w:pPr>
              <w:ind w:left="1215"/>
              <w:rPr>
                <w:szCs w:val="22"/>
              </w:rPr>
            </w:pPr>
            <w:r w:rsidRPr="00C9161D">
              <w:rPr>
                <w:szCs w:val="22"/>
              </w:rPr>
              <w:t>Distr.</w:t>
            </w:r>
          </w:p>
          <w:p w14:paraId="4A64C20D" w14:textId="48C0FB72" w:rsidR="00C9161D" w:rsidRPr="00C9161D" w:rsidRDefault="00F2609D" w:rsidP="00176CEE">
            <w:pPr>
              <w:ind w:left="1215"/>
              <w:rPr>
                <w:szCs w:val="22"/>
              </w:rPr>
            </w:pPr>
            <w:r>
              <w:rPr>
                <w:caps/>
                <w:szCs w:val="22"/>
              </w:rPr>
              <w:t>GENERAL</w:t>
            </w:r>
          </w:p>
          <w:p w14:paraId="4A64C20E" w14:textId="77777777" w:rsidR="00C9161D" w:rsidRPr="00C9161D" w:rsidRDefault="00C9161D" w:rsidP="00176CEE">
            <w:pPr>
              <w:ind w:left="1215"/>
              <w:rPr>
                <w:szCs w:val="22"/>
              </w:rPr>
            </w:pPr>
          </w:p>
          <w:p w14:paraId="4A64C20F" w14:textId="565AC2CF" w:rsidR="00C9161D" w:rsidRPr="00C9161D" w:rsidRDefault="00E1490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A72299">
                  <w:rPr>
                    <w:lang w:val="en-US"/>
                  </w:rPr>
                  <w:t>CBD/</w:t>
                </w:r>
                <w:r w:rsidR="00BA33A0" w:rsidRPr="00A72299">
                  <w:rPr>
                    <w:lang w:val="en-US"/>
                  </w:rPr>
                  <w:t>N</w:t>
                </w:r>
                <w:r w:rsidR="005E0ED3" w:rsidRPr="00A72299">
                  <w:rPr>
                    <w:lang w:val="en-US"/>
                  </w:rPr>
                  <w:t>P/MOP/</w:t>
                </w:r>
                <w:r w:rsidR="00F2609D">
                  <w:rPr>
                    <w:lang w:val="en-US"/>
                  </w:rPr>
                  <w:t>DEC/4/8</w:t>
                </w:r>
              </w:sdtContent>
            </w:sdt>
          </w:p>
          <w:p w14:paraId="4A64C210" w14:textId="2E7B309D" w:rsidR="00C9161D" w:rsidRPr="00C9161D" w:rsidRDefault="00F2609D" w:rsidP="00176CEE">
            <w:pPr>
              <w:ind w:left="1215"/>
              <w:rPr>
                <w:szCs w:val="22"/>
              </w:rPr>
            </w:pPr>
            <w:r>
              <w:rPr>
                <w:szCs w:val="22"/>
                <w:lang w:val="en-US"/>
              </w:rPr>
              <w:t>1</w:t>
            </w:r>
            <w:r w:rsidR="00EF7376">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4A64C211" w14:textId="77777777" w:rsidR="00C9161D" w:rsidRPr="00C9161D" w:rsidRDefault="00C9161D" w:rsidP="00176CEE">
            <w:pPr>
              <w:ind w:left="1215"/>
              <w:rPr>
                <w:szCs w:val="22"/>
              </w:rPr>
            </w:pPr>
          </w:p>
          <w:p w14:paraId="4A64C212" w14:textId="77777777" w:rsidR="005626E0" w:rsidRPr="005626E0" w:rsidRDefault="005626E0" w:rsidP="00176CEE">
            <w:pPr>
              <w:ind w:left="1215"/>
              <w:rPr>
                <w:szCs w:val="22"/>
                <w:lang w:val="ru-RU"/>
              </w:rPr>
            </w:pPr>
            <w:r>
              <w:rPr>
                <w:szCs w:val="22"/>
                <w:lang w:val="en-US"/>
              </w:rPr>
              <w:t>RUSSIAN</w:t>
            </w:r>
          </w:p>
          <w:p w14:paraId="4A64C213"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4A64C214" w14:textId="77777777" w:rsidR="00C9161D" w:rsidRDefault="00C9161D"/>
        </w:tc>
      </w:tr>
    </w:tbl>
    <w:p w14:paraId="4A64C216" w14:textId="77777777" w:rsidR="003B7BB2" w:rsidRPr="003543B4" w:rsidRDefault="003543B4" w:rsidP="00BA33A0">
      <w:pPr>
        <w:pStyle w:val="Cornernotation"/>
        <w:kinsoku w:val="0"/>
        <w:overflowPunct w:val="0"/>
        <w:autoSpaceDE w:val="0"/>
        <w:autoSpaceDN w:val="0"/>
        <w:spacing w:before="60"/>
        <w:ind w:left="227" w:right="3792" w:hanging="227"/>
        <w:rPr>
          <w:snapToGrid w:val="0"/>
          <w:kern w:val="22"/>
          <w:lang w:val="ru-RU"/>
        </w:rPr>
      </w:pPr>
      <w:r w:rsidRPr="003543B4">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A64C217" w14:textId="77777777" w:rsidR="003543B4" w:rsidRPr="003543B4" w:rsidRDefault="003543B4" w:rsidP="003543B4">
      <w:pPr>
        <w:pStyle w:val="Cornernotation"/>
        <w:ind w:left="227" w:hanging="227"/>
        <w:rPr>
          <w:snapToGrid w:val="0"/>
          <w:kern w:val="22"/>
          <w:lang w:val="ru-RU"/>
        </w:rPr>
      </w:pPr>
      <w:r w:rsidRPr="003543B4">
        <w:rPr>
          <w:snapToGrid w:val="0"/>
          <w:kern w:val="22"/>
          <w:lang w:val="ru-RU"/>
        </w:rPr>
        <w:t xml:space="preserve">Четвертое совещание, часть </w:t>
      </w:r>
      <w:r w:rsidRPr="003543B4">
        <w:rPr>
          <w:snapToGrid w:val="0"/>
          <w:kern w:val="22"/>
        </w:rPr>
        <w:t>II</w:t>
      </w:r>
    </w:p>
    <w:p w14:paraId="4A64C218" w14:textId="77777777" w:rsidR="003B7BB2" w:rsidRPr="003543B4" w:rsidRDefault="003543B4" w:rsidP="003543B4">
      <w:pPr>
        <w:pStyle w:val="Cornernotation"/>
        <w:kinsoku w:val="0"/>
        <w:overflowPunct w:val="0"/>
        <w:autoSpaceDE w:val="0"/>
        <w:autoSpaceDN w:val="0"/>
        <w:ind w:left="227" w:right="3792" w:hanging="227"/>
        <w:rPr>
          <w:snapToGrid w:val="0"/>
          <w:kern w:val="22"/>
          <w:szCs w:val="22"/>
          <w:lang w:val="ru-RU" w:eastAsia="nb-NO"/>
        </w:rPr>
      </w:pPr>
      <w:r w:rsidRPr="003543B4">
        <w:rPr>
          <w:snapToGrid w:val="0"/>
          <w:kern w:val="22"/>
          <w:lang w:val="ru-RU"/>
        </w:rPr>
        <w:t>Монреаль, Канада, 7-19 декабря 2022 года</w:t>
      </w:r>
    </w:p>
    <w:p w14:paraId="4A64C219" w14:textId="77777777" w:rsidR="00C9161D" w:rsidRDefault="003543B4" w:rsidP="00BA33A0">
      <w:pPr>
        <w:ind w:right="3792"/>
        <w:rPr>
          <w:snapToGrid w:val="0"/>
          <w:kern w:val="22"/>
          <w:szCs w:val="22"/>
          <w:lang w:val="ru-RU"/>
        </w:rPr>
      </w:pPr>
      <w:r>
        <w:rPr>
          <w:snapToGrid w:val="0"/>
          <w:kern w:val="22"/>
          <w:szCs w:val="22"/>
          <w:lang w:val="ru-RU"/>
        </w:rPr>
        <w:t>Пункт</w:t>
      </w:r>
      <w:r w:rsidR="00134846" w:rsidRPr="003543B4">
        <w:rPr>
          <w:snapToGrid w:val="0"/>
          <w:kern w:val="22"/>
          <w:szCs w:val="22"/>
          <w:lang w:val="ru-RU"/>
        </w:rPr>
        <w:t xml:space="preserve"> </w:t>
      </w:r>
      <w:r w:rsidR="00F2228C">
        <w:rPr>
          <w:snapToGrid w:val="0"/>
          <w:kern w:val="22"/>
          <w:szCs w:val="22"/>
          <w:lang w:val="ru-RU"/>
        </w:rPr>
        <w:t>7</w:t>
      </w:r>
      <w:r w:rsidR="00134846" w:rsidRPr="003543B4">
        <w:rPr>
          <w:snapToGrid w:val="0"/>
          <w:kern w:val="22"/>
          <w:szCs w:val="22"/>
          <w:lang w:val="ru-RU"/>
        </w:rPr>
        <w:t xml:space="preserve"> </w:t>
      </w:r>
      <w:r>
        <w:rPr>
          <w:snapToGrid w:val="0"/>
          <w:kern w:val="22"/>
          <w:szCs w:val="22"/>
          <w:lang w:val="ru-RU"/>
        </w:rPr>
        <w:t>повестки дня</w:t>
      </w:r>
    </w:p>
    <w:p w14:paraId="3B64A05F" w14:textId="2DD52BC2" w:rsidR="00EF1534" w:rsidRPr="002B0C32" w:rsidRDefault="002B0C32" w:rsidP="00EF1534">
      <w:pPr>
        <w:spacing w:before="240" w:after="240"/>
        <w:jc w:val="center"/>
        <w:rPr>
          <w:rFonts w:ascii="Times New Roman Bold" w:hAnsi="Times New Roman Bold"/>
          <w:bCs/>
          <w:caps/>
          <w:lang w:val="ru-RU"/>
        </w:rPr>
      </w:pPr>
      <w:r w:rsidRPr="002B0C32">
        <w:rPr>
          <w:rFonts w:ascii="Times New Roman Bold" w:hAnsi="Times New Roman Bold"/>
          <w:b/>
          <w:bCs/>
          <w:caps/>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1E694005" w14:textId="457471C5" w:rsidR="00EF1534" w:rsidRPr="00EF1534" w:rsidRDefault="00EF1534" w:rsidP="00EF1534">
      <w:pPr>
        <w:spacing w:before="240" w:after="240"/>
        <w:ind w:left="1526" w:hanging="1094"/>
        <w:jc w:val="center"/>
        <w:outlineLvl w:val="1"/>
        <w:rPr>
          <w:b/>
          <w:caps/>
          <w:lang w:val="ru-RU"/>
        </w:rPr>
      </w:pPr>
      <w:sdt>
        <w:sdtPr>
          <w:rPr>
            <w:rFonts w:ascii="Times New Roman Bold" w:hAnsi="Times New Roman Bold"/>
            <w:kern w:val="22"/>
            <w:szCs w:val="22"/>
            <w:lang w:val="ru-RU"/>
          </w:rPr>
          <w:alias w:val="Title"/>
          <w:id w:val="772832786"/>
          <w:placeholder>
            <w:docPart w:val="E1EA865236034002AD810FDC41F4A8C7"/>
          </w:placeholder>
          <w:dataBinding w:prefixMappings="xmlns:ns0='http://purl.org/dc/elements/1.1/' xmlns:ns1='http://schemas.openxmlformats.org/package/2006/metadata/core-properties' " w:xpath="/ns1:coreProperties[1]/ns0:title[1]" w:storeItemID="{6C3C8BC8-F283-45AE-878A-BAB7291924A1}"/>
          <w:text/>
        </w:sdtPr>
        <w:sdtContent>
          <w:r w:rsidRPr="00EF1534">
            <w:rPr>
              <w:rFonts w:ascii="Times New Roman Bold" w:hAnsi="Times New Roman Bold"/>
              <w:kern w:val="22"/>
              <w:szCs w:val="22"/>
              <w:lang w:val="ru-RU"/>
            </w:rPr>
            <w:t>NP-4/8.</w:t>
          </w:r>
          <w:r w:rsidRPr="00EF1534">
            <w:rPr>
              <w:rFonts w:ascii="Times New Roman Bold" w:hAnsi="Times New Roman Bold"/>
              <w:kern w:val="22"/>
              <w:szCs w:val="22"/>
              <w:lang w:val="ru-RU"/>
            </w:rPr>
            <w:tab/>
            <w:t>Механизм финансирования и финансовые ресурсы (статья 25)</w:t>
          </w:r>
        </w:sdtContent>
      </w:sdt>
    </w:p>
    <w:p w14:paraId="4A64C21C" w14:textId="77777777" w:rsidR="00F2228C" w:rsidRPr="00AF3DBD" w:rsidRDefault="00F2228C" w:rsidP="00F2228C">
      <w:pPr>
        <w:pStyle w:val="ListParagraph"/>
        <w:suppressLineNumbers/>
        <w:suppressAutoHyphens/>
        <w:kinsoku w:val="0"/>
        <w:overflowPunct w:val="0"/>
        <w:autoSpaceDE w:val="0"/>
        <w:autoSpaceDN w:val="0"/>
        <w:snapToGrid w:val="0"/>
        <w:spacing w:before="240" w:after="240" w:line="480" w:lineRule="auto"/>
        <w:ind w:left="0"/>
        <w:jc w:val="center"/>
        <w:outlineLvl w:val="1"/>
        <w:rPr>
          <w:b/>
          <w:bCs/>
          <w:lang w:val="ru-RU"/>
        </w:rPr>
      </w:pPr>
      <w:bookmarkStart w:id="0" w:name="_Toc118407977"/>
      <w:r>
        <w:rPr>
          <w:b/>
          <w:bCs/>
        </w:rPr>
        <w:t>A</w:t>
      </w:r>
      <w:r w:rsidRPr="00AF3DBD">
        <w:rPr>
          <w:b/>
          <w:bCs/>
          <w:lang w:val="ru-RU"/>
        </w:rPr>
        <w:t>.</w:t>
      </w:r>
      <w:r w:rsidRPr="00AF3DBD">
        <w:rPr>
          <w:b/>
          <w:bCs/>
          <w:lang w:val="ru-RU"/>
        </w:rPr>
        <w:tab/>
      </w:r>
      <w:bookmarkEnd w:id="0"/>
      <w:r>
        <w:rPr>
          <w:b/>
          <w:bCs/>
          <w:lang w:val="ru-RU"/>
        </w:rPr>
        <w:t>Механизм финансирования</w:t>
      </w:r>
    </w:p>
    <w:p w14:paraId="4A64C21D" w14:textId="77777777" w:rsidR="00F2228C" w:rsidRPr="00AF3DBD" w:rsidRDefault="00F2228C" w:rsidP="00F2228C">
      <w:pPr>
        <w:pStyle w:val="ListParagraph"/>
        <w:suppressLineNumbers/>
        <w:suppressAutoHyphens/>
        <w:kinsoku w:val="0"/>
        <w:overflowPunct w:val="0"/>
        <w:autoSpaceDE w:val="0"/>
        <w:autoSpaceDN w:val="0"/>
        <w:snapToGrid w:val="0"/>
        <w:spacing w:before="120"/>
        <w:ind w:left="0" w:firstLine="720"/>
        <w:contextualSpacing w:val="0"/>
        <w:rPr>
          <w:rFonts w:asciiTheme="majorBidi" w:hAnsiTheme="majorBidi" w:cstheme="majorBidi"/>
          <w:i/>
          <w:iCs/>
          <w:lang w:val="ru-RU"/>
        </w:rPr>
      </w:pPr>
      <w:r w:rsidRPr="00AF3DBD">
        <w:rPr>
          <w:rFonts w:asciiTheme="majorBidi" w:hAnsiTheme="majorBidi" w:cstheme="majorBidi"/>
          <w:i/>
          <w:iCs/>
          <w:kern w:val="22"/>
          <w:lang w:val="ru-RU"/>
        </w:rPr>
        <w:t>Конференция Сторон, выступающая в качестве совещания Сторон Нагойского протокола,</w:t>
      </w:r>
    </w:p>
    <w:p w14:paraId="4A64C21E" w14:textId="26CE9E4E" w:rsidR="00F2228C" w:rsidRPr="00AF3DBD" w:rsidRDefault="00F2228C" w:rsidP="00F2228C">
      <w:pPr>
        <w:suppressLineNumbers/>
        <w:suppressAutoHyphens/>
        <w:kinsoku w:val="0"/>
        <w:overflowPunct w:val="0"/>
        <w:autoSpaceDE w:val="0"/>
        <w:autoSpaceDN w:val="0"/>
        <w:snapToGrid w:val="0"/>
        <w:spacing w:before="120"/>
        <w:ind w:firstLine="709"/>
        <w:rPr>
          <w:rFonts w:asciiTheme="majorBidi" w:hAnsiTheme="majorBidi" w:cstheme="majorBidi"/>
          <w:i/>
          <w:iCs/>
          <w:kern w:val="22"/>
          <w:lang w:val="ru-RU"/>
        </w:rPr>
      </w:pPr>
      <w:r>
        <w:rPr>
          <w:i/>
          <w:iCs/>
          <w:lang w:val="ru-RU"/>
        </w:rPr>
        <w:t>рассмотрев</w:t>
      </w:r>
      <w:r w:rsidRPr="00AF3DBD">
        <w:rPr>
          <w:lang w:val="ru-RU"/>
        </w:rPr>
        <w:t xml:space="preserve"> информацию об осуществлении Нагойского протокола, приведенную в докладе Совета Глобального экологического фонда, а также программные направления восьмого периода пополнения</w:t>
      </w:r>
      <w:r w:rsidR="00832B03" w:rsidRPr="00832B03">
        <w:rPr>
          <w:lang w:val="ru-RU"/>
        </w:rPr>
        <w:t xml:space="preserve"> </w:t>
      </w:r>
      <w:r w:rsidR="00832B03" w:rsidRPr="00AF3DBD">
        <w:rPr>
          <w:lang w:val="ru-RU"/>
        </w:rPr>
        <w:t>Глобального экологического фонда</w:t>
      </w:r>
      <w:r w:rsidRPr="00AF3DBD">
        <w:rPr>
          <w:vertAlign w:val="superscript"/>
          <w:lang w:val="ru-RU"/>
        </w:rPr>
        <w:footnoteReference w:id="1"/>
      </w:r>
      <w:r>
        <w:rPr>
          <w:lang w:val="ru-RU"/>
        </w:rPr>
        <w:t>,</w:t>
      </w:r>
    </w:p>
    <w:p w14:paraId="4A64C21F" w14:textId="77777777" w:rsidR="00F2228C" w:rsidRPr="00AF3DBD" w:rsidRDefault="00F2228C" w:rsidP="00F2228C">
      <w:pPr>
        <w:pStyle w:val="Para1"/>
        <w:numPr>
          <w:ilvl w:val="0"/>
          <w:numId w:val="0"/>
        </w:numPr>
        <w:ind w:firstLine="709"/>
        <w:rPr>
          <w:rFonts w:asciiTheme="majorBidi" w:hAnsiTheme="majorBidi" w:cstheme="majorBidi"/>
          <w:kern w:val="22"/>
          <w:lang w:val="ru-RU"/>
        </w:rPr>
      </w:pPr>
      <w:r w:rsidRPr="00AF3DBD">
        <w:rPr>
          <w:rFonts w:asciiTheme="majorBidi" w:hAnsiTheme="majorBidi" w:cstheme="majorBidi"/>
          <w:kern w:val="22"/>
          <w:lang w:val="ru-RU"/>
        </w:rPr>
        <w:t>1.</w:t>
      </w:r>
      <w:r w:rsidRPr="00AF3DBD">
        <w:rPr>
          <w:rFonts w:asciiTheme="majorBidi" w:hAnsiTheme="majorBidi" w:cstheme="majorBidi"/>
          <w:i/>
          <w:iCs/>
          <w:kern w:val="22"/>
          <w:lang w:val="ru-RU"/>
        </w:rPr>
        <w:tab/>
      </w:r>
      <w:r>
        <w:rPr>
          <w:rFonts w:asciiTheme="majorBidi" w:hAnsiTheme="majorBidi" w:cstheme="majorBidi"/>
          <w:i/>
          <w:iCs/>
          <w:kern w:val="22"/>
          <w:lang w:val="ru-RU"/>
        </w:rPr>
        <w:t>приветствует</w:t>
      </w:r>
      <w:r w:rsidRPr="00AF3DBD">
        <w:rPr>
          <w:rFonts w:asciiTheme="majorBidi" w:hAnsiTheme="majorBidi" w:cstheme="majorBidi"/>
          <w:kern w:val="22"/>
          <w:lang w:val="ru-RU"/>
        </w:rPr>
        <w:t xml:space="preserve"> восьмое пополнение Целевого фонда Глобального экологического фонда </w:t>
      </w:r>
      <w:r>
        <w:rPr>
          <w:rFonts w:asciiTheme="majorBidi" w:hAnsiTheme="majorBidi" w:cstheme="majorBidi"/>
          <w:kern w:val="22"/>
          <w:lang w:val="ru-RU"/>
        </w:rPr>
        <w:t>и</w:t>
      </w:r>
      <w:r w:rsidRPr="00AF3DBD">
        <w:rPr>
          <w:rFonts w:asciiTheme="majorBidi" w:hAnsiTheme="majorBidi" w:cstheme="majorBidi"/>
          <w:kern w:val="22"/>
          <w:lang w:val="ru-RU"/>
        </w:rPr>
        <w:t xml:space="preserve"> </w:t>
      </w:r>
      <w:r>
        <w:rPr>
          <w:rFonts w:asciiTheme="majorBidi" w:hAnsiTheme="majorBidi" w:cstheme="majorBidi"/>
          <w:kern w:val="22"/>
          <w:lang w:val="ru-RU"/>
        </w:rPr>
        <w:t>поддержку</w:t>
      </w:r>
      <w:r w:rsidRPr="00AF3DBD">
        <w:rPr>
          <w:rFonts w:asciiTheme="majorBidi" w:hAnsiTheme="majorBidi" w:cstheme="majorBidi"/>
          <w:kern w:val="22"/>
          <w:lang w:val="ru-RU"/>
        </w:rPr>
        <w:t xml:space="preserve">, </w:t>
      </w:r>
      <w:r>
        <w:rPr>
          <w:rFonts w:asciiTheme="majorBidi" w:hAnsiTheme="majorBidi" w:cstheme="majorBidi"/>
          <w:kern w:val="22"/>
          <w:lang w:val="ru-RU"/>
        </w:rPr>
        <w:t>которую</w:t>
      </w:r>
      <w:r w:rsidRPr="00AF3DBD">
        <w:rPr>
          <w:rFonts w:asciiTheme="majorBidi" w:hAnsiTheme="majorBidi" w:cstheme="majorBidi"/>
          <w:kern w:val="22"/>
          <w:lang w:val="ru-RU"/>
        </w:rPr>
        <w:t xml:space="preserve"> </w:t>
      </w:r>
      <w:r>
        <w:rPr>
          <w:rFonts w:asciiTheme="majorBidi" w:hAnsiTheme="majorBidi" w:cstheme="majorBidi"/>
          <w:kern w:val="22"/>
          <w:lang w:val="ru-RU"/>
        </w:rPr>
        <w:t>оно</w:t>
      </w:r>
      <w:r w:rsidRPr="00AF3DBD">
        <w:rPr>
          <w:rFonts w:asciiTheme="majorBidi" w:hAnsiTheme="majorBidi" w:cstheme="majorBidi"/>
          <w:kern w:val="22"/>
          <w:lang w:val="ru-RU"/>
        </w:rPr>
        <w:t xml:space="preserve"> </w:t>
      </w:r>
      <w:r>
        <w:rPr>
          <w:rFonts w:asciiTheme="majorBidi" w:hAnsiTheme="majorBidi" w:cstheme="majorBidi"/>
          <w:kern w:val="22"/>
          <w:lang w:val="ru-RU"/>
        </w:rPr>
        <w:t>обеспечивает</w:t>
      </w:r>
      <w:r w:rsidRPr="00AF3DBD">
        <w:rPr>
          <w:rFonts w:asciiTheme="majorBidi" w:hAnsiTheme="majorBidi" w:cstheme="majorBidi"/>
          <w:kern w:val="22"/>
          <w:lang w:val="ru-RU"/>
        </w:rPr>
        <w:t xml:space="preserve"> </w:t>
      </w:r>
      <w:r>
        <w:rPr>
          <w:rFonts w:asciiTheme="majorBidi" w:hAnsiTheme="majorBidi" w:cstheme="majorBidi"/>
          <w:kern w:val="22"/>
          <w:lang w:val="ru-RU"/>
        </w:rPr>
        <w:t>Сторонам для осуществления Нагойского протокола,</w:t>
      </w:r>
      <w:r w:rsidRPr="00AF3DBD">
        <w:rPr>
          <w:rFonts w:asciiTheme="majorBidi" w:hAnsiTheme="majorBidi" w:cstheme="majorBidi"/>
          <w:kern w:val="22"/>
          <w:lang w:val="ru-RU"/>
        </w:rPr>
        <w:t xml:space="preserve"> и выражает свою признательность странам, внесшим вклад в седьмое пополнение;</w:t>
      </w:r>
    </w:p>
    <w:p w14:paraId="4A64C220" w14:textId="188136A0" w:rsidR="00F2228C" w:rsidRPr="00AF3DBD" w:rsidRDefault="00F2228C" w:rsidP="00F2228C">
      <w:pPr>
        <w:pStyle w:val="Para1"/>
        <w:numPr>
          <w:ilvl w:val="0"/>
          <w:numId w:val="0"/>
        </w:numPr>
        <w:ind w:firstLine="709"/>
        <w:rPr>
          <w:rFonts w:asciiTheme="majorBidi" w:hAnsiTheme="majorBidi" w:cstheme="majorBidi"/>
          <w:kern w:val="22"/>
          <w:lang w:val="ru-RU"/>
        </w:rPr>
      </w:pPr>
      <w:r w:rsidRPr="00AF3DBD">
        <w:rPr>
          <w:rFonts w:asciiTheme="majorBidi" w:hAnsiTheme="majorBidi" w:cstheme="majorBidi"/>
          <w:kern w:val="22"/>
          <w:lang w:val="ru-RU"/>
        </w:rPr>
        <w:t>2.</w:t>
      </w:r>
      <w:r w:rsidRPr="00AF3DBD">
        <w:rPr>
          <w:rFonts w:asciiTheme="majorBidi" w:hAnsiTheme="majorBidi" w:cstheme="majorBidi"/>
          <w:i/>
          <w:iCs/>
          <w:kern w:val="22"/>
          <w:lang w:val="ru-RU"/>
        </w:rPr>
        <w:tab/>
      </w:r>
      <w:r w:rsidR="00832B03">
        <w:rPr>
          <w:rFonts w:asciiTheme="majorBidi" w:hAnsiTheme="majorBidi" w:cstheme="majorBidi"/>
          <w:i/>
          <w:iCs/>
          <w:kern w:val="22"/>
          <w:lang w:val="ru-RU"/>
        </w:rPr>
        <w:t>также</w:t>
      </w:r>
      <w:r w:rsidR="00832B03" w:rsidRPr="00AF3DBD">
        <w:rPr>
          <w:rFonts w:asciiTheme="majorBidi" w:hAnsiTheme="majorBidi" w:cstheme="majorBidi"/>
          <w:kern w:val="22"/>
          <w:lang w:val="ru-RU"/>
        </w:rPr>
        <w:t xml:space="preserve"> </w:t>
      </w:r>
      <w:r w:rsidRPr="003F1828">
        <w:rPr>
          <w:rFonts w:asciiTheme="majorBidi" w:hAnsiTheme="majorBidi" w:cstheme="majorBidi"/>
          <w:i/>
          <w:iCs/>
          <w:kern w:val="22"/>
          <w:lang w:val="ru-RU"/>
        </w:rPr>
        <w:t xml:space="preserve">приветствует </w:t>
      </w:r>
      <w:r w:rsidRPr="003F1828">
        <w:rPr>
          <w:rFonts w:asciiTheme="majorBidi" w:hAnsiTheme="majorBidi" w:cstheme="majorBidi"/>
          <w:kern w:val="22"/>
          <w:lang w:val="ru-RU"/>
        </w:rPr>
        <w:t>стратегию</w:t>
      </w:r>
      <w:r w:rsidR="00E205EF" w:rsidRPr="003F1828">
        <w:rPr>
          <w:rFonts w:asciiTheme="majorBidi" w:hAnsiTheme="majorBidi" w:cstheme="majorBidi"/>
          <w:kern w:val="22"/>
          <w:lang w:val="ru-RU"/>
        </w:rPr>
        <w:t xml:space="preserve"> для</w:t>
      </w:r>
      <w:r w:rsidRPr="003F1828">
        <w:rPr>
          <w:rFonts w:asciiTheme="majorBidi" w:hAnsiTheme="majorBidi" w:cstheme="majorBidi"/>
          <w:kern w:val="22"/>
          <w:lang w:val="ru-RU"/>
        </w:rPr>
        <w:t xml:space="preserve"> целевой области по сохранению и устойчивому использованию биоразнообразия, содержащуюся в программных направлениях восьмого цикла пополнения Целевого фонда Глобального</w:t>
      </w:r>
      <w:r w:rsidRPr="00AF3DBD">
        <w:rPr>
          <w:rFonts w:asciiTheme="majorBidi" w:hAnsiTheme="majorBidi" w:cstheme="majorBidi"/>
          <w:kern w:val="22"/>
          <w:lang w:val="ru-RU"/>
        </w:rPr>
        <w:t xml:space="preserve"> экологического фонда, которая включает цель, касающуюся эффективного осуществления Нагойского протокола;</w:t>
      </w:r>
    </w:p>
    <w:p w14:paraId="4A64C221" w14:textId="01CA7599" w:rsidR="00F2228C" w:rsidRPr="00AF3DBD" w:rsidRDefault="00F2228C" w:rsidP="00F2228C">
      <w:pPr>
        <w:pStyle w:val="Para1"/>
        <w:numPr>
          <w:ilvl w:val="0"/>
          <w:numId w:val="0"/>
        </w:numPr>
        <w:ind w:firstLine="709"/>
        <w:rPr>
          <w:rFonts w:asciiTheme="majorBidi" w:hAnsiTheme="majorBidi" w:cstheme="majorBidi"/>
          <w:kern w:val="22"/>
          <w:lang w:val="ru-RU"/>
        </w:rPr>
      </w:pPr>
      <w:r w:rsidRPr="00AF3DBD">
        <w:rPr>
          <w:rFonts w:asciiTheme="majorBidi" w:hAnsiTheme="majorBidi" w:cstheme="majorBidi"/>
          <w:kern w:val="22"/>
          <w:lang w:val="ru-RU"/>
        </w:rPr>
        <w:t>3</w:t>
      </w:r>
      <w:r w:rsidRPr="00AF3DBD">
        <w:rPr>
          <w:rFonts w:asciiTheme="majorBidi" w:hAnsiTheme="majorBidi" w:cstheme="majorBidi"/>
          <w:i/>
          <w:iCs/>
          <w:kern w:val="22"/>
          <w:lang w:val="ru-RU"/>
        </w:rPr>
        <w:t>.</w:t>
      </w:r>
      <w:r w:rsidRPr="00AF3DBD">
        <w:rPr>
          <w:rFonts w:asciiTheme="majorBidi" w:hAnsiTheme="majorBidi" w:cstheme="majorBidi"/>
          <w:i/>
          <w:iCs/>
          <w:kern w:val="22"/>
          <w:lang w:val="ru-RU"/>
        </w:rPr>
        <w:tab/>
        <w:t xml:space="preserve">настоятельно призывает </w:t>
      </w:r>
      <w:r w:rsidRPr="00AF3DBD">
        <w:rPr>
          <w:rFonts w:asciiTheme="majorBidi" w:hAnsiTheme="majorBidi" w:cstheme="majorBidi"/>
          <w:kern w:val="22"/>
          <w:lang w:val="ru-RU"/>
        </w:rPr>
        <w:t>Стороны, имеющие право на получение помощи, при программировании своих национальных ассигнований</w:t>
      </w:r>
      <w:r w:rsidR="00F552A1">
        <w:rPr>
          <w:rFonts w:asciiTheme="majorBidi" w:hAnsiTheme="majorBidi" w:cstheme="majorBidi"/>
          <w:kern w:val="22"/>
          <w:lang w:val="ru-RU"/>
        </w:rPr>
        <w:t xml:space="preserve"> в составе</w:t>
      </w:r>
      <w:r w:rsidRPr="00AF3DBD">
        <w:rPr>
          <w:rFonts w:asciiTheme="majorBidi" w:hAnsiTheme="majorBidi" w:cstheme="majorBidi"/>
          <w:kern w:val="22"/>
          <w:lang w:val="ru-RU"/>
        </w:rPr>
        <w:t xml:space="preserve"> восьмого цикла пополнения в рамках Системы прозрачного распределения ресурсов отдавать приоритет проектам в области регулирования доступа к генетическим ресурсам и совместного использования выгод;</w:t>
      </w:r>
    </w:p>
    <w:p w14:paraId="4A64C222" w14:textId="77777777" w:rsidR="00F2228C" w:rsidRPr="00AF3DBD" w:rsidRDefault="00F2228C" w:rsidP="00F2228C">
      <w:pPr>
        <w:pStyle w:val="Para1"/>
        <w:numPr>
          <w:ilvl w:val="0"/>
          <w:numId w:val="0"/>
        </w:numPr>
        <w:ind w:firstLine="709"/>
        <w:rPr>
          <w:rFonts w:asciiTheme="majorBidi" w:hAnsiTheme="majorBidi" w:cstheme="majorBidi"/>
          <w:kern w:val="22"/>
          <w:lang w:val="ru-RU"/>
        </w:rPr>
      </w:pPr>
      <w:r w:rsidRPr="00AF3DBD">
        <w:rPr>
          <w:rFonts w:asciiTheme="majorBidi" w:hAnsiTheme="majorBidi" w:cstheme="majorBidi"/>
          <w:kern w:val="22"/>
          <w:lang w:val="ru-RU"/>
        </w:rPr>
        <w:t>4.</w:t>
      </w:r>
      <w:r w:rsidRPr="00AF3DBD">
        <w:rPr>
          <w:rFonts w:asciiTheme="majorBidi" w:hAnsiTheme="majorBidi" w:cstheme="majorBidi"/>
          <w:i/>
          <w:iCs/>
          <w:kern w:val="22"/>
          <w:lang w:val="ru-RU"/>
        </w:rPr>
        <w:tab/>
      </w:r>
      <w:r>
        <w:rPr>
          <w:rFonts w:asciiTheme="majorBidi" w:hAnsiTheme="majorBidi" w:cstheme="majorBidi"/>
          <w:i/>
          <w:iCs/>
          <w:kern w:val="22"/>
          <w:lang w:val="ru-RU"/>
        </w:rPr>
        <w:t>призывает</w:t>
      </w:r>
      <w:r w:rsidRPr="00AF3DBD">
        <w:rPr>
          <w:rFonts w:asciiTheme="majorBidi" w:hAnsiTheme="majorBidi" w:cstheme="majorBidi"/>
          <w:kern w:val="22"/>
          <w:lang w:val="ru-RU"/>
        </w:rPr>
        <w:t xml:space="preserve"> Стороны включать мероприятия, касающиеся регулирования доступа к генетическим ресурсам и совместного использования выгод, в проекты, разработанные в рамках </w:t>
      </w:r>
      <w:r w:rsidRPr="00AF3DBD">
        <w:rPr>
          <w:rFonts w:asciiTheme="majorBidi" w:hAnsiTheme="majorBidi" w:cstheme="majorBidi"/>
          <w:kern w:val="22"/>
          <w:lang w:val="ru-RU"/>
        </w:rPr>
        <w:lastRenderedPageBreak/>
        <w:t>других целей целевой области по сохранению и устойчивому использованию биоразнообразия, комплексных программ и соответствующих глобальных программ программных направлений восьмого цикла пополнения Целевого фонда Глобального экологического фонда;</w:t>
      </w:r>
    </w:p>
    <w:p w14:paraId="4A64C223" w14:textId="5F3EEC37" w:rsidR="00F2228C" w:rsidRPr="002E4A52" w:rsidRDefault="00F2228C" w:rsidP="00F2228C">
      <w:pPr>
        <w:pStyle w:val="Para1"/>
        <w:numPr>
          <w:ilvl w:val="0"/>
          <w:numId w:val="0"/>
        </w:numPr>
        <w:ind w:firstLine="709"/>
        <w:rPr>
          <w:rFonts w:asciiTheme="majorBidi" w:hAnsiTheme="majorBidi" w:cstheme="majorBidi"/>
          <w:kern w:val="22"/>
          <w:lang w:val="ru-RU"/>
        </w:rPr>
      </w:pPr>
      <w:r w:rsidRPr="002E4A52">
        <w:rPr>
          <w:rFonts w:asciiTheme="majorBidi" w:hAnsiTheme="majorBidi" w:cstheme="majorBidi"/>
          <w:kern w:val="22"/>
          <w:lang w:val="ru-RU"/>
        </w:rPr>
        <w:t>5.</w:t>
      </w:r>
      <w:r w:rsidRPr="002E4A52">
        <w:rPr>
          <w:rFonts w:asciiTheme="majorBidi" w:hAnsiTheme="majorBidi" w:cstheme="majorBidi"/>
          <w:kern w:val="22"/>
          <w:lang w:val="ru-RU"/>
        </w:rPr>
        <w:tab/>
      </w:r>
      <w:r>
        <w:rPr>
          <w:rFonts w:asciiTheme="majorBidi" w:hAnsiTheme="majorBidi" w:cstheme="majorBidi"/>
          <w:i/>
          <w:iCs/>
          <w:kern w:val="22"/>
          <w:lang w:val="ru-RU"/>
        </w:rPr>
        <w:t>поручает</w:t>
      </w:r>
      <w:r w:rsidRPr="002E4A52">
        <w:rPr>
          <w:rFonts w:asciiTheme="majorBidi" w:hAnsiTheme="majorBidi" w:cstheme="majorBidi"/>
          <w:kern w:val="22"/>
          <w:lang w:val="ru-RU"/>
        </w:rPr>
        <w:t xml:space="preserve"> </w:t>
      </w:r>
      <w:r>
        <w:rPr>
          <w:rFonts w:asciiTheme="majorBidi" w:hAnsiTheme="majorBidi" w:cstheme="majorBidi"/>
          <w:kern w:val="22"/>
          <w:lang w:val="ru-RU"/>
        </w:rPr>
        <w:t>Исполнительному</w:t>
      </w:r>
      <w:r w:rsidRPr="002E4A52">
        <w:rPr>
          <w:rFonts w:asciiTheme="majorBidi" w:hAnsiTheme="majorBidi" w:cstheme="majorBidi"/>
          <w:kern w:val="22"/>
          <w:lang w:val="ru-RU"/>
        </w:rPr>
        <w:t xml:space="preserve"> </w:t>
      </w:r>
      <w:r>
        <w:rPr>
          <w:rFonts w:asciiTheme="majorBidi" w:hAnsiTheme="majorBidi" w:cstheme="majorBidi"/>
          <w:kern w:val="22"/>
          <w:lang w:val="ru-RU"/>
        </w:rPr>
        <w:t>секретарю</w:t>
      </w:r>
      <w:r w:rsidRPr="002E4A52">
        <w:rPr>
          <w:rFonts w:asciiTheme="majorBidi" w:hAnsiTheme="majorBidi" w:cstheme="majorBidi"/>
          <w:kern w:val="22"/>
          <w:lang w:val="ru-RU"/>
        </w:rPr>
        <w:t xml:space="preserve"> </w:t>
      </w:r>
      <w:r>
        <w:rPr>
          <w:rFonts w:asciiTheme="majorBidi" w:hAnsiTheme="majorBidi" w:cstheme="majorBidi"/>
          <w:kern w:val="22"/>
          <w:lang w:val="ru-RU"/>
        </w:rPr>
        <w:t>предоставить</w:t>
      </w:r>
      <w:r w:rsidRPr="002E4A52">
        <w:rPr>
          <w:rFonts w:asciiTheme="majorBidi" w:hAnsiTheme="majorBidi" w:cstheme="majorBidi"/>
          <w:kern w:val="22"/>
          <w:lang w:val="ru-RU"/>
        </w:rPr>
        <w:t xml:space="preserve"> </w:t>
      </w:r>
      <w:r>
        <w:rPr>
          <w:rFonts w:asciiTheme="majorBidi" w:hAnsiTheme="majorBidi" w:cstheme="majorBidi"/>
          <w:kern w:val="22"/>
          <w:lang w:val="ru-RU"/>
        </w:rPr>
        <w:t>информацию</w:t>
      </w:r>
      <w:r w:rsidRPr="002E4A52">
        <w:rPr>
          <w:rFonts w:asciiTheme="majorBidi" w:hAnsiTheme="majorBidi" w:cstheme="majorBidi"/>
          <w:kern w:val="22"/>
          <w:lang w:val="ru-RU"/>
        </w:rPr>
        <w:t xml:space="preserve"> </w:t>
      </w:r>
      <w:r>
        <w:rPr>
          <w:rFonts w:asciiTheme="majorBidi" w:hAnsiTheme="majorBidi" w:cstheme="majorBidi"/>
          <w:kern w:val="22"/>
          <w:lang w:val="ru-RU"/>
        </w:rPr>
        <w:t>о</w:t>
      </w:r>
      <w:r w:rsidRPr="002E4A52">
        <w:rPr>
          <w:rFonts w:asciiTheme="majorBidi" w:hAnsiTheme="majorBidi" w:cstheme="majorBidi"/>
          <w:kern w:val="22"/>
          <w:lang w:val="ru-RU"/>
        </w:rPr>
        <w:t xml:space="preserve"> </w:t>
      </w:r>
      <w:r>
        <w:rPr>
          <w:rFonts w:asciiTheme="majorBidi" w:hAnsiTheme="majorBidi" w:cstheme="majorBidi"/>
          <w:kern w:val="22"/>
          <w:lang w:val="ru-RU"/>
        </w:rPr>
        <w:t>возможностях</w:t>
      </w:r>
      <w:r w:rsidRPr="002E4A52">
        <w:rPr>
          <w:rFonts w:asciiTheme="majorBidi" w:hAnsiTheme="majorBidi" w:cstheme="majorBidi"/>
          <w:kern w:val="22"/>
          <w:lang w:val="ru-RU"/>
        </w:rPr>
        <w:t xml:space="preserve"> </w:t>
      </w:r>
      <w:r>
        <w:rPr>
          <w:rFonts w:asciiTheme="majorBidi" w:hAnsiTheme="majorBidi" w:cstheme="majorBidi"/>
          <w:kern w:val="22"/>
          <w:lang w:val="ru-RU"/>
        </w:rPr>
        <w:t>финансирования</w:t>
      </w:r>
      <w:r w:rsidRPr="002E4A52">
        <w:rPr>
          <w:rFonts w:asciiTheme="majorBidi" w:hAnsiTheme="majorBidi" w:cstheme="majorBidi"/>
          <w:kern w:val="22"/>
          <w:lang w:val="ru-RU"/>
        </w:rPr>
        <w:t xml:space="preserve"> </w:t>
      </w:r>
      <w:r w:rsidR="0096064D">
        <w:rPr>
          <w:rFonts w:asciiTheme="majorBidi" w:hAnsiTheme="majorBidi" w:cstheme="majorBidi"/>
          <w:kern w:val="22"/>
          <w:lang w:val="ru-RU"/>
        </w:rPr>
        <w:t xml:space="preserve">для </w:t>
      </w:r>
      <w:r w:rsidR="0096064D" w:rsidRPr="002E4A52">
        <w:rPr>
          <w:rFonts w:asciiTheme="majorBidi" w:hAnsiTheme="majorBidi" w:cstheme="majorBidi"/>
          <w:kern w:val="22"/>
          <w:lang w:val="ru-RU"/>
        </w:rPr>
        <w:t>Сторон, имеющи</w:t>
      </w:r>
      <w:r w:rsidR="0096064D">
        <w:rPr>
          <w:rFonts w:asciiTheme="majorBidi" w:hAnsiTheme="majorBidi" w:cstheme="majorBidi"/>
          <w:kern w:val="22"/>
          <w:lang w:val="ru-RU"/>
        </w:rPr>
        <w:t>х</w:t>
      </w:r>
      <w:r w:rsidR="0096064D" w:rsidRPr="002E4A52">
        <w:rPr>
          <w:rFonts w:asciiTheme="majorBidi" w:hAnsiTheme="majorBidi" w:cstheme="majorBidi"/>
          <w:kern w:val="22"/>
          <w:lang w:val="ru-RU"/>
        </w:rPr>
        <w:t xml:space="preserve"> право на получение помощи</w:t>
      </w:r>
      <w:r w:rsidR="0096064D">
        <w:rPr>
          <w:rFonts w:asciiTheme="majorBidi" w:hAnsiTheme="majorBidi" w:cstheme="majorBidi"/>
          <w:kern w:val="22"/>
          <w:lang w:val="ru-RU"/>
        </w:rPr>
        <w:t xml:space="preserve">, </w:t>
      </w:r>
      <w:r>
        <w:rPr>
          <w:rFonts w:asciiTheme="majorBidi" w:hAnsiTheme="majorBidi" w:cstheme="majorBidi"/>
          <w:kern w:val="22"/>
          <w:lang w:val="ru-RU"/>
        </w:rPr>
        <w:t>в</w:t>
      </w:r>
      <w:r w:rsidRPr="002E4A52">
        <w:rPr>
          <w:rFonts w:asciiTheme="majorBidi" w:hAnsiTheme="majorBidi" w:cstheme="majorBidi"/>
          <w:kern w:val="22"/>
          <w:lang w:val="ru-RU"/>
        </w:rPr>
        <w:t xml:space="preserve"> </w:t>
      </w:r>
      <w:r>
        <w:rPr>
          <w:rFonts w:asciiTheme="majorBidi" w:hAnsiTheme="majorBidi" w:cstheme="majorBidi"/>
          <w:kern w:val="22"/>
          <w:lang w:val="ru-RU"/>
        </w:rPr>
        <w:t>поддержку</w:t>
      </w:r>
      <w:r w:rsidRPr="002E4A52">
        <w:rPr>
          <w:rFonts w:asciiTheme="majorBidi" w:hAnsiTheme="majorBidi" w:cstheme="majorBidi"/>
          <w:kern w:val="22"/>
          <w:lang w:val="ru-RU"/>
        </w:rPr>
        <w:t xml:space="preserve"> </w:t>
      </w:r>
      <w:r>
        <w:rPr>
          <w:rFonts w:asciiTheme="majorBidi" w:hAnsiTheme="majorBidi" w:cstheme="majorBidi"/>
          <w:kern w:val="22"/>
          <w:lang w:val="ru-RU"/>
        </w:rPr>
        <w:t>реализации</w:t>
      </w:r>
      <w:r w:rsidRPr="002E4A52">
        <w:rPr>
          <w:rFonts w:asciiTheme="majorBidi" w:hAnsiTheme="majorBidi" w:cstheme="majorBidi"/>
          <w:kern w:val="22"/>
          <w:lang w:val="ru-RU"/>
        </w:rPr>
        <w:t xml:space="preserve"> </w:t>
      </w:r>
      <w:r w:rsidRPr="00AF3DBD">
        <w:rPr>
          <w:rFonts w:asciiTheme="majorBidi" w:hAnsiTheme="majorBidi" w:cstheme="majorBidi"/>
          <w:kern w:val="22"/>
          <w:lang w:val="ru-RU"/>
        </w:rPr>
        <w:t>мероприяти</w:t>
      </w:r>
      <w:r>
        <w:rPr>
          <w:rFonts w:asciiTheme="majorBidi" w:hAnsiTheme="majorBidi" w:cstheme="majorBidi"/>
          <w:kern w:val="22"/>
          <w:lang w:val="ru-RU"/>
        </w:rPr>
        <w:t>й</w:t>
      </w:r>
      <w:r w:rsidRPr="00AF3DBD">
        <w:rPr>
          <w:rFonts w:asciiTheme="majorBidi" w:hAnsiTheme="majorBidi" w:cstheme="majorBidi"/>
          <w:kern w:val="22"/>
          <w:lang w:val="ru-RU"/>
        </w:rPr>
        <w:t>, касающи</w:t>
      </w:r>
      <w:r>
        <w:rPr>
          <w:rFonts w:asciiTheme="majorBidi" w:hAnsiTheme="majorBidi" w:cstheme="majorBidi"/>
          <w:kern w:val="22"/>
          <w:lang w:val="ru-RU"/>
        </w:rPr>
        <w:t>х</w:t>
      </w:r>
      <w:r w:rsidRPr="00AF3DBD">
        <w:rPr>
          <w:rFonts w:asciiTheme="majorBidi" w:hAnsiTheme="majorBidi" w:cstheme="majorBidi"/>
          <w:kern w:val="22"/>
          <w:lang w:val="ru-RU"/>
        </w:rPr>
        <w:t>ся регулирования доступа к генетическим ресурсам и совместного использования выгод</w:t>
      </w:r>
      <w:r>
        <w:rPr>
          <w:rFonts w:asciiTheme="majorBidi" w:hAnsiTheme="majorBidi" w:cstheme="majorBidi"/>
          <w:kern w:val="22"/>
          <w:lang w:val="ru-RU"/>
        </w:rPr>
        <w:t xml:space="preserve">, в рамках восьмого пополнения </w:t>
      </w:r>
      <w:r w:rsidRPr="00AF3DBD">
        <w:rPr>
          <w:rFonts w:asciiTheme="majorBidi" w:hAnsiTheme="majorBidi" w:cstheme="majorBidi"/>
          <w:kern w:val="22"/>
          <w:lang w:val="ru-RU"/>
        </w:rPr>
        <w:t>Целевого фонда Глобального экологического фонда</w:t>
      </w:r>
      <w:r w:rsidRPr="002E4A52">
        <w:rPr>
          <w:rFonts w:asciiTheme="majorBidi" w:hAnsiTheme="majorBidi" w:cstheme="majorBidi"/>
          <w:kern w:val="22"/>
          <w:lang w:val="ru-RU"/>
        </w:rPr>
        <w:t>;</w:t>
      </w:r>
      <w:r w:rsidR="0096064D" w:rsidRPr="0096064D">
        <w:rPr>
          <w:rFonts w:asciiTheme="majorBidi" w:hAnsiTheme="majorBidi" w:cstheme="majorBidi"/>
          <w:kern w:val="22"/>
          <w:lang w:val="ru-RU"/>
        </w:rPr>
        <w:t xml:space="preserve"> </w:t>
      </w:r>
    </w:p>
    <w:p w14:paraId="4A64C224" w14:textId="396037B6" w:rsidR="00F2228C" w:rsidRPr="00FB3281" w:rsidRDefault="00F2228C" w:rsidP="00F2228C">
      <w:pPr>
        <w:pStyle w:val="Para1"/>
        <w:numPr>
          <w:ilvl w:val="0"/>
          <w:numId w:val="0"/>
        </w:numPr>
        <w:ind w:firstLine="709"/>
        <w:rPr>
          <w:rFonts w:asciiTheme="majorBidi" w:hAnsiTheme="majorBidi" w:cstheme="majorBidi"/>
          <w:kern w:val="22"/>
          <w:lang w:val="ru-RU"/>
        </w:rPr>
      </w:pPr>
      <w:r w:rsidRPr="00FB3281">
        <w:rPr>
          <w:rFonts w:asciiTheme="majorBidi" w:hAnsiTheme="majorBidi" w:cstheme="majorBidi"/>
          <w:kern w:val="22"/>
          <w:lang w:val="ru-RU"/>
        </w:rPr>
        <w:t>6.</w:t>
      </w:r>
      <w:r w:rsidRPr="00FB3281">
        <w:rPr>
          <w:rFonts w:asciiTheme="majorBidi" w:hAnsiTheme="majorBidi" w:cstheme="majorBidi"/>
          <w:kern w:val="22"/>
          <w:lang w:val="ru-RU"/>
        </w:rPr>
        <w:tab/>
      </w:r>
      <w:r>
        <w:rPr>
          <w:rFonts w:asciiTheme="majorBidi" w:hAnsiTheme="majorBidi" w:cstheme="majorBidi"/>
          <w:i/>
          <w:iCs/>
          <w:kern w:val="22"/>
          <w:lang w:val="ru-RU"/>
        </w:rPr>
        <w:t>рекомендует</w:t>
      </w:r>
      <w:r w:rsidRPr="00FB3281">
        <w:rPr>
          <w:rFonts w:asciiTheme="majorBidi" w:hAnsiTheme="majorBidi" w:cstheme="majorBidi"/>
          <w:i/>
          <w:iCs/>
          <w:kern w:val="22"/>
          <w:lang w:val="ru-RU"/>
        </w:rPr>
        <w:t xml:space="preserve"> </w:t>
      </w:r>
      <w:r w:rsidRPr="00FB3281">
        <w:rPr>
          <w:rFonts w:asciiTheme="majorBidi" w:hAnsiTheme="majorBidi" w:cstheme="majorBidi"/>
          <w:kern w:val="22"/>
          <w:lang w:val="ru-RU"/>
        </w:rPr>
        <w:t>Конференции Сторон на ее 15-м совещании включить в ориентированную на конкретные результаты структуру определения программных приоритетов на четырехлетний период (2022-2026 гг.), охватывающую период восьмого пополнения Целевого фонда Глобального экологического фонда</w:t>
      </w:r>
      <w:r w:rsidR="0096064D">
        <w:rPr>
          <w:rFonts w:asciiTheme="majorBidi" w:hAnsiTheme="majorBidi" w:cstheme="majorBidi"/>
          <w:kern w:val="22"/>
          <w:lang w:val="ru-RU"/>
        </w:rPr>
        <w:t xml:space="preserve">, </w:t>
      </w:r>
      <w:r w:rsidR="0096064D" w:rsidRPr="00FB3281">
        <w:rPr>
          <w:rFonts w:asciiTheme="majorBidi" w:hAnsiTheme="majorBidi" w:cstheme="majorBidi"/>
          <w:kern w:val="22"/>
          <w:lang w:val="ru-RU"/>
        </w:rPr>
        <w:t>следующие элементы</w:t>
      </w:r>
      <w:r w:rsidRPr="00FB3281">
        <w:rPr>
          <w:rFonts w:asciiTheme="majorBidi" w:hAnsiTheme="majorBidi" w:cstheme="majorBidi"/>
          <w:kern w:val="22"/>
          <w:lang w:val="ru-RU"/>
        </w:rPr>
        <w:t xml:space="preserve">: </w:t>
      </w:r>
    </w:p>
    <w:p w14:paraId="4A64C225" w14:textId="77777777" w:rsidR="00F2228C" w:rsidRPr="00FB3281" w:rsidRDefault="002D4D1D" w:rsidP="00F2228C">
      <w:pPr>
        <w:pStyle w:val="Para1"/>
        <w:numPr>
          <w:ilvl w:val="0"/>
          <w:numId w:val="0"/>
        </w:numPr>
        <w:ind w:firstLine="709"/>
        <w:rPr>
          <w:rFonts w:asciiTheme="majorBidi" w:hAnsiTheme="majorBidi" w:cstheme="majorBidi"/>
          <w:kern w:val="22"/>
          <w:lang w:val="ru-RU"/>
        </w:rPr>
      </w:pPr>
      <w:r>
        <w:rPr>
          <w:lang w:val="ru-RU"/>
        </w:rPr>
        <w:t>(</w:t>
      </w:r>
      <w:r w:rsidR="00F2228C" w:rsidRPr="00DC5AB8">
        <w:t>a</w:t>
      </w:r>
      <w:r w:rsidR="00F2228C" w:rsidRPr="00FB3281">
        <w:rPr>
          <w:lang w:val="ru-RU"/>
        </w:rPr>
        <w:t xml:space="preserve">) </w:t>
      </w:r>
      <w:r w:rsidR="00F2228C" w:rsidRPr="00FB3281">
        <w:rPr>
          <w:lang w:val="ru-RU"/>
        </w:rPr>
        <w:tab/>
        <w:t>конкретные приоритеты для дальнейшего создания потенциала в поддержку осуществления Нагойского протокола</w:t>
      </w:r>
      <w:r w:rsidR="00F2228C" w:rsidRPr="00FB3281">
        <w:rPr>
          <w:vertAlign w:val="superscript"/>
          <w:lang w:val="ru-RU"/>
        </w:rPr>
        <w:footnoteReference w:id="2"/>
      </w:r>
      <w:r w:rsidR="00F2228C">
        <w:rPr>
          <w:lang w:val="ru-RU"/>
        </w:rPr>
        <w:t>;</w:t>
      </w:r>
    </w:p>
    <w:p w14:paraId="4A64C226" w14:textId="7ECC0BFF" w:rsidR="00F2228C" w:rsidRPr="00FB3281" w:rsidRDefault="002D4D1D" w:rsidP="00F2228C">
      <w:pPr>
        <w:pStyle w:val="Para1"/>
        <w:numPr>
          <w:ilvl w:val="0"/>
          <w:numId w:val="0"/>
        </w:numPr>
        <w:ind w:firstLine="709"/>
        <w:rPr>
          <w:rFonts w:asciiTheme="majorBidi" w:hAnsiTheme="majorBidi" w:cstheme="majorBidi"/>
          <w:kern w:val="22"/>
          <w:lang w:val="ru-RU"/>
        </w:rPr>
      </w:pPr>
      <w:r>
        <w:rPr>
          <w:rFonts w:asciiTheme="majorBidi" w:hAnsiTheme="majorBidi" w:cstheme="majorBidi"/>
          <w:kern w:val="22"/>
          <w:lang w:val="ru-RU"/>
        </w:rPr>
        <w:t>(</w:t>
      </w:r>
      <w:r w:rsidR="00F2228C" w:rsidRPr="00DC5AB8">
        <w:rPr>
          <w:rFonts w:asciiTheme="majorBidi" w:hAnsiTheme="majorBidi" w:cstheme="majorBidi"/>
          <w:kern w:val="22"/>
        </w:rPr>
        <w:t>b</w:t>
      </w:r>
      <w:r w:rsidR="00F2228C" w:rsidRPr="00FB3281">
        <w:rPr>
          <w:rFonts w:asciiTheme="majorBidi" w:hAnsiTheme="majorBidi" w:cstheme="majorBidi"/>
          <w:kern w:val="22"/>
          <w:lang w:val="ru-RU"/>
        </w:rPr>
        <w:t xml:space="preserve">) </w:t>
      </w:r>
      <w:r w:rsidR="00F2228C" w:rsidRPr="00FB3281">
        <w:rPr>
          <w:rFonts w:asciiTheme="majorBidi" w:hAnsiTheme="majorBidi" w:cstheme="majorBidi"/>
          <w:kern w:val="22"/>
          <w:lang w:val="ru-RU"/>
        </w:rPr>
        <w:tab/>
        <w:t>содействие интеграции и учет</w:t>
      </w:r>
      <w:r w:rsidR="00F2228C">
        <w:rPr>
          <w:rFonts w:asciiTheme="majorBidi" w:hAnsiTheme="majorBidi" w:cstheme="majorBidi"/>
          <w:kern w:val="22"/>
          <w:lang w:val="ru-RU"/>
        </w:rPr>
        <w:t>у</w:t>
      </w:r>
      <w:r w:rsidR="00F2228C" w:rsidRPr="00FB3281">
        <w:rPr>
          <w:rFonts w:asciiTheme="majorBidi" w:hAnsiTheme="majorBidi" w:cstheme="majorBidi"/>
          <w:kern w:val="22"/>
          <w:lang w:val="ru-RU"/>
        </w:rPr>
        <w:t xml:space="preserve"> вопросов регулирования доступа к генетическим ресурсам </w:t>
      </w:r>
      <w:r w:rsidR="00504D41" w:rsidRPr="00504D41">
        <w:rPr>
          <w:rFonts w:asciiTheme="majorBidi" w:hAnsiTheme="majorBidi" w:cstheme="majorBidi"/>
          <w:kern w:val="22"/>
          <w:lang w:val="ru-RU"/>
        </w:rPr>
        <w:t>и традиционным знаниям, связанным с генетическими ресурсами</w:t>
      </w:r>
      <w:r w:rsidR="00504D41">
        <w:rPr>
          <w:rFonts w:asciiTheme="majorBidi" w:hAnsiTheme="majorBidi" w:cstheme="majorBidi"/>
          <w:kern w:val="22"/>
          <w:lang w:val="ru-RU"/>
        </w:rPr>
        <w:t xml:space="preserve">, </w:t>
      </w:r>
      <w:r w:rsidR="00F2228C" w:rsidRPr="00FB3281">
        <w:rPr>
          <w:rFonts w:asciiTheme="majorBidi" w:hAnsiTheme="majorBidi" w:cstheme="majorBidi"/>
          <w:kern w:val="22"/>
          <w:lang w:val="ru-RU"/>
        </w:rPr>
        <w:t xml:space="preserve">и совместного использования выгод в </w:t>
      </w:r>
      <w:r w:rsidR="002C08A5">
        <w:rPr>
          <w:rFonts w:asciiTheme="majorBidi" w:hAnsiTheme="majorBidi" w:cstheme="majorBidi"/>
          <w:kern w:val="22"/>
          <w:lang w:val="ru-RU"/>
        </w:rPr>
        <w:t>мерах политики</w:t>
      </w:r>
      <w:r w:rsidR="00F2228C" w:rsidRPr="00FB3281">
        <w:rPr>
          <w:rFonts w:asciiTheme="majorBidi" w:hAnsiTheme="majorBidi" w:cstheme="majorBidi"/>
          <w:kern w:val="22"/>
          <w:lang w:val="ru-RU"/>
        </w:rPr>
        <w:t xml:space="preserve"> и мероприятиях, </w:t>
      </w:r>
      <w:r w:rsidR="002C08A5">
        <w:rPr>
          <w:rFonts w:asciiTheme="majorBidi" w:hAnsiTheme="majorBidi" w:cstheme="majorBidi"/>
          <w:kern w:val="22"/>
          <w:lang w:val="ru-RU"/>
        </w:rPr>
        <w:t>касающихся</w:t>
      </w:r>
      <w:r w:rsidR="00F2228C" w:rsidRPr="00FB3281">
        <w:rPr>
          <w:rFonts w:asciiTheme="majorBidi" w:hAnsiTheme="majorBidi" w:cstheme="majorBidi"/>
          <w:kern w:val="22"/>
          <w:lang w:val="ru-RU"/>
        </w:rPr>
        <w:t xml:space="preserve"> биоразнообрази</w:t>
      </w:r>
      <w:r w:rsidR="002C08A5">
        <w:rPr>
          <w:rFonts w:asciiTheme="majorBidi" w:hAnsiTheme="majorBidi" w:cstheme="majorBidi"/>
          <w:kern w:val="22"/>
          <w:lang w:val="ru-RU"/>
        </w:rPr>
        <w:t>я</w:t>
      </w:r>
      <w:r w:rsidR="00F2228C" w:rsidRPr="00FB3281">
        <w:rPr>
          <w:rFonts w:asciiTheme="majorBidi" w:hAnsiTheme="majorBidi" w:cstheme="majorBidi"/>
          <w:kern w:val="22"/>
          <w:lang w:val="ru-RU"/>
        </w:rPr>
        <w:t xml:space="preserve"> и устойчив</w:t>
      </w:r>
      <w:r w:rsidR="002C08A5">
        <w:rPr>
          <w:rFonts w:asciiTheme="majorBidi" w:hAnsiTheme="majorBidi" w:cstheme="majorBidi"/>
          <w:kern w:val="22"/>
          <w:lang w:val="ru-RU"/>
        </w:rPr>
        <w:t>ого</w:t>
      </w:r>
      <w:r w:rsidR="00F2228C" w:rsidRPr="00FB3281">
        <w:rPr>
          <w:rFonts w:asciiTheme="majorBidi" w:hAnsiTheme="majorBidi" w:cstheme="majorBidi"/>
          <w:kern w:val="22"/>
          <w:lang w:val="ru-RU"/>
        </w:rPr>
        <w:t xml:space="preserve"> развити</w:t>
      </w:r>
      <w:r w:rsidR="002C08A5">
        <w:rPr>
          <w:rFonts w:asciiTheme="majorBidi" w:hAnsiTheme="majorBidi" w:cstheme="majorBidi"/>
          <w:kern w:val="22"/>
          <w:lang w:val="ru-RU"/>
        </w:rPr>
        <w:t>я</w:t>
      </w:r>
      <w:r w:rsidR="00F2228C" w:rsidRPr="00FB3281">
        <w:rPr>
          <w:rFonts w:asciiTheme="majorBidi" w:hAnsiTheme="majorBidi" w:cstheme="majorBidi"/>
          <w:kern w:val="22"/>
          <w:lang w:val="ru-RU"/>
        </w:rPr>
        <w:t>;</w:t>
      </w:r>
    </w:p>
    <w:p w14:paraId="4A64C227" w14:textId="0CA8E6E5" w:rsidR="00F2228C" w:rsidRPr="00FB3281" w:rsidRDefault="002D4D1D" w:rsidP="00F2228C">
      <w:pPr>
        <w:pStyle w:val="Para1"/>
        <w:numPr>
          <w:ilvl w:val="0"/>
          <w:numId w:val="0"/>
        </w:numPr>
        <w:ind w:firstLine="709"/>
        <w:rPr>
          <w:rFonts w:asciiTheme="majorBidi" w:hAnsiTheme="majorBidi" w:cstheme="majorBidi"/>
          <w:kern w:val="22"/>
          <w:lang w:val="ru-RU"/>
        </w:rPr>
      </w:pPr>
      <w:r>
        <w:rPr>
          <w:rFonts w:asciiTheme="majorBidi" w:hAnsiTheme="majorBidi" w:cstheme="majorBidi"/>
          <w:kern w:val="22"/>
          <w:lang w:val="ru-RU"/>
        </w:rPr>
        <w:t>(</w:t>
      </w:r>
      <w:r w:rsidR="00F2228C" w:rsidRPr="00DC5AB8">
        <w:rPr>
          <w:rFonts w:asciiTheme="majorBidi" w:hAnsiTheme="majorBidi" w:cstheme="majorBidi"/>
          <w:kern w:val="22"/>
        </w:rPr>
        <w:t>c</w:t>
      </w:r>
      <w:r w:rsidR="00F2228C" w:rsidRPr="00FB3281">
        <w:rPr>
          <w:rFonts w:asciiTheme="majorBidi" w:hAnsiTheme="majorBidi" w:cstheme="majorBidi"/>
          <w:kern w:val="22"/>
          <w:lang w:val="ru-RU"/>
        </w:rPr>
        <w:t xml:space="preserve">) </w:t>
      </w:r>
      <w:r w:rsidR="00F2228C" w:rsidRPr="00FB3281">
        <w:rPr>
          <w:rFonts w:asciiTheme="majorBidi" w:hAnsiTheme="majorBidi" w:cstheme="majorBidi"/>
          <w:kern w:val="22"/>
          <w:lang w:val="ru-RU"/>
        </w:rPr>
        <w:tab/>
      </w:r>
      <w:r w:rsidR="00D97D59">
        <w:rPr>
          <w:rFonts w:asciiTheme="majorBidi" w:hAnsiTheme="majorBidi" w:cstheme="majorBidi"/>
          <w:kern w:val="22"/>
          <w:lang w:val="ru-RU"/>
        </w:rPr>
        <w:t>содействие</w:t>
      </w:r>
      <w:r w:rsidR="00F2228C">
        <w:rPr>
          <w:rFonts w:asciiTheme="majorBidi" w:hAnsiTheme="majorBidi" w:cstheme="majorBidi"/>
          <w:kern w:val="22"/>
          <w:lang w:val="ru-RU"/>
        </w:rPr>
        <w:t xml:space="preserve"> развити</w:t>
      </w:r>
      <w:r w:rsidR="00D97D59">
        <w:rPr>
          <w:rFonts w:asciiTheme="majorBidi" w:hAnsiTheme="majorBidi" w:cstheme="majorBidi"/>
          <w:kern w:val="22"/>
          <w:lang w:val="ru-RU"/>
        </w:rPr>
        <w:t>ю</w:t>
      </w:r>
      <w:r w:rsidR="00F2228C">
        <w:rPr>
          <w:rFonts w:asciiTheme="majorBidi" w:hAnsiTheme="majorBidi" w:cstheme="majorBidi"/>
          <w:kern w:val="22"/>
          <w:lang w:val="ru-RU"/>
        </w:rPr>
        <w:t xml:space="preserve"> и поддержани</w:t>
      </w:r>
      <w:r w:rsidR="00D97D59">
        <w:rPr>
          <w:rFonts w:asciiTheme="majorBidi" w:hAnsiTheme="majorBidi" w:cstheme="majorBidi"/>
          <w:kern w:val="22"/>
          <w:lang w:val="ru-RU"/>
        </w:rPr>
        <w:t>ю</w:t>
      </w:r>
      <w:r w:rsidR="00F2228C" w:rsidRPr="00FB3281">
        <w:rPr>
          <w:rFonts w:asciiTheme="majorBidi" w:hAnsiTheme="majorBidi" w:cstheme="majorBidi"/>
          <w:kern w:val="22"/>
          <w:lang w:val="ru-RU"/>
        </w:rPr>
        <w:t xml:space="preserve"> долгосрочного институционального потенциала в области управления, мониторинга и оценки национальных структур регулирования доступа к генетическим ресурсам и совместного использования выгод;</w:t>
      </w:r>
    </w:p>
    <w:p w14:paraId="4A64C228" w14:textId="4CA83552" w:rsidR="00F2228C" w:rsidRPr="00FB3281" w:rsidRDefault="00F2228C" w:rsidP="00F2228C">
      <w:pPr>
        <w:pStyle w:val="Para1"/>
        <w:numPr>
          <w:ilvl w:val="0"/>
          <w:numId w:val="0"/>
        </w:numPr>
        <w:ind w:firstLine="709"/>
        <w:rPr>
          <w:rFonts w:asciiTheme="majorBidi" w:hAnsiTheme="majorBidi" w:cstheme="majorBidi"/>
          <w:kern w:val="22"/>
          <w:lang w:val="ru-RU"/>
        </w:rPr>
      </w:pPr>
      <w:r w:rsidRPr="00FB3281">
        <w:rPr>
          <w:rFonts w:asciiTheme="majorBidi" w:hAnsiTheme="majorBidi" w:cstheme="majorBidi"/>
          <w:kern w:val="22"/>
          <w:lang w:val="ru-RU"/>
        </w:rPr>
        <w:t>7.</w:t>
      </w:r>
      <w:r w:rsidRPr="00FB3281">
        <w:rPr>
          <w:rFonts w:asciiTheme="majorBidi" w:hAnsiTheme="majorBidi" w:cstheme="majorBidi"/>
          <w:kern w:val="22"/>
          <w:lang w:val="ru-RU"/>
        </w:rPr>
        <w:tab/>
      </w:r>
      <w:r>
        <w:rPr>
          <w:rFonts w:asciiTheme="majorBidi" w:hAnsiTheme="majorBidi" w:cstheme="majorBidi"/>
          <w:i/>
          <w:iCs/>
          <w:kern w:val="22"/>
          <w:lang w:val="ru-RU"/>
        </w:rPr>
        <w:t>призывает</w:t>
      </w:r>
      <w:r w:rsidRPr="00FB3281">
        <w:rPr>
          <w:rFonts w:asciiTheme="majorBidi" w:hAnsiTheme="majorBidi" w:cstheme="majorBidi"/>
          <w:kern w:val="22"/>
          <w:lang w:val="ru-RU"/>
        </w:rPr>
        <w:t xml:space="preserve"> Стороны сотрудничать на </w:t>
      </w:r>
      <w:r>
        <w:rPr>
          <w:rFonts w:asciiTheme="majorBidi" w:hAnsiTheme="majorBidi" w:cstheme="majorBidi"/>
          <w:kern w:val="22"/>
          <w:lang w:val="ru-RU"/>
        </w:rPr>
        <w:t xml:space="preserve">глобальном, </w:t>
      </w:r>
      <w:r w:rsidRPr="00FB3281">
        <w:rPr>
          <w:rFonts w:asciiTheme="majorBidi" w:hAnsiTheme="majorBidi" w:cstheme="majorBidi"/>
          <w:kern w:val="22"/>
          <w:lang w:val="ru-RU"/>
        </w:rPr>
        <w:t xml:space="preserve">региональном и субрегиональном уровнях и </w:t>
      </w:r>
      <w:r w:rsidRPr="00FB3281">
        <w:rPr>
          <w:rFonts w:asciiTheme="majorBidi" w:hAnsiTheme="majorBidi" w:cstheme="majorBidi"/>
          <w:i/>
          <w:kern w:val="22"/>
          <w:lang w:val="ru-RU"/>
        </w:rPr>
        <w:t>рекомендует</w:t>
      </w:r>
      <w:r w:rsidRPr="00FB3281">
        <w:rPr>
          <w:rFonts w:asciiTheme="majorBidi" w:hAnsiTheme="majorBidi" w:cstheme="majorBidi"/>
          <w:kern w:val="22"/>
          <w:lang w:val="ru-RU"/>
        </w:rPr>
        <w:t xml:space="preserve"> Конференции Сторон поручить Глобальному экологическому фонду </w:t>
      </w:r>
      <w:r w:rsidR="00D97D59">
        <w:rPr>
          <w:rFonts w:asciiTheme="majorBidi" w:hAnsiTheme="majorBidi" w:cstheme="majorBidi"/>
          <w:kern w:val="22"/>
          <w:lang w:val="ru-RU"/>
        </w:rPr>
        <w:t>и далее</w:t>
      </w:r>
      <w:r>
        <w:rPr>
          <w:rFonts w:asciiTheme="majorBidi" w:hAnsiTheme="majorBidi" w:cstheme="majorBidi"/>
          <w:kern w:val="22"/>
          <w:lang w:val="ru-RU"/>
        </w:rPr>
        <w:t xml:space="preserve"> предоставлять и расширять поддержку для </w:t>
      </w:r>
      <w:r w:rsidRPr="00FB3281">
        <w:rPr>
          <w:rFonts w:asciiTheme="majorBidi" w:hAnsiTheme="majorBidi" w:cstheme="majorBidi"/>
          <w:kern w:val="22"/>
          <w:lang w:val="ru-RU"/>
        </w:rPr>
        <w:t>совместных проектов</w:t>
      </w:r>
      <w:r w:rsidR="00504D41">
        <w:rPr>
          <w:rFonts w:asciiTheme="majorBidi" w:hAnsiTheme="majorBidi" w:cstheme="majorBidi"/>
          <w:kern w:val="22"/>
          <w:lang w:val="ru-RU"/>
        </w:rPr>
        <w:t xml:space="preserve"> </w:t>
      </w:r>
      <w:r w:rsidR="00504D41" w:rsidRPr="00504D41">
        <w:rPr>
          <w:rFonts w:asciiTheme="majorBidi" w:hAnsiTheme="majorBidi" w:cstheme="majorBidi"/>
          <w:kern w:val="22"/>
          <w:lang w:val="ru-RU"/>
        </w:rPr>
        <w:t>на глобальном, региональном или национальном уровнях</w:t>
      </w:r>
      <w:r w:rsidRPr="00FB3281">
        <w:rPr>
          <w:rFonts w:asciiTheme="majorBidi" w:hAnsiTheme="majorBidi" w:cstheme="majorBidi"/>
          <w:kern w:val="22"/>
          <w:lang w:val="ru-RU"/>
        </w:rPr>
        <w:t xml:space="preserve"> в целях обеспечения максимального взаимодействия и возможностей для совместного экономически эффективного использования ресурсов, информации, опыта и экспертных знаний;</w:t>
      </w:r>
    </w:p>
    <w:p w14:paraId="4A64C229" w14:textId="77777777" w:rsidR="00F2228C" w:rsidRPr="00A20773" w:rsidRDefault="00F2228C" w:rsidP="00F2228C">
      <w:pPr>
        <w:pStyle w:val="Para1"/>
        <w:numPr>
          <w:ilvl w:val="0"/>
          <w:numId w:val="0"/>
        </w:numPr>
        <w:ind w:firstLine="709"/>
        <w:rPr>
          <w:rFonts w:asciiTheme="majorBidi" w:hAnsiTheme="majorBidi" w:cstheme="majorBidi"/>
          <w:lang w:val="ru-RU"/>
        </w:rPr>
      </w:pPr>
      <w:r w:rsidRPr="00A20773">
        <w:rPr>
          <w:rFonts w:asciiTheme="majorBidi" w:hAnsiTheme="majorBidi" w:cstheme="majorBidi"/>
          <w:kern w:val="22"/>
          <w:lang w:val="ru-RU"/>
        </w:rPr>
        <w:t>8.</w:t>
      </w:r>
      <w:r w:rsidRPr="00A20773">
        <w:rPr>
          <w:rFonts w:asciiTheme="majorBidi" w:hAnsiTheme="majorBidi" w:cstheme="majorBidi"/>
          <w:kern w:val="22"/>
          <w:lang w:val="ru-RU"/>
        </w:rPr>
        <w:tab/>
      </w:r>
      <w:r>
        <w:rPr>
          <w:rFonts w:asciiTheme="majorBidi" w:hAnsiTheme="majorBidi" w:cstheme="majorBidi"/>
          <w:i/>
          <w:iCs/>
          <w:kern w:val="22"/>
          <w:lang w:val="ru-RU"/>
        </w:rPr>
        <w:t>рекомендует</w:t>
      </w:r>
      <w:r w:rsidRPr="00A20773">
        <w:rPr>
          <w:rFonts w:asciiTheme="majorBidi" w:hAnsiTheme="majorBidi" w:cstheme="majorBidi"/>
          <w:kern w:val="22"/>
          <w:lang w:val="ru-RU"/>
        </w:rPr>
        <w:t xml:space="preserve"> </w:t>
      </w:r>
      <w:r>
        <w:rPr>
          <w:rFonts w:asciiTheme="majorBidi" w:hAnsiTheme="majorBidi" w:cstheme="majorBidi"/>
          <w:kern w:val="22"/>
          <w:lang w:val="ru-RU"/>
        </w:rPr>
        <w:t>Конференции</w:t>
      </w:r>
      <w:r w:rsidRPr="00A20773">
        <w:rPr>
          <w:rFonts w:asciiTheme="majorBidi" w:hAnsiTheme="majorBidi" w:cstheme="majorBidi"/>
          <w:kern w:val="22"/>
          <w:lang w:val="ru-RU"/>
        </w:rPr>
        <w:t xml:space="preserve"> </w:t>
      </w:r>
      <w:r>
        <w:rPr>
          <w:rFonts w:asciiTheme="majorBidi" w:hAnsiTheme="majorBidi" w:cstheme="majorBidi"/>
          <w:kern w:val="22"/>
          <w:lang w:val="ru-RU"/>
        </w:rPr>
        <w:t>Сторон</w:t>
      </w:r>
      <w:r w:rsidRPr="00A20773">
        <w:rPr>
          <w:rFonts w:asciiTheme="majorBidi" w:hAnsiTheme="majorBidi" w:cstheme="majorBidi"/>
          <w:kern w:val="22"/>
          <w:lang w:val="ru-RU"/>
        </w:rPr>
        <w:t xml:space="preserve"> </w:t>
      </w:r>
      <w:r w:rsidRPr="00A20773">
        <w:rPr>
          <w:rFonts w:asciiTheme="majorBidi" w:hAnsiTheme="majorBidi" w:cstheme="majorBidi"/>
          <w:iCs/>
          <w:kern w:val="22"/>
          <w:lang w:val="ru-RU"/>
        </w:rPr>
        <w:t>в ходе принятия руководящих указаний для механизма финансирования предложить Глобальному экологическому фонду своевременно предоставлять финансовые ресурсы Сторонам, имеющим на право на их получение, для оказания им содействия в выполнении их обязательств по представлению информации в рамках протокола</w:t>
      </w:r>
      <w:r w:rsidRPr="00A20773">
        <w:rPr>
          <w:rFonts w:asciiTheme="majorBidi" w:hAnsiTheme="majorBidi" w:cstheme="majorBidi"/>
          <w:kern w:val="22"/>
          <w:lang w:val="ru-RU"/>
        </w:rPr>
        <w:t>;</w:t>
      </w:r>
    </w:p>
    <w:p w14:paraId="4A64C22A" w14:textId="77777777" w:rsidR="00F2228C" w:rsidRPr="00A20773" w:rsidRDefault="00F2228C" w:rsidP="00F2228C">
      <w:pPr>
        <w:pStyle w:val="Para1"/>
        <w:numPr>
          <w:ilvl w:val="0"/>
          <w:numId w:val="0"/>
        </w:numPr>
        <w:ind w:firstLine="709"/>
        <w:rPr>
          <w:rFonts w:asciiTheme="majorBidi" w:hAnsiTheme="majorBidi" w:cstheme="majorBidi"/>
          <w:lang w:val="ru-RU"/>
        </w:rPr>
      </w:pPr>
      <w:r w:rsidRPr="007521A4">
        <w:rPr>
          <w:rFonts w:asciiTheme="majorBidi" w:hAnsiTheme="majorBidi" w:cstheme="majorBidi"/>
          <w:lang w:val="ru-RU"/>
        </w:rPr>
        <w:t xml:space="preserve">9. </w:t>
      </w:r>
      <w:r w:rsidRPr="007521A4">
        <w:rPr>
          <w:rFonts w:asciiTheme="majorBidi" w:hAnsiTheme="majorBidi" w:cstheme="majorBidi"/>
          <w:lang w:val="ru-RU"/>
        </w:rPr>
        <w:tab/>
      </w:r>
      <w:r>
        <w:rPr>
          <w:rFonts w:asciiTheme="majorBidi" w:hAnsiTheme="majorBidi" w:cstheme="majorBidi"/>
          <w:i/>
          <w:iCs/>
          <w:lang w:val="ru-RU"/>
        </w:rPr>
        <w:t>предлагает</w:t>
      </w:r>
      <w:r w:rsidRPr="00A20773">
        <w:rPr>
          <w:rFonts w:asciiTheme="majorBidi" w:hAnsiTheme="majorBidi" w:cstheme="majorBidi"/>
          <w:lang w:val="ru-RU"/>
        </w:rPr>
        <w:t xml:space="preserve"> Сторонам Нагойского протокола принять активное участие в шестом обзоре эффективности механизма финансирования Конвенции;</w:t>
      </w:r>
    </w:p>
    <w:p w14:paraId="4A64C22B" w14:textId="22F800BB" w:rsidR="00F2228C" w:rsidRPr="00A20773" w:rsidRDefault="00F2228C" w:rsidP="00F2228C">
      <w:pPr>
        <w:pStyle w:val="Para1"/>
        <w:numPr>
          <w:ilvl w:val="0"/>
          <w:numId w:val="0"/>
        </w:numPr>
        <w:ind w:firstLine="709"/>
        <w:rPr>
          <w:rFonts w:asciiTheme="majorBidi" w:hAnsiTheme="majorBidi" w:cstheme="majorBidi"/>
          <w:lang w:val="ru-RU"/>
        </w:rPr>
      </w:pPr>
      <w:r w:rsidRPr="00A20773">
        <w:rPr>
          <w:rFonts w:asciiTheme="majorBidi" w:hAnsiTheme="majorBidi" w:cstheme="majorBidi"/>
          <w:lang w:val="ru-RU"/>
        </w:rPr>
        <w:t>10.</w:t>
      </w:r>
      <w:r w:rsidRPr="00A20773">
        <w:rPr>
          <w:lang w:val="ru-RU"/>
        </w:rPr>
        <w:tab/>
      </w:r>
      <w:r>
        <w:rPr>
          <w:rFonts w:asciiTheme="majorBidi" w:hAnsiTheme="majorBidi" w:cstheme="majorBidi"/>
          <w:i/>
          <w:iCs/>
          <w:lang w:val="ru-RU"/>
        </w:rPr>
        <w:t>поручает</w:t>
      </w:r>
      <w:r w:rsidRPr="00A20773">
        <w:rPr>
          <w:rFonts w:asciiTheme="majorBidi" w:hAnsiTheme="majorBidi" w:cstheme="majorBidi"/>
          <w:lang w:val="ru-RU"/>
        </w:rPr>
        <w:t xml:space="preserve"> Исполнительному секретарю при условии наличия ресурсов в контексте шестого обзора эффективности механизма финансирования собрать комментарии и информацию от Сторон, имеющих право на получение помощи, об их опыте и </w:t>
      </w:r>
      <w:r w:rsidR="00D47A29">
        <w:rPr>
          <w:rFonts w:asciiTheme="majorBidi" w:hAnsiTheme="majorBidi" w:cstheme="majorBidi"/>
          <w:lang w:val="ru-RU"/>
        </w:rPr>
        <w:t xml:space="preserve">уроках, </w:t>
      </w:r>
      <w:r w:rsidR="00D47A29" w:rsidRPr="00A20773">
        <w:rPr>
          <w:rFonts w:asciiTheme="majorBidi" w:hAnsiTheme="majorBidi" w:cstheme="majorBidi"/>
          <w:lang w:val="ru-RU"/>
        </w:rPr>
        <w:t xml:space="preserve">извлеченных </w:t>
      </w:r>
      <w:r w:rsidRPr="00A20773">
        <w:rPr>
          <w:rFonts w:asciiTheme="majorBidi" w:hAnsiTheme="majorBidi" w:cstheme="majorBidi"/>
          <w:lang w:val="ru-RU"/>
        </w:rPr>
        <w:t xml:space="preserve">при получении доступа к финансовым ресурсам и их использовании в рамках механизма финансирования для осуществления Нагойского протокола, включая информацию о </w:t>
      </w:r>
      <w:r w:rsidR="00D47A29">
        <w:rPr>
          <w:rFonts w:asciiTheme="majorBidi" w:hAnsiTheme="majorBidi" w:cstheme="majorBidi"/>
          <w:lang w:val="ru-RU"/>
        </w:rPr>
        <w:t>трудностях</w:t>
      </w:r>
      <w:r w:rsidRPr="00A20773">
        <w:rPr>
          <w:rFonts w:asciiTheme="majorBidi" w:hAnsiTheme="majorBidi" w:cstheme="majorBidi"/>
          <w:lang w:val="ru-RU"/>
        </w:rPr>
        <w:t xml:space="preserve"> </w:t>
      </w:r>
      <w:r w:rsidR="00D47A29">
        <w:rPr>
          <w:rFonts w:asciiTheme="majorBidi" w:hAnsiTheme="majorBidi" w:cstheme="majorBidi"/>
          <w:lang w:val="ru-RU"/>
        </w:rPr>
        <w:t>в получении</w:t>
      </w:r>
      <w:r w:rsidRPr="00A20773">
        <w:rPr>
          <w:rFonts w:asciiTheme="majorBidi" w:hAnsiTheme="majorBidi" w:cstheme="majorBidi"/>
          <w:lang w:val="ru-RU"/>
        </w:rPr>
        <w:t xml:space="preserve"> доступ</w:t>
      </w:r>
      <w:r w:rsidR="00D47A29">
        <w:rPr>
          <w:rFonts w:asciiTheme="majorBidi" w:hAnsiTheme="majorBidi" w:cstheme="majorBidi"/>
          <w:lang w:val="ru-RU"/>
        </w:rPr>
        <w:t>а</w:t>
      </w:r>
      <w:r w:rsidRPr="00A20773">
        <w:rPr>
          <w:rFonts w:asciiTheme="majorBidi" w:hAnsiTheme="majorBidi" w:cstheme="majorBidi"/>
          <w:lang w:val="ru-RU"/>
        </w:rPr>
        <w:t xml:space="preserve"> к финансированию по линии Глобального экологического фонда и его использовании,</w:t>
      </w:r>
      <w:r w:rsidR="00D47A29">
        <w:rPr>
          <w:rFonts w:asciiTheme="majorBidi" w:hAnsiTheme="majorBidi" w:cstheme="majorBidi"/>
          <w:lang w:val="ru-RU"/>
        </w:rPr>
        <w:t xml:space="preserve"> </w:t>
      </w:r>
      <w:r w:rsidR="00D47A29" w:rsidRPr="00A20773">
        <w:rPr>
          <w:rFonts w:asciiTheme="majorBidi" w:hAnsiTheme="majorBidi" w:cstheme="majorBidi"/>
          <w:lang w:val="ru-RU"/>
        </w:rPr>
        <w:t>их основных причинах</w:t>
      </w:r>
      <w:r w:rsidR="00D47A29">
        <w:rPr>
          <w:rFonts w:asciiTheme="majorBidi" w:hAnsiTheme="majorBidi" w:cstheme="majorBidi"/>
          <w:lang w:val="ru-RU"/>
        </w:rPr>
        <w:t xml:space="preserve"> таких трудностей,</w:t>
      </w:r>
      <w:r w:rsidRPr="00A20773">
        <w:rPr>
          <w:rFonts w:asciiTheme="majorBidi" w:hAnsiTheme="majorBidi" w:cstheme="majorBidi"/>
          <w:lang w:val="ru-RU"/>
        </w:rPr>
        <w:t xml:space="preserve"> а также о возможных препятствиях для регионального сотрудничества;</w:t>
      </w:r>
    </w:p>
    <w:p w14:paraId="4A64C22C" w14:textId="77777777" w:rsidR="00F2228C" w:rsidRPr="00A20773" w:rsidRDefault="00F2228C" w:rsidP="00F2228C">
      <w:pPr>
        <w:pStyle w:val="ListParagraph"/>
        <w:keepNext/>
        <w:spacing w:before="120"/>
        <w:ind w:left="0"/>
        <w:jc w:val="center"/>
        <w:rPr>
          <w:b/>
          <w:bCs/>
          <w:spacing w:val="-6"/>
          <w:kern w:val="22"/>
          <w:sz w:val="20"/>
          <w:szCs w:val="20"/>
          <w:highlight w:val="yellow"/>
          <w:lang w:val="ru-RU"/>
        </w:rPr>
      </w:pPr>
    </w:p>
    <w:p w14:paraId="4A64C22D" w14:textId="77777777" w:rsidR="00F2228C" w:rsidRPr="00A20773" w:rsidRDefault="00F2228C" w:rsidP="00F2228C">
      <w:pPr>
        <w:pStyle w:val="ListParagraph"/>
        <w:suppressLineNumbers/>
        <w:suppressAutoHyphens/>
        <w:kinsoku w:val="0"/>
        <w:overflowPunct w:val="0"/>
        <w:autoSpaceDE w:val="0"/>
        <w:autoSpaceDN w:val="0"/>
        <w:snapToGrid w:val="0"/>
        <w:spacing w:before="240" w:line="480" w:lineRule="auto"/>
        <w:ind w:left="0"/>
        <w:jc w:val="center"/>
        <w:outlineLvl w:val="1"/>
        <w:rPr>
          <w:b/>
          <w:bCs/>
          <w:lang w:val="ru-RU"/>
        </w:rPr>
      </w:pPr>
      <w:bookmarkStart w:id="1" w:name="_Toc118407978"/>
      <w:r w:rsidRPr="00624B4A">
        <w:rPr>
          <w:b/>
          <w:bCs/>
        </w:rPr>
        <w:t>B</w:t>
      </w:r>
      <w:r w:rsidRPr="004B5A59">
        <w:rPr>
          <w:b/>
          <w:bCs/>
          <w:lang w:val="ru-RU"/>
        </w:rPr>
        <w:t xml:space="preserve">. </w:t>
      </w:r>
      <w:r w:rsidRPr="004B5A59">
        <w:rPr>
          <w:b/>
          <w:bCs/>
          <w:lang w:val="ru-RU"/>
        </w:rPr>
        <w:tab/>
      </w:r>
      <w:bookmarkEnd w:id="1"/>
      <w:r w:rsidRPr="00A20773">
        <w:rPr>
          <w:b/>
          <w:bCs/>
          <w:lang w:val="ru-RU"/>
        </w:rPr>
        <w:t>Мобилизация ресурсов</w:t>
      </w:r>
    </w:p>
    <w:p w14:paraId="4A64C22E" w14:textId="77777777" w:rsidR="00F2228C" w:rsidRPr="00A20773" w:rsidRDefault="00F2228C" w:rsidP="00F2228C">
      <w:pPr>
        <w:pStyle w:val="Para1"/>
        <w:numPr>
          <w:ilvl w:val="0"/>
          <w:numId w:val="0"/>
        </w:numPr>
        <w:suppressLineNumbers/>
        <w:suppressAutoHyphens/>
        <w:kinsoku w:val="0"/>
        <w:overflowPunct w:val="0"/>
        <w:autoSpaceDE w:val="0"/>
        <w:autoSpaceDN w:val="0"/>
        <w:ind w:firstLine="567"/>
        <w:rPr>
          <w:lang w:val="ru-RU"/>
        </w:rPr>
      </w:pPr>
      <w:r w:rsidRPr="00A20773">
        <w:rPr>
          <w:rFonts w:asciiTheme="majorBidi" w:hAnsiTheme="majorBidi" w:cstheme="majorBidi"/>
          <w:i/>
          <w:iCs/>
          <w:kern w:val="22"/>
          <w:lang w:val="ru-RU"/>
        </w:rPr>
        <w:t>Конференция Сторон, выступающая в качестве совещания Сторон Нагойского протокола</w:t>
      </w:r>
      <w:r w:rsidRPr="00A20773">
        <w:rPr>
          <w:rFonts w:asciiTheme="majorBidi" w:hAnsiTheme="majorBidi" w:cstheme="majorBidi"/>
          <w:i/>
          <w:iCs/>
          <w:lang w:val="ru-RU"/>
        </w:rPr>
        <w:t>,</w:t>
      </w:r>
    </w:p>
    <w:p w14:paraId="4A64C22F" w14:textId="66B9BEC2" w:rsidR="00F2228C" w:rsidRPr="00A20773" w:rsidRDefault="00F2228C" w:rsidP="00F2228C">
      <w:pPr>
        <w:pStyle w:val="Para1"/>
        <w:numPr>
          <w:ilvl w:val="0"/>
          <w:numId w:val="0"/>
        </w:numPr>
        <w:suppressLineNumbers/>
        <w:suppressAutoHyphens/>
        <w:kinsoku w:val="0"/>
        <w:overflowPunct w:val="0"/>
        <w:autoSpaceDE w:val="0"/>
        <w:autoSpaceDN w:val="0"/>
        <w:ind w:firstLine="567"/>
        <w:rPr>
          <w:rFonts w:asciiTheme="majorBidi" w:hAnsiTheme="majorBidi" w:cstheme="majorBidi"/>
          <w:lang w:val="ru-RU"/>
        </w:rPr>
      </w:pPr>
      <w:r>
        <w:rPr>
          <w:rFonts w:asciiTheme="majorBidi" w:hAnsiTheme="majorBidi" w:cstheme="majorBidi"/>
          <w:i/>
          <w:iCs/>
          <w:lang w:val="ru-RU"/>
        </w:rPr>
        <w:lastRenderedPageBreak/>
        <w:t>ссылаясь</w:t>
      </w:r>
      <w:r w:rsidRPr="00A20773">
        <w:rPr>
          <w:rFonts w:asciiTheme="majorBidi" w:hAnsiTheme="majorBidi" w:cstheme="majorBidi"/>
          <w:lang w:val="ru-RU"/>
        </w:rPr>
        <w:t xml:space="preserve"> на решение NP-1/7 и пункт </w:t>
      </w:r>
      <w:r w:rsidR="008E4BD8">
        <w:rPr>
          <w:rFonts w:asciiTheme="majorBidi" w:hAnsiTheme="majorBidi" w:cstheme="majorBidi"/>
          <w:lang w:val="ru-RU"/>
        </w:rPr>
        <w:t>12</w:t>
      </w:r>
      <w:r w:rsidRPr="00A20773">
        <w:rPr>
          <w:rFonts w:asciiTheme="majorBidi" w:hAnsiTheme="majorBidi" w:cstheme="majorBidi"/>
          <w:lang w:val="ru-RU"/>
        </w:rPr>
        <w:t xml:space="preserve"> решения XI/4, в котором Конференция Сторон постановила учитывать соображения мобилизации ресурсов для Нагойского протокола в процессе </w:t>
      </w:r>
      <w:r w:rsidR="00EE1258">
        <w:rPr>
          <w:rFonts w:asciiTheme="majorBidi" w:hAnsiTheme="majorBidi" w:cstheme="majorBidi"/>
          <w:lang w:val="ru-RU"/>
        </w:rPr>
        <w:t>осуществления</w:t>
      </w:r>
      <w:r w:rsidRPr="00A20773">
        <w:rPr>
          <w:rFonts w:asciiTheme="majorBidi" w:hAnsiTheme="majorBidi" w:cstheme="majorBidi"/>
          <w:lang w:val="ru-RU"/>
        </w:rPr>
        <w:t xml:space="preserve"> стратегии мобилизации ресурсов</w:t>
      </w:r>
      <w:r w:rsidR="00EE1258">
        <w:rPr>
          <w:rFonts w:asciiTheme="majorBidi" w:hAnsiTheme="majorBidi" w:cstheme="majorBidi"/>
          <w:lang w:val="ru-RU"/>
        </w:rPr>
        <w:t xml:space="preserve"> в поддержку достижения трех целей Конвенции на период 2008-2015 гг.</w:t>
      </w:r>
      <w:r w:rsidRPr="00A20773">
        <w:rPr>
          <w:rFonts w:asciiTheme="majorBidi" w:hAnsiTheme="majorBidi" w:cstheme="majorBidi"/>
          <w:kern w:val="22"/>
          <w:lang w:val="ru-RU"/>
        </w:rPr>
        <w:t>,</w:t>
      </w:r>
    </w:p>
    <w:p w14:paraId="4A64C230" w14:textId="6A09B946" w:rsidR="00F2228C" w:rsidRPr="00A20773" w:rsidRDefault="00F2228C" w:rsidP="00F2228C">
      <w:pPr>
        <w:pStyle w:val="Para1"/>
        <w:numPr>
          <w:ilvl w:val="0"/>
          <w:numId w:val="0"/>
        </w:numPr>
        <w:suppressLineNumbers/>
        <w:suppressAutoHyphens/>
        <w:kinsoku w:val="0"/>
        <w:overflowPunct w:val="0"/>
        <w:autoSpaceDE w:val="0"/>
        <w:autoSpaceDN w:val="0"/>
        <w:ind w:firstLine="567"/>
        <w:rPr>
          <w:rFonts w:asciiTheme="majorBidi" w:hAnsiTheme="majorBidi" w:cstheme="majorBidi"/>
          <w:lang w:val="ru-RU"/>
        </w:rPr>
      </w:pPr>
      <w:r w:rsidRPr="00A20773">
        <w:rPr>
          <w:rFonts w:asciiTheme="majorBidi" w:hAnsiTheme="majorBidi" w:cstheme="majorBidi"/>
          <w:lang w:val="ru-RU"/>
        </w:rPr>
        <w:t>1.</w:t>
      </w:r>
      <w:r w:rsidRPr="00A20773">
        <w:rPr>
          <w:rFonts w:asciiTheme="majorBidi" w:hAnsiTheme="majorBidi" w:cstheme="majorBidi"/>
          <w:lang w:val="ru-RU"/>
        </w:rPr>
        <w:tab/>
      </w:r>
      <w:r>
        <w:rPr>
          <w:rFonts w:asciiTheme="majorBidi" w:hAnsiTheme="majorBidi" w:cstheme="majorBidi"/>
          <w:i/>
          <w:iCs/>
          <w:kern w:val="22"/>
          <w:lang w:val="ru-RU"/>
        </w:rPr>
        <w:t>приветствует</w:t>
      </w:r>
      <w:r w:rsidRPr="00A20773">
        <w:rPr>
          <w:rFonts w:asciiTheme="majorBidi" w:hAnsiTheme="majorBidi" w:cstheme="majorBidi"/>
          <w:kern w:val="22"/>
          <w:lang w:val="ru-RU"/>
        </w:rPr>
        <w:t xml:space="preserve"> решение </w:t>
      </w:r>
      <w:r w:rsidR="00504D41" w:rsidRPr="00A72299">
        <w:rPr>
          <w:rFonts w:asciiTheme="majorBidi" w:hAnsiTheme="majorBidi" w:cstheme="majorBidi"/>
          <w:kern w:val="22"/>
          <w:lang w:val="ru-RU"/>
        </w:rPr>
        <w:t>15/</w:t>
      </w:r>
      <w:r w:rsidR="00EE1258" w:rsidRPr="00EE1258">
        <w:rPr>
          <w:rFonts w:asciiTheme="majorBidi" w:hAnsiTheme="majorBidi" w:cstheme="majorBidi"/>
          <w:kern w:val="22"/>
          <w:lang w:val="ru-RU"/>
        </w:rPr>
        <w:t>7</w:t>
      </w:r>
      <w:r w:rsidR="00504D41" w:rsidRPr="00A72299">
        <w:rPr>
          <w:rFonts w:asciiTheme="majorBidi" w:hAnsiTheme="majorBidi" w:cstheme="majorBidi"/>
          <w:kern w:val="22"/>
          <w:lang w:val="ru-RU"/>
        </w:rPr>
        <w:t xml:space="preserve"> </w:t>
      </w:r>
      <w:r w:rsidRPr="00A20773">
        <w:rPr>
          <w:rFonts w:asciiTheme="majorBidi" w:hAnsiTheme="majorBidi" w:cstheme="majorBidi"/>
          <w:kern w:val="22"/>
          <w:lang w:val="ru-RU"/>
        </w:rPr>
        <w:t>Конференции Сторон</w:t>
      </w:r>
      <w:r w:rsidR="00EE1258">
        <w:rPr>
          <w:rFonts w:asciiTheme="majorBidi" w:hAnsiTheme="majorBidi" w:cstheme="majorBidi"/>
          <w:kern w:val="22"/>
          <w:lang w:val="ru-RU"/>
        </w:rPr>
        <w:t xml:space="preserve"> в отношении</w:t>
      </w:r>
      <w:r w:rsidRPr="00A20773">
        <w:rPr>
          <w:rFonts w:asciiTheme="majorBidi" w:hAnsiTheme="majorBidi" w:cstheme="majorBidi"/>
          <w:kern w:val="22"/>
          <w:lang w:val="ru-RU"/>
        </w:rPr>
        <w:t xml:space="preserve"> мобилизации ресурсов, и </w:t>
      </w:r>
      <w:r w:rsidRPr="00A20773">
        <w:rPr>
          <w:rFonts w:asciiTheme="majorBidi" w:hAnsiTheme="majorBidi" w:cstheme="majorBidi"/>
          <w:i/>
          <w:kern w:val="22"/>
          <w:lang w:val="ru-RU"/>
        </w:rPr>
        <w:t>принимает к сведению</w:t>
      </w:r>
      <w:r w:rsidRPr="00A20773">
        <w:rPr>
          <w:rFonts w:asciiTheme="majorBidi" w:hAnsiTheme="majorBidi" w:cstheme="majorBidi"/>
          <w:kern w:val="22"/>
          <w:lang w:val="ru-RU"/>
        </w:rPr>
        <w:t xml:space="preserve"> </w:t>
      </w:r>
      <w:r w:rsidR="00EE1258">
        <w:rPr>
          <w:rFonts w:asciiTheme="majorBidi" w:hAnsiTheme="majorBidi" w:cstheme="majorBidi"/>
          <w:kern w:val="22"/>
          <w:lang w:val="ru-RU"/>
        </w:rPr>
        <w:t xml:space="preserve">предусмотренный в нем </w:t>
      </w:r>
      <w:r w:rsidRPr="00A20773">
        <w:rPr>
          <w:rFonts w:asciiTheme="majorBidi" w:hAnsiTheme="majorBidi" w:cstheme="majorBidi"/>
          <w:kern w:val="22"/>
          <w:lang w:val="ru-RU"/>
        </w:rPr>
        <w:t>процесс дальнейшего совершенствования представления финансовой отчетности в рамках Конвенции;</w:t>
      </w:r>
    </w:p>
    <w:p w14:paraId="4A64C231" w14:textId="4DDD6B96" w:rsidR="00F2228C" w:rsidRPr="00A20773" w:rsidRDefault="00F2228C" w:rsidP="00F2228C">
      <w:pPr>
        <w:pStyle w:val="Para1"/>
        <w:numPr>
          <w:ilvl w:val="0"/>
          <w:numId w:val="0"/>
        </w:numPr>
        <w:suppressLineNumbers/>
        <w:suppressAutoHyphens/>
        <w:kinsoku w:val="0"/>
        <w:overflowPunct w:val="0"/>
        <w:autoSpaceDE w:val="0"/>
        <w:autoSpaceDN w:val="0"/>
        <w:ind w:firstLine="567"/>
        <w:rPr>
          <w:rFonts w:asciiTheme="majorBidi" w:hAnsiTheme="majorBidi" w:cstheme="majorBidi"/>
          <w:lang w:val="ru-RU"/>
        </w:rPr>
      </w:pPr>
      <w:r w:rsidRPr="00A20773">
        <w:rPr>
          <w:rFonts w:asciiTheme="majorBidi" w:hAnsiTheme="majorBidi" w:cstheme="majorBidi"/>
          <w:lang w:val="ru-RU"/>
        </w:rPr>
        <w:t>2.</w:t>
      </w:r>
      <w:r w:rsidRPr="00A20773">
        <w:rPr>
          <w:rFonts w:asciiTheme="majorBidi" w:hAnsiTheme="majorBidi" w:cstheme="majorBidi"/>
          <w:lang w:val="ru-RU"/>
        </w:rPr>
        <w:tab/>
      </w:r>
      <w:r>
        <w:rPr>
          <w:rFonts w:asciiTheme="majorBidi" w:hAnsiTheme="majorBidi" w:cstheme="majorBidi"/>
          <w:i/>
          <w:iCs/>
          <w:kern w:val="22"/>
          <w:lang w:val="ru-RU"/>
        </w:rPr>
        <w:t>поручает</w:t>
      </w:r>
      <w:r w:rsidRPr="00A20773">
        <w:rPr>
          <w:rFonts w:asciiTheme="majorBidi" w:hAnsiTheme="majorBidi" w:cstheme="majorBidi"/>
          <w:kern w:val="22"/>
          <w:lang w:val="ru-RU"/>
        </w:rPr>
        <w:t xml:space="preserve"> группе технических экспертов по представлени</w:t>
      </w:r>
      <w:r w:rsidR="00902CAC">
        <w:rPr>
          <w:rFonts w:asciiTheme="majorBidi" w:hAnsiTheme="majorBidi" w:cstheme="majorBidi"/>
          <w:kern w:val="22"/>
          <w:lang w:val="ru-RU"/>
        </w:rPr>
        <w:t>ю</w:t>
      </w:r>
      <w:r w:rsidRPr="00A20773">
        <w:rPr>
          <w:rFonts w:asciiTheme="majorBidi" w:hAnsiTheme="majorBidi" w:cstheme="majorBidi"/>
          <w:kern w:val="22"/>
          <w:lang w:val="ru-RU"/>
        </w:rPr>
        <w:t xml:space="preserve"> финансовой отчетности также рассмотреть вопрос о финансовой отчетности, связанной с мобилизацией ресурсов для Нагойского протокола;</w:t>
      </w:r>
    </w:p>
    <w:p w14:paraId="4A64C232" w14:textId="2CFF3D89" w:rsidR="00F2228C" w:rsidRPr="00A20773" w:rsidRDefault="00F2228C" w:rsidP="00F2228C">
      <w:pPr>
        <w:pStyle w:val="Para1"/>
        <w:numPr>
          <w:ilvl w:val="0"/>
          <w:numId w:val="0"/>
        </w:numPr>
        <w:suppressLineNumbers/>
        <w:suppressAutoHyphens/>
        <w:kinsoku w:val="0"/>
        <w:overflowPunct w:val="0"/>
        <w:autoSpaceDE w:val="0"/>
        <w:autoSpaceDN w:val="0"/>
        <w:ind w:firstLine="567"/>
        <w:rPr>
          <w:rFonts w:asciiTheme="majorBidi" w:hAnsiTheme="majorBidi" w:cstheme="majorBidi"/>
          <w:lang w:val="ru-RU"/>
        </w:rPr>
      </w:pPr>
      <w:r w:rsidRPr="00A20773">
        <w:rPr>
          <w:rFonts w:asciiTheme="majorBidi" w:hAnsiTheme="majorBidi" w:cstheme="majorBidi"/>
          <w:lang w:val="ru-RU"/>
        </w:rPr>
        <w:t>3.</w:t>
      </w:r>
      <w:r w:rsidRPr="00A20773">
        <w:rPr>
          <w:rFonts w:asciiTheme="majorBidi" w:hAnsiTheme="majorBidi" w:cstheme="majorBidi"/>
          <w:lang w:val="ru-RU"/>
        </w:rPr>
        <w:tab/>
      </w:r>
      <w:r>
        <w:rPr>
          <w:rFonts w:asciiTheme="majorBidi" w:hAnsiTheme="majorBidi" w:cstheme="majorBidi"/>
          <w:i/>
          <w:iCs/>
          <w:lang w:val="ru-RU"/>
        </w:rPr>
        <w:t>призывает</w:t>
      </w:r>
      <w:r w:rsidRPr="00A20773">
        <w:rPr>
          <w:rFonts w:asciiTheme="majorBidi" w:hAnsiTheme="majorBidi" w:cstheme="majorBidi"/>
          <w:lang w:val="ru-RU"/>
        </w:rPr>
        <w:t xml:space="preserve"> Стороны рассмотреть вопрос о мобилизации ресурсов для Нагойского протокола </w:t>
      </w:r>
      <w:r w:rsidR="00813189" w:rsidRPr="00A20773">
        <w:rPr>
          <w:rFonts w:asciiTheme="majorBidi" w:hAnsiTheme="majorBidi" w:cstheme="majorBidi"/>
          <w:lang w:val="ru-RU"/>
        </w:rPr>
        <w:t xml:space="preserve">в процессе </w:t>
      </w:r>
      <w:r w:rsidR="00813189">
        <w:rPr>
          <w:rFonts w:asciiTheme="majorBidi" w:hAnsiTheme="majorBidi" w:cstheme="majorBidi"/>
          <w:lang w:val="ru-RU"/>
        </w:rPr>
        <w:t>осуществления</w:t>
      </w:r>
      <w:r w:rsidR="00813189" w:rsidRPr="00A20773">
        <w:rPr>
          <w:rFonts w:asciiTheme="majorBidi" w:hAnsiTheme="majorBidi" w:cstheme="majorBidi"/>
          <w:lang w:val="ru-RU"/>
        </w:rPr>
        <w:t xml:space="preserve"> стратегии </w:t>
      </w:r>
      <w:r w:rsidR="00813189">
        <w:rPr>
          <w:rFonts w:asciiTheme="majorBidi" w:hAnsiTheme="majorBidi" w:cstheme="majorBidi"/>
          <w:lang w:val="ru-RU"/>
        </w:rPr>
        <w:t>мобилизации ресурсов, принятой в решении 15/7 Конференции Сторон, и в частности</w:t>
      </w:r>
      <w:r w:rsidRPr="00A20773">
        <w:rPr>
          <w:rFonts w:asciiTheme="majorBidi" w:hAnsiTheme="majorBidi" w:cstheme="majorBidi"/>
          <w:lang w:val="ru-RU"/>
        </w:rPr>
        <w:t xml:space="preserve"> включить положения об осуществлении Нагойского протокола в национальные планы финансирования биоразнообразия, </w:t>
      </w:r>
      <w:r>
        <w:rPr>
          <w:rFonts w:asciiTheme="majorBidi" w:hAnsiTheme="majorBidi" w:cstheme="majorBidi"/>
          <w:lang w:val="ru-RU"/>
        </w:rPr>
        <w:t>принимая во внимание статью</w:t>
      </w:r>
      <w:r w:rsidRPr="00A20773">
        <w:rPr>
          <w:rFonts w:asciiTheme="majorBidi" w:hAnsiTheme="majorBidi" w:cstheme="majorBidi"/>
          <w:lang w:val="ru-RU"/>
        </w:rPr>
        <w:t xml:space="preserve"> 20 </w:t>
      </w:r>
      <w:r>
        <w:rPr>
          <w:rFonts w:asciiTheme="majorBidi" w:hAnsiTheme="majorBidi" w:cstheme="majorBidi"/>
          <w:lang w:val="ru-RU"/>
        </w:rPr>
        <w:t>Конвенции</w:t>
      </w:r>
      <w:r w:rsidRPr="00A20773">
        <w:rPr>
          <w:rFonts w:asciiTheme="majorBidi" w:hAnsiTheme="majorBidi" w:cstheme="majorBidi"/>
          <w:lang w:val="ru-RU"/>
        </w:rPr>
        <w:t xml:space="preserve"> </w:t>
      </w:r>
      <w:r>
        <w:rPr>
          <w:rFonts w:asciiTheme="majorBidi" w:hAnsiTheme="majorBidi" w:cstheme="majorBidi"/>
          <w:lang w:val="ru-RU"/>
        </w:rPr>
        <w:t>о</w:t>
      </w:r>
      <w:r w:rsidRPr="00A20773">
        <w:rPr>
          <w:rFonts w:asciiTheme="majorBidi" w:hAnsiTheme="majorBidi" w:cstheme="majorBidi"/>
          <w:lang w:val="ru-RU"/>
        </w:rPr>
        <w:t xml:space="preserve"> </w:t>
      </w:r>
      <w:r>
        <w:rPr>
          <w:rFonts w:asciiTheme="majorBidi" w:hAnsiTheme="majorBidi" w:cstheme="majorBidi"/>
          <w:lang w:val="ru-RU"/>
        </w:rPr>
        <w:t>биологическом</w:t>
      </w:r>
      <w:r w:rsidRPr="00A20773">
        <w:rPr>
          <w:rFonts w:asciiTheme="majorBidi" w:hAnsiTheme="majorBidi" w:cstheme="majorBidi"/>
          <w:lang w:val="ru-RU"/>
        </w:rPr>
        <w:t xml:space="preserve"> </w:t>
      </w:r>
      <w:r>
        <w:rPr>
          <w:rFonts w:asciiTheme="majorBidi" w:hAnsiTheme="majorBidi" w:cstheme="majorBidi"/>
          <w:lang w:val="ru-RU"/>
        </w:rPr>
        <w:t>разнообразии</w:t>
      </w:r>
      <w:r w:rsidRPr="00A20773">
        <w:rPr>
          <w:rFonts w:asciiTheme="majorBidi" w:hAnsiTheme="majorBidi" w:cstheme="majorBidi"/>
          <w:lang w:val="ru-RU"/>
        </w:rPr>
        <w:t xml:space="preserve"> </w:t>
      </w:r>
      <w:r>
        <w:rPr>
          <w:rFonts w:asciiTheme="majorBidi" w:hAnsiTheme="majorBidi" w:cstheme="majorBidi"/>
          <w:lang w:val="ru-RU"/>
        </w:rPr>
        <w:t>и</w:t>
      </w:r>
      <w:r w:rsidRPr="00A20773">
        <w:rPr>
          <w:rFonts w:asciiTheme="majorBidi" w:hAnsiTheme="majorBidi" w:cstheme="majorBidi"/>
          <w:lang w:val="ru-RU"/>
        </w:rPr>
        <w:t xml:space="preserve"> </w:t>
      </w:r>
      <w:r>
        <w:rPr>
          <w:rFonts w:asciiTheme="majorBidi" w:hAnsiTheme="majorBidi" w:cstheme="majorBidi"/>
          <w:lang w:val="ru-RU"/>
        </w:rPr>
        <w:t>статью</w:t>
      </w:r>
      <w:r w:rsidRPr="00A20773">
        <w:rPr>
          <w:rFonts w:asciiTheme="majorBidi" w:hAnsiTheme="majorBidi" w:cstheme="majorBidi"/>
          <w:lang w:val="ru-RU"/>
        </w:rPr>
        <w:t xml:space="preserve"> 25 </w:t>
      </w:r>
      <w:r>
        <w:rPr>
          <w:rFonts w:asciiTheme="majorBidi" w:hAnsiTheme="majorBidi" w:cstheme="majorBidi"/>
          <w:lang w:val="ru-RU"/>
        </w:rPr>
        <w:t>Нагойского протокола</w:t>
      </w:r>
      <w:r w:rsidRPr="00A20773">
        <w:rPr>
          <w:rFonts w:asciiTheme="majorBidi" w:hAnsiTheme="majorBidi" w:cstheme="majorBidi"/>
          <w:lang w:val="ru-RU"/>
        </w:rPr>
        <w:t>.</w:t>
      </w:r>
      <w:r w:rsidR="007A3A42">
        <w:rPr>
          <w:rFonts w:asciiTheme="majorBidi" w:hAnsiTheme="majorBidi" w:cstheme="majorBidi"/>
          <w:lang w:val="ru-RU"/>
        </w:rPr>
        <w:t xml:space="preserve"> </w:t>
      </w:r>
      <w:bookmarkStart w:id="2" w:name="_GoBack"/>
      <w:bookmarkEnd w:id="2"/>
    </w:p>
    <w:p w14:paraId="4A64C233" w14:textId="77777777" w:rsidR="00C13AD7" w:rsidRPr="003543B4" w:rsidRDefault="00C13AD7" w:rsidP="003543B4">
      <w:pPr>
        <w:pStyle w:val="Para1"/>
        <w:numPr>
          <w:ilvl w:val="0"/>
          <w:numId w:val="0"/>
        </w:numPr>
        <w:pBdr>
          <w:top w:val="nil"/>
          <w:left w:val="nil"/>
          <w:bottom w:val="nil"/>
          <w:right w:val="nil"/>
          <w:between w:val="nil"/>
          <w:bar w:val="nil"/>
        </w:pBdr>
        <w:tabs>
          <w:tab w:val="left" w:pos="360"/>
        </w:tabs>
        <w:ind w:firstLine="720"/>
        <w:rPr>
          <w:lang w:val="ru-RU"/>
        </w:rPr>
      </w:pPr>
    </w:p>
    <w:p w14:paraId="4A64C234" w14:textId="77777777" w:rsidR="00B3369F" w:rsidRPr="00C9161D" w:rsidRDefault="00C9161D" w:rsidP="005F0F43">
      <w:pPr>
        <w:jc w:val="center"/>
      </w:pPr>
      <w:r w:rsidRPr="00C9161D">
        <w:t>_____</w:t>
      </w:r>
      <w:r w:rsidR="00EF7376">
        <w:t>_____</w:t>
      </w:r>
    </w:p>
    <w:sectPr w:rsidR="00B3369F" w:rsidRPr="00C9161D"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C114" w14:textId="77777777" w:rsidR="00E14909" w:rsidRDefault="00E14909" w:rsidP="00CF1848">
      <w:r>
        <w:separator/>
      </w:r>
    </w:p>
  </w:endnote>
  <w:endnote w:type="continuationSeparator" w:id="0">
    <w:p w14:paraId="45B296C0" w14:textId="77777777" w:rsidR="00E14909" w:rsidRDefault="00E1490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01F71" w14:textId="77777777" w:rsidR="00E14909" w:rsidRDefault="00E14909" w:rsidP="00CF1848">
      <w:r>
        <w:separator/>
      </w:r>
    </w:p>
  </w:footnote>
  <w:footnote w:type="continuationSeparator" w:id="0">
    <w:p w14:paraId="0D593256" w14:textId="77777777" w:rsidR="00E14909" w:rsidRDefault="00E14909" w:rsidP="00CF1848">
      <w:r>
        <w:continuationSeparator/>
      </w:r>
    </w:p>
  </w:footnote>
  <w:footnote w:id="1">
    <w:p w14:paraId="4A64C245" w14:textId="5081233E" w:rsidR="00F2228C" w:rsidRPr="00F552A1" w:rsidRDefault="00F2228C" w:rsidP="00F2228C">
      <w:pPr>
        <w:pStyle w:val="FootnoteText"/>
        <w:ind w:firstLine="0"/>
        <w:rPr>
          <w:lang w:val="ru-RU"/>
        </w:rPr>
      </w:pPr>
      <w:r w:rsidRPr="00DA10AB">
        <w:rPr>
          <w:rStyle w:val="FootnoteReference"/>
          <w:szCs w:val="20"/>
        </w:rPr>
        <w:footnoteRef/>
      </w:r>
      <w:r w:rsidRPr="00F50A63">
        <w:rPr>
          <w:vertAlign w:val="superscript"/>
          <w:lang w:val="ru-RU"/>
        </w:rPr>
        <w:t xml:space="preserve"> </w:t>
      </w:r>
      <w:r w:rsidRPr="00B92601">
        <w:rPr>
          <w:lang w:val="ru-RU"/>
        </w:rPr>
        <w:t xml:space="preserve">Доклад Глобального экологического фонда, представленный 15-му совещанию Конференции </w:t>
      </w:r>
      <w:r w:rsidR="00F552A1">
        <w:rPr>
          <w:lang w:val="ru-RU"/>
        </w:rPr>
        <w:t>С</w:t>
      </w:r>
      <w:r w:rsidRPr="00B92601">
        <w:rPr>
          <w:lang w:val="ru-RU"/>
        </w:rPr>
        <w:t>торон Конвенции о биологическом разнообразии (CBD/COP/15/8); Программные направления ГЭФ (</w:t>
      </w:r>
      <w:r w:rsidRPr="00F552A1">
        <w:rPr>
          <w:rStyle w:val="Hyperlink"/>
          <w:color w:val="auto"/>
          <w:kern w:val="18"/>
          <w:lang w:val="ru-RU"/>
        </w:rPr>
        <w:t>GEF/R.08/29/Rev.01)</w:t>
      </w:r>
      <w:r w:rsidR="00F552A1" w:rsidRPr="00F552A1">
        <w:rPr>
          <w:rStyle w:val="Hyperlink"/>
          <w:color w:val="auto"/>
          <w:kern w:val="18"/>
          <w:u w:val="none"/>
          <w:lang w:val="ru-RU"/>
        </w:rPr>
        <w:t>.</w:t>
      </w:r>
    </w:p>
  </w:footnote>
  <w:footnote w:id="2">
    <w:p w14:paraId="4A64C246" w14:textId="1C3CCAFE" w:rsidR="00F2228C" w:rsidRPr="00B92601" w:rsidRDefault="00F2228C" w:rsidP="00F2228C">
      <w:pPr>
        <w:pStyle w:val="FootnoteText"/>
        <w:ind w:firstLine="0"/>
        <w:rPr>
          <w:lang w:val="ru-RU"/>
        </w:rPr>
      </w:pPr>
      <w:r w:rsidRPr="00B92601">
        <w:rPr>
          <w:rStyle w:val="FootnoteReference"/>
          <w:szCs w:val="20"/>
          <w:lang w:val="ru-RU"/>
        </w:rPr>
        <w:footnoteRef/>
      </w:r>
      <w:r w:rsidRPr="00B92601">
        <w:rPr>
          <w:vertAlign w:val="superscript"/>
          <w:lang w:val="ru-RU"/>
        </w:rPr>
        <w:t xml:space="preserve"> </w:t>
      </w:r>
      <w:r w:rsidRPr="00B92601">
        <w:rPr>
          <w:lang w:val="ru-RU"/>
        </w:rPr>
        <w:t>Решение NP-4/</w:t>
      </w:r>
      <w:r w:rsidR="00EE1258">
        <w:rPr>
          <w:lang w:val="ru-RU"/>
        </w:rPr>
        <w:t>7</w:t>
      </w:r>
      <w:r w:rsidRPr="00B92601">
        <w:rPr>
          <w:lang w:val="ru-RU"/>
        </w:rPr>
        <w:t>, приложение.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4A64C23F" w14:textId="0CAE029D" w:rsidR="00534681" w:rsidRPr="00C5313F" w:rsidRDefault="00F2609D" w:rsidP="00534681">
        <w:pPr>
          <w:pStyle w:val="Header"/>
          <w:rPr>
            <w:lang w:val="ru-RU"/>
          </w:rPr>
        </w:pPr>
        <w:r>
          <w:rPr>
            <w:lang w:val="ru-RU"/>
          </w:rPr>
          <w:t>CBD/NP/MOP/DEC/4/8</w:t>
        </w:r>
      </w:p>
    </w:sdtContent>
  </w:sdt>
  <w:p w14:paraId="4A64C240" w14:textId="77777777" w:rsidR="00534681" w:rsidRPr="00C5313F" w:rsidRDefault="003543B4" w:rsidP="00534681">
    <w:pPr>
      <w:pStyle w:val="Header"/>
      <w:rPr>
        <w:lang w:val="ru-RU"/>
      </w:rPr>
    </w:pPr>
    <w:r>
      <w:rPr>
        <w:lang w:val="ru-RU"/>
      </w:rPr>
      <w:t>Страница</w:t>
    </w:r>
    <w:r w:rsidR="00534681" w:rsidRPr="00C5313F">
      <w:rPr>
        <w:lang w:val="ru-RU"/>
      </w:rPr>
      <w:t xml:space="preserve"> </w:t>
    </w:r>
    <w:r w:rsidR="006F2495">
      <w:fldChar w:fldCharType="begin"/>
    </w:r>
    <w:r w:rsidR="00534681" w:rsidRPr="00C5313F">
      <w:rPr>
        <w:lang w:val="ru-RU"/>
      </w:rPr>
      <w:instrText xml:space="preserve"> </w:instrText>
    </w:r>
    <w:r w:rsidR="00534681" w:rsidRPr="00134846">
      <w:rPr>
        <w:lang w:val="fr-FR"/>
      </w:rPr>
      <w:instrText>PAGE</w:instrText>
    </w:r>
    <w:r w:rsidR="00534681" w:rsidRPr="00C5313F">
      <w:rPr>
        <w:lang w:val="ru-RU"/>
      </w:rPr>
      <w:instrText xml:space="preserve">   \* </w:instrText>
    </w:r>
    <w:r w:rsidR="00534681" w:rsidRPr="00134846">
      <w:rPr>
        <w:lang w:val="fr-FR"/>
      </w:rPr>
      <w:instrText>MERGEFORMAT</w:instrText>
    </w:r>
    <w:r w:rsidR="00534681" w:rsidRPr="00C5313F">
      <w:rPr>
        <w:lang w:val="ru-RU"/>
      </w:rPr>
      <w:instrText xml:space="preserve"> </w:instrText>
    </w:r>
    <w:r w:rsidR="006F2495">
      <w:fldChar w:fldCharType="separate"/>
    </w:r>
    <w:r w:rsidR="007A3A42" w:rsidRPr="007A3A42">
      <w:rPr>
        <w:noProof/>
        <w:lang w:val="ru-RU"/>
      </w:rPr>
      <w:t>2</w:t>
    </w:r>
    <w:r w:rsidR="006F2495">
      <w:rPr>
        <w:noProof/>
      </w:rPr>
      <w:fldChar w:fldCharType="end"/>
    </w:r>
  </w:p>
  <w:p w14:paraId="4A64C241" w14:textId="77777777" w:rsidR="00534681" w:rsidRPr="00C5313F"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A64C242" w14:textId="43F90080" w:rsidR="009505C9" w:rsidRPr="00A72299" w:rsidRDefault="00F2609D" w:rsidP="009505C9">
        <w:pPr>
          <w:pStyle w:val="Header"/>
          <w:jc w:val="right"/>
          <w:rPr>
            <w:lang w:val="ru-RU"/>
          </w:rPr>
        </w:pPr>
        <w:r>
          <w:rPr>
            <w:lang w:val="ru-RU"/>
          </w:rPr>
          <w:t>CBD/NP/MOP/DEC/4/8</w:t>
        </w:r>
      </w:p>
    </w:sdtContent>
  </w:sdt>
  <w:p w14:paraId="4A64C243" w14:textId="77777777" w:rsidR="009505C9" w:rsidRPr="00A72299" w:rsidRDefault="002D4D1D" w:rsidP="009505C9">
    <w:pPr>
      <w:pStyle w:val="Header"/>
      <w:jc w:val="right"/>
      <w:rPr>
        <w:lang w:val="ru-RU"/>
      </w:rPr>
    </w:pPr>
    <w:r>
      <w:rPr>
        <w:lang w:val="ru-RU"/>
      </w:rPr>
      <w:t>Страница</w:t>
    </w:r>
    <w:r w:rsidR="009505C9" w:rsidRPr="00A72299">
      <w:rPr>
        <w:lang w:val="ru-RU"/>
      </w:rPr>
      <w:t xml:space="preserve"> </w:t>
    </w:r>
    <w:r w:rsidR="006F2495">
      <w:fldChar w:fldCharType="begin"/>
    </w:r>
    <w:r w:rsidR="009505C9" w:rsidRPr="00A72299">
      <w:rPr>
        <w:lang w:val="ru-RU"/>
      </w:rPr>
      <w:instrText xml:space="preserve"> </w:instrText>
    </w:r>
    <w:r w:rsidR="009505C9" w:rsidRPr="00134846">
      <w:rPr>
        <w:lang w:val="fr-FR"/>
      </w:rPr>
      <w:instrText>PAGE</w:instrText>
    </w:r>
    <w:r w:rsidR="009505C9" w:rsidRPr="00A72299">
      <w:rPr>
        <w:lang w:val="ru-RU"/>
      </w:rPr>
      <w:instrText xml:space="preserve">   \* </w:instrText>
    </w:r>
    <w:r w:rsidR="009505C9" w:rsidRPr="00134846">
      <w:rPr>
        <w:lang w:val="fr-FR"/>
      </w:rPr>
      <w:instrText>MERGEFORMAT</w:instrText>
    </w:r>
    <w:r w:rsidR="009505C9" w:rsidRPr="00A72299">
      <w:rPr>
        <w:lang w:val="ru-RU"/>
      </w:rPr>
      <w:instrText xml:space="preserve"> </w:instrText>
    </w:r>
    <w:r w:rsidR="006F2495">
      <w:fldChar w:fldCharType="separate"/>
    </w:r>
    <w:r w:rsidR="007A3A42" w:rsidRPr="007A3A42">
      <w:rPr>
        <w:noProof/>
        <w:lang w:val="ru-RU"/>
      </w:rPr>
      <w:t>3</w:t>
    </w:r>
    <w:r w:rsidR="006F2495">
      <w:rPr>
        <w:noProof/>
      </w:rPr>
      <w:fldChar w:fldCharType="end"/>
    </w:r>
  </w:p>
  <w:p w14:paraId="4A64C244" w14:textId="77777777" w:rsidR="009505C9" w:rsidRPr="00A72299" w:rsidRDefault="009505C9">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25E07"/>
    <w:rsid w:val="00053B24"/>
    <w:rsid w:val="00066F2D"/>
    <w:rsid w:val="0007171B"/>
    <w:rsid w:val="000C64C2"/>
    <w:rsid w:val="000E673A"/>
    <w:rsid w:val="000F74F5"/>
    <w:rsid w:val="00105372"/>
    <w:rsid w:val="001078CB"/>
    <w:rsid w:val="001226B6"/>
    <w:rsid w:val="001312AD"/>
    <w:rsid w:val="001312EB"/>
    <w:rsid w:val="00131E7A"/>
    <w:rsid w:val="00134846"/>
    <w:rsid w:val="00172AF6"/>
    <w:rsid w:val="00176CEE"/>
    <w:rsid w:val="00186DD8"/>
    <w:rsid w:val="001B13FE"/>
    <w:rsid w:val="001E38DB"/>
    <w:rsid w:val="00274635"/>
    <w:rsid w:val="002A6C47"/>
    <w:rsid w:val="002B0C32"/>
    <w:rsid w:val="002C08A5"/>
    <w:rsid w:val="002D4D1D"/>
    <w:rsid w:val="002E771E"/>
    <w:rsid w:val="0030169D"/>
    <w:rsid w:val="003060EB"/>
    <w:rsid w:val="003153EB"/>
    <w:rsid w:val="00321985"/>
    <w:rsid w:val="00351205"/>
    <w:rsid w:val="003543B4"/>
    <w:rsid w:val="00372F74"/>
    <w:rsid w:val="00386DD9"/>
    <w:rsid w:val="003B7BB2"/>
    <w:rsid w:val="003D0B38"/>
    <w:rsid w:val="003F1828"/>
    <w:rsid w:val="003F7224"/>
    <w:rsid w:val="00427D21"/>
    <w:rsid w:val="004644C2"/>
    <w:rsid w:val="00467F9C"/>
    <w:rsid w:val="004B22CD"/>
    <w:rsid w:val="00504D41"/>
    <w:rsid w:val="00534681"/>
    <w:rsid w:val="005626E0"/>
    <w:rsid w:val="00563442"/>
    <w:rsid w:val="00565B42"/>
    <w:rsid w:val="005B4ADC"/>
    <w:rsid w:val="005C4CE6"/>
    <w:rsid w:val="005E0ED3"/>
    <w:rsid w:val="005F0693"/>
    <w:rsid w:val="005F0F43"/>
    <w:rsid w:val="006044A8"/>
    <w:rsid w:val="00604A13"/>
    <w:rsid w:val="006122BA"/>
    <w:rsid w:val="0065472D"/>
    <w:rsid w:val="006B2290"/>
    <w:rsid w:val="006F2495"/>
    <w:rsid w:val="00717D88"/>
    <w:rsid w:val="00721914"/>
    <w:rsid w:val="007462DB"/>
    <w:rsid w:val="00786056"/>
    <w:rsid w:val="007942D3"/>
    <w:rsid w:val="007A3A42"/>
    <w:rsid w:val="007B2099"/>
    <w:rsid w:val="007B6C09"/>
    <w:rsid w:val="007B7741"/>
    <w:rsid w:val="007E09DA"/>
    <w:rsid w:val="007E0DA8"/>
    <w:rsid w:val="00813189"/>
    <w:rsid w:val="008178B6"/>
    <w:rsid w:val="0083009D"/>
    <w:rsid w:val="00832B03"/>
    <w:rsid w:val="00865B74"/>
    <w:rsid w:val="008974F0"/>
    <w:rsid w:val="008B012A"/>
    <w:rsid w:val="008C382F"/>
    <w:rsid w:val="008E4BD8"/>
    <w:rsid w:val="00902CAC"/>
    <w:rsid w:val="00906E17"/>
    <w:rsid w:val="00930BA1"/>
    <w:rsid w:val="0093169E"/>
    <w:rsid w:val="00937130"/>
    <w:rsid w:val="009505C9"/>
    <w:rsid w:val="00950752"/>
    <w:rsid w:val="0096064D"/>
    <w:rsid w:val="00966424"/>
    <w:rsid w:val="00996B0E"/>
    <w:rsid w:val="009C2DE6"/>
    <w:rsid w:val="00A1252A"/>
    <w:rsid w:val="00A429A5"/>
    <w:rsid w:val="00A72299"/>
    <w:rsid w:val="00A83373"/>
    <w:rsid w:val="00AA40ED"/>
    <w:rsid w:val="00AA6F92"/>
    <w:rsid w:val="00AB2545"/>
    <w:rsid w:val="00AB6934"/>
    <w:rsid w:val="00AC53F6"/>
    <w:rsid w:val="00AD7FFC"/>
    <w:rsid w:val="00AF42DE"/>
    <w:rsid w:val="00B02295"/>
    <w:rsid w:val="00B26ACD"/>
    <w:rsid w:val="00B3369F"/>
    <w:rsid w:val="00B94E6C"/>
    <w:rsid w:val="00BA33A0"/>
    <w:rsid w:val="00BB4606"/>
    <w:rsid w:val="00BC3306"/>
    <w:rsid w:val="00BF11F9"/>
    <w:rsid w:val="00C13AD7"/>
    <w:rsid w:val="00C15310"/>
    <w:rsid w:val="00C23D2F"/>
    <w:rsid w:val="00C26D4B"/>
    <w:rsid w:val="00C443BD"/>
    <w:rsid w:val="00C451C5"/>
    <w:rsid w:val="00C5313F"/>
    <w:rsid w:val="00C9161D"/>
    <w:rsid w:val="00CA0C1D"/>
    <w:rsid w:val="00CF1848"/>
    <w:rsid w:val="00D12044"/>
    <w:rsid w:val="00D30264"/>
    <w:rsid w:val="00D33EFC"/>
    <w:rsid w:val="00D40DBC"/>
    <w:rsid w:val="00D47A29"/>
    <w:rsid w:val="00D557B5"/>
    <w:rsid w:val="00D76A18"/>
    <w:rsid w:val="00D80849"/>
    <w:rsid w:val="00D82E8F"/>
    <w:rsid w:val="00D97D59"/>
    <w:rsid w:val="00DD118C"/>
    <w:rsid w:val="00E14909"/>
    <w:rsid w:val="00E205EF"/>
    <w:rsid w:val="00E32956"/>
    <w:rsid w:val="00E66235"/>
    <w:rsid w:val="00E83C24"/>
    <w:rsid w:val="00E9318D"/>
    <w:rsid w:val="00EC1F46"/>
    <w:rsid w:val="00EE1258"/>
    <w:rsid w:val="00EF1534"/>
    <w:rsid w:val="00EF7376"/>
    <w:rsid w:val="00F2228C"/>
    <w:rsid w:val="00F2609D"/>
    <w:rsid w:val="00F53193"/>
    <w:rsid w:val="00F5357E"/>
    <w:rsid w:val="00F552A1"/>
    <w:rsid w:val="00F6586C"/>
    <w:rsid w:val="00F94774"/>
    <w:rsid w:val="00F9496C"/>
    <w:rsid w:val="00FA0E9A"/>
    <w:rsid w:val="00FA663B"/>
    <w:rsid w:val="00FC25F8"/>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64C207"/>
  <w15:docId w15:val="{AC51BF43-4FEA-4B04-B075-A883014A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F2228C"/>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8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1EA865236034002AD810FDC41F4A8C7"/>
        <w:category>
          <w:name w:val="General"/>
          <w:gallery w:val="placeholder"/>
        </w:category>
        <w:types>
          <w:type w:val="bbPlcHdr"/>
        </w:types>
        <w:behaviors>
          <w:behavior w:val="content"/>
        </w:behaviors>
        <w:guid w:val="{2873673A-A8AC-4123-B96C-BE473683F259}"/>
      </w:docPartPr>
      <w:docPartBody>
        <w:p w:rsidR="00000000" w:rsidRDefault="009649A3" w:rsidP="009649A3">
          <w:pPr>
            <w:pStyle w:val="E1EA865236034002AD810FDC41F4A8C7"/>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164F4C"/>
    <w:rsid w:val="0046422C"/>
    <w:rsid w:val="004760CF"/>
    <w:rsid w:val="004D38F4"/>
    <w:rsid w:val="004E092F"/>
    <w:rsid w:val="00500A2B"/>
    <w:rsid w:val="0058288D"/>
    <w:rsid w:val="00665C6B"/>
    <w:rsid w:val="006801B3"/>
    <w:rsid w:val="00702A2D"/>
    <w:rsid w:val="00810A55"/>
    <w:rsid w:val="008C6619"/>
    <w:rsid w:val="008D420E"/>
    <w:rsid w:val="009362C6"/>
    <w:rsid w:val="00946454"/>
    <w:rsid w:val="009649A3"/>
    <w:rsid w:val="0098642F"/>
    <w:rsid w:val="00A23F20"/>
    <w:rsid w:val="00B27D2C"/>
    <w:rsid w:val="00C04427"/>
    <w:rsid w:val="00C8104B"/>
    <w:rsid w:val="00D220B5"/>
    <w:rsid w:val="00D31D12"/>
    <w:rsid w:val="00F0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9A3"/>
  </w:style>
  <w:style w:type="paragraph" w:customStyle="1" w:styleId="E1EA865236034002AD810FDC41F4A8C7">
    <w:name w:val="E1EA865236034002AD810FDC41F4A8C7"/>
    <w:rsid w:val="009649A3"/>
    <w:pPr>
      <w:spacing w:after="160" w:line="259" w:lineRule="auto"/>
    </w:pPr>
    <w:rPr>
      <w:lang w:val="es-ES_tradnl" w:eastAsia="es-ES_tradnl"/>
    </w:rPr>
  </w:style>
  <w:style w:type="paragraph" w:customStyle="1" w:styleId="2DE1413167C243D18495710DB3C458FC">
    <w:name w:val="2DE1413167C243D18495710DB3C458FC"/>
    <w:rsid w:val="009649A3"/>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A7FAFDF-F8C7-4911-B8FA-44A56D58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969</Words>
  <Characters>5335</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Access and Benefit-sharing Clearing-House and information sharing (Article 14)</vt:lpstr>
      <vt:lpstr>Access and Benefit-sharing Clearing-House and information sharing (Article 14)</vt:lpstr>
    </vt:vector>
  </TitlesOfParts>
  <Company>SCBD</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NP-4/8.	Механизм финансирования и финансовые ресурсы (статья 25)</dc:title>
  <dc:subject>CBD/NP/MOP/DEC/4/8</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20</cp:revision>
  <cp:lastPrinted>2020-01-21T16:56:00Z</cp:lastPrinted>
  <dcterms:created xsi:type="dcterms:W3CDTF">2023-02-22T18:38:00Z</dcterms:created>
  <dcterms:modified xsi:type="dcterms:W3CDTF">2023-02-22T22:17:00Z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