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4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865C9" w:rsidRPr="00482021" w:rsidTr="00B865C9">
        <w:trPr>
          <w:cantSplit/>
          <w:trHeight w:val="900"/>
        </w:trPr>
        <w:tc>
          <w:tcPr>
            <w:tcW w:w="6588" w:type="dxa"/>
            <w:gridSpan w:val="2"/>
            <w:tcBorders>
              <w:top w:val="nil"/>
              <w:left w:val="nil"/>
              <w:bottom w:val="single" w:sz="12" w:space="0" w:color="auto"/>
              <w:right w:val="nil"/>
            </w:tcBorders>
          </w:tcPr>
          <w:p w:rsidR="00B865C9" w:rsidRPr="00E6057C" w:rsidRDefault="00B865C9" w:rsidP="00B865C9">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B865C9" w:rsidRPr="00F9708A" w:rsidRDefault="00B865C9" w:rsidP="00B865C9">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B865C9" w:rsidRPr="005136A5" w:rsidRDefault="00B865C9" w:rsidP="00B865C9">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B865C9" w:rsidRPr="005136A5" w:rsidRDefault="00B865C9" w:rsidP="00B865C9">
            <w:pPr>
              <w:tabs>
                <w:tab w:val="left" w:pos="-720"/>
              </w:tabs>
              <w:suppressAutoHyphens/>
              <w:spacing w:line="120" w:lineRule="auto"/>
              <w:rPr>
                <w:lang w:val="en-US"/>
              </w:rPr>
            </w:pPr>
          </w:p>
        </w:tc>
      </w:tr>
      <w:tr w:rsidR="00B865C9" w:rsidRPr="00F9708A" w:rsidTr="00B865C9">
        <w:trPr>
          <w:cantSplit/>
          <w:trHeight w:val="1770"/>
        </w:trPr>
        <w:tc>
          <w:tcPr>
            <w:tcW w:w="4428" w:type="dxa"/>
            <w:tcBorders>
              <w:top w:val="single" w:sz="12" w:space="0" w:color="auto"/>
              <w:left w:val="nil"/>
              <w:bottom w:val="single" w:sz="12" w:space="0" w:color="auto"/>
              <w:right w:val="nil"/>
            </w:tcBorders>
          </w:tcPr>
          <w:p w:rsidR="00B865C9" w:rsidRPr="00FC32BA" w:rsidRDefault="00B865C9" w:rsidP="00B865C9">
            <w:pPr>
              <w:spacing w:before="60"/>
              <w:rPr>
                <w:sz w:val="22"/>
                <w:szCs w:val="22"/>
              </w:rPr>
            </w:pPr>
            <w:r w:rsidRPr="00FC32BA">
              <w:rPr>
                <w:sz w:val="22"/>
                <w:szCs w:val="22"/>
              </w:rPr>
              <w:t>Distr.</w:t>
            </w:r>
          </w:p>
          <w:p w:rsidR="00B865C9" w:rsidRPr="00D279A3" w:rsidRDefault="00B865C9" w:rsidP="00B865C9">
            <w:pPr>
              <w:rPr>
                <w:sz w:val="22"/>
                <w:szCs w:val="22"/>
                <w:lang w:val="en-US"/>
              </w:rPr>
            </w:pPr>
            <w:r>
              <w:rPr>
                <w:sz w:val="22"/>
                <w:szCs w:val="22"/>
              </w:rPr>
              <w:t>GENERAL</w:t>
            </w:r>
          </w:p>
          <w:p w:rsidR="00B865C9" w:rsidRPr="00FC32BA" w:rsidRDefault="00B865C9" w:rsidP="00B865C9">
            <w:pPr>
              <w:pStyle w:val="Heading3"/>
              <w:bidi w:val="0"/>
              <w:spacing w:before="0" w:after="0" w:line="240" w:lineRule="auto"/>
              <w:jc w:val="left"/>
              <w:rPr>
                <w:sz w:val="22"/>
                <w:szCs w:val="22"/>
                <w:lang w:val="en-US"/>
              </w:rPr>
            </w:pPr>
          </w:p>
          <w:p w:rsidR="00B865C9" w:rsidRPr="00B865C9" w:rsidRDefault="00B865C9" w:rsidP="002C2D4A">
            <w:pPr>
              <w:rPr>
                <w:sz w:val="22"/>
                <w:szCs w:val="22"/>
                <w:lang w:val="en-US"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6940B2">
              <w:rPr>
                <w:sz w:val="22"/>
                <w:szCs w:val="22"/>
                <w:lang w:val="en-GB" w:eastAsia="en-US"/>
              </w:rPr>
              <w:t>1</w:t>
            </w:r>
            <w:r w:rsidR="002C2D4A">
              <w:rPr>
                <w:rFonts w:hint="cs"/>
                <w:sz w:val="22"/>
                <w:szCs w:val="22"/>
                <w:rtl/>
                <w:lang w:val="en-GB" w:eastAsia="en-US"/>
              </w:rPr>
              <w:t>1</w:t>
            </w:r>
          </w:p>
          <w:p w:rsidR="00B865C9" w:rsidRPr="00FC32BA" w:rsidRDefault="00B865C9" w:rsidP="00B865C9">
            <w:pPr>
              <w:rPr>
                <w:rFonts w:eastAsia="MS Mincho"/>
                <w:sz w:val="22"/>
                <w:szCs w:val="22"/>
                <w:lang w:eastAsia="ja-JP"/>
              </w:rPr>
            </w:pPr>
            <w:r>
              <w:rPr>
                <w:sz w:val="22"/>
                <w:szCs w:val="22"/>
              </w:rPr>
              <w:t>19 December 2022</w:t>
            </w: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B865C9" w:rsidRPr="00FC32BA" w:rsidRDefault="00B865C9" w:rsidP="00B865C9">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B865C9" w:rsidRPr="00482021" w:rsidRDefault="00B865C9" w:rsidP="00B865C9">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D279A3" w:rsidRDefault="00F3077D" w:rsidP="0002460F">
      <w:pPr>
        <w:bidi/>
        <w:spacing w:line="216" w:lineRule="auto"/>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مؤتمر الأطراف في الاتف</w:t>
      </w:r>
      <w:r w:rsidR="0002460F">
        <w:rPr>
          <w:rFonts w:eastAsia="YouYuan" w:cs="Simplified Arabic"/>
          <w:b/>
          <w:bCs/>
          <w:kern w:val="2"/>
          <w:sz w:val="20"/>
          <w:rtl/>
          <w:lang w:val="en-US" w:eastAsia="en-US"/>
        </w:rPr>
        <w:t>اقية المتعلقة بالتنوع البيولوجي</w:t>
      </w:r>
    </w:p>
    <w:p w:rsidR="00F3077D" w:rsidRPr="00D279A3" w:rsidRDefault="00F3077D" w:rsidP="00F3077D">
      <w:pPr>
        <w:bidi/>
        <w:spacing w:line="216" w:lineRule="auto"/>
        <w:ind w:firstLine="180"/>
        <w:jc w:val="lowKashida"/>
        <w:rPr>
          <w:rFonts w:eastAsia="YouYuan" w:cs="Simplified Arabic" w:hint="cs"/>
          <w:b/>
          <w:bCs/>
          <w:kern w:val="2"/>
          <w:sz w:val="20"/>
          <w:rtl/>
          <w:lang w:val="en-US" w:eastAsia="en-US" w:bidi="ar-EG"/>
        </w:rPr>
      </w:pPr>
      <w:r w:rsidRPr="00D279A3">
        <w:rPr>
          <w:rFonts w:eastAsia="YouYuan" w:cs="Simplified Arabic"/>
          <w:b/>
          <w:bCs/>
          <w:kern w:val="2"/>
          <w:sz w:val="20"/>
          <w:rtl/>
          <w:lang w:val="en-US" w:eastAsia="en-US"/>
        </w:rPr>
        <w:t>العامل كاجتماع للأطراف في بروتوكول ناغويا</w:t>
      </w:r>
      <w:r w:rsidR="0002460F">
        <w:rPr>
          <w:rFonts w:eastAsia="YouYuan" w:cs="Simplified Arabic"/>
          <w:b/>
          <w:bCs/>
          <w:kern w:val="2"/>
          <w:sz w:val="20"/>
          <w:rtl/>
          <w:lang w:val="en-US" w:eastAsia="en-US"/>
        </w:rPr>
        <w:t xml:space="preserve"> بشأن</w:t>
      </w:r>
    </w:p>
    <w:p w:rsidR="00F3077D" w:rsidRPr="00D279A3" w:rsidRDefault="00F3077D" w:rsidP="00F3077D">
      <w:pPr>
        <w:bidi/>
        <w:spacing w:line="216" w:lineRule="auto"/>
        <w:ind w:firstLine="180"/>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 xml:space="preserve">الحصول على </w:t>
      </w:r>
      <w:r w:rsidR="0002460F">
        <w:rPr>
          <w:rFonts w:eastAsia="YouYuan" w:cs="Simplified Arabic"/>
          <w:b/>
          <w:bCs/>
          <w:kern w:val="2"/>
          <w:sz w:val="20"/>
          <w:rtl/>
          <w:lang w:val="en-US" w:eastAsia="en-US"/>
        </w:rPr>
        <w:t>الموارد الجينية والتقاسم العادل</w:t>
      </w:r>
    </w:p>
    <w:p w:rsidR="00F3077D" w:rsidRPr="00F3077D" w:rsidRDefault="00F3077D" w:rsidP="00F3077D">
      <w:pPr>
        <w:bidi/>
        <w:spacing w:line="216" w:lineRule="auto"/>
        <w:ind w:firstLine="180"/>
        <w:jc w:val="lowKashida"/>
        <w:rPr>
          <w:rFonts w:eastAsia="YouYuan" w:cs="Simplified Arabic" w:hint="cs"/>
          <w:kern w:val="2"/>
          <w:sz w:val="20"/>
          <w:rtl/>
          <w:lang w:val="en-US" w:eastAsia="en-US" w:bidi="ar-EG"/>
        </w:rPr>
      </w:pPr>
      <w:r w:rsidRPr="00D279A3">
        <w:rPr>
          <w:rFonts w:eastAsia="YouYuan" w:cs="Simplified Arabic"/>
          <w:b/>
          <w:bCs/>
          <w:kern w:val="2"/>
          <w:sz w:val="20"/>
          <w:rtl/>
          <w:lang w:val="en-US" w:eastAsia="en-US"/>
        </w:rPr>
        <w:t>والمنصف للمنافع الناشئة عن استخدامها</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 xml:space="preserve">الاجتماع الرابع </w:t>
      </w:r>
      <w:r w:rsidRPr="00F3077D">
        <w:rPr>
          <w:rFonts w:eastAsia="YouYuan" w:cs="Simplified Arabic"/>
          <w:kern w:val="2"/>
          <w:sz w:val="20"/>
          <w:rtl/>
          <w:lang w:val="en-US" w:eastAsia="en-US"/>
        </w:rPr>
        <w:t>–</w:t>
      </w:r>
      <w:r w:rsidRPr="00F3077D">
        <w:rPr>
          <w:rFonts w:eastAsia="YouYuan" w:cs="Simplified Arabic" w:hint="cs"/>
          <w:kern w:val="2"/>
          <w:sz w:val="20"/>
          <w:rtl/>
          <w:lang w:val="en-US" w:eastAsia="en-US"/>
        </w:rPr>
        <w:t xml:space="preserve"> الجزء الثاني</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مونتريال،</w:t>
      </w:r>
      <w:r w:rsidRPr="00F3077D">
        <w:rPr>
          <w:rFonts w:eastAsia="YouYuan" w:cs="Simplified Arabic" w:hint="cs"/>
          <w:kern w:val="2"/>
          <w:sz w:val="20"/>
          <w:rtl/>
          <w:lang w:val="en-US" w:eastAsia="en-US" w:bidi="ar-EG"/>
        </w:rPr>
        <w:t xml:space="preserve"> كندا،</w:t>
      </w:r>
      <w:r w:rsidRPr="00F3077D">
        <w:rPr>
          <w:rFonts w:eastAsia="YouYuan" w:cs="Simplified Arabic" w:hint="cs"/>
          <w:kern w:val="2"/>
          <w:sz w:val="20"/>
          <w:rtl/>
          <w:lang w:val="en-US" w:eastAsia="en-US"/>
        </w:rPr>
        <w:t xml:space="preserve"> 7-19 ديسمبر/كانون الأول 2022</w:t>
      </w:r>
    </w:p>
    <w:p w:rsidR="00F3077D" w:rsidRPr="00F3077D" w:rsidRDefault="00F3077D" w:rsidP="00370E46">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 xml:space="preserve">البند </w:t>
      </w:r>
      <w:r w:rsidR="00370E46">
        <w:rPr>
          <w:rFonts w:eastAsia="YouYuan" w:cs="Simplified Arabic"/>
          <w:kern w:val="2"/>
          <w:sz w:val="20"/>
          <w:lang w:val="en-US" w:eastAsia="en-US"/>
        </w:rPr>
        <w:t>15</w:t>
      </w:r>
      <w:r w:rsidRPr="00F3077D">
        <w:rPr>
          <w:rFonts w:eastAsia="YouYuan" w:cs="Simplified Arabic" w:hint="cs"/>
          <w:kern w:val="2"/>
          <w:sz w:val="20"/>
          <w:rtl/>
          <w:lang w:val="en-US" w:eastAsia="en-US"/>
        </w:rPr>
        <w:t xml:space="preserve"> من جدول الأعمال</w:t>
      </w:r>
    </w:p>
    <w:p w:rsidR="00F3077D" w:rsidRPr="00F3077D" w:rsidRDefault="00F3077D" w:rsidP="00370E46">
      <w:pPr>
        <w:bidi/>
        <w:spacing w:after="120" w:line="216" w:lineRule="auto"/>
        <w:jc w:val="both"/>
        <w:rPr>
          <w:rFonts w:eastAsia="YouYuan" w:cs="Simplified Arabic"/>
          <w:b/>
          <w:bCs/>
          <w:kern w:val="2"/>
          <w:sz w:val="20"/>
          <w:szCs w:val="22"/>
          <w:lang w:val="en-US" w:bidi="ar-EG"/>
        </w:rPr>
      </w:pPr>
    </w:p>
    <w:p w:rsidR="00D279A3" w:rsidRPr="0002460F" w:rsidRDefault="00D279A3" w:rsidP="00B865C9">
      <w:pPr>
        <w:bidi/>
        <w:spacing w:after="120" w:line="216" w:lineRule="auto"/>
        <w:jc w:val="center"/>
        <w:rPr>
          <w:rFonts w:cs="Simplified Arabic"/>
          <w:b/>
          <w:bCs/>
          <w:sz w:val="26"/>
          <w:szCs w:val="26"/>
          <w:rtl/>
          <w:lang w:val="en-US"/>
        </w:rPr>
      </w:pPr>
      <w:r w:rsidRPr="0002460F">
        <w:rPr>
          <w:rFonts w:hint="cs"/>
          <w:b/>
          <w:bCs/>
          <w:sz w:val="26"/>
          <w:szCs w:val="26"/>
          <w:rtl/>
        </w:rPr>
        <w:t>مقرر اعتمدته الأطراف في بروتوكول ناغويا بشأن الحصول وتقاسم المنافع</w:t>
      </w:r>
    </w:p>
    <w:p w:rsidR="00F3077D" w:rsidRPr="00370E46" w:rsidRDefault="00D279A3" w:rsidP="00370E46">
      <w:pPr>
        <w:tabs>
          <w:tab w:val="left" w:pos="1170"/>
        </w:tabs>
        <w:bidi/>
        <w:spacing w:after="120" w:line="216" w:lineRule="auto"/>
        <w:ind w:left="2340" w:hanging="1170"/>
        <w:rPr>
          <w:rFonts w:ascii="Simplified Arabic" w:hAnsi="Simplified Arabic" w:cs="Simplified Arabic"/>
          <w:b/>
          <w:bCs/>
          <w:sz w:val="22"/>
          <w:rtl/>
        </w:rPr>
      </w:pPr>
      <w:r w:rsidRPr="00B865C9">
        <w:rPr>
          <w:rFonts w:cs="Simplified Arabic"/>
          <w:b/>
          <w:bCs/>
          <w:sz w:val="22"/>
          <w:lang w:val="en-US"/>
        </w:rPr>
        <w:t>NP-4/</w:t>
      </w:r>
      <w:r w:rsidR="006940B2">
        <w:rPr>
          <w:rFonts w:cs="Simplified Arabic"/>
          <w:b/>
          <w:bCs/>
          <w:sz w:val="22"/>
          <w:lang w:val="en-US"/>
        </w:rPr>
        <w:t>1</w:t>
      </w:r>
      <w:r w:rsidR="00370E46">
        <w:rPr>
          <w:rFonts w:cs="Simplified Arabic"/>
          <w:b/>
          <w:bCs/>
          <w:sz w:val="22"/>
          <w:lang w:val="en-US"/>
        </w:rPr>
        <w:t>1</w:t>
      </w:r>
      <w:r w:rsidRPr="00B865C9">
        <w:rPr>
          <w:rFonts w:cs="Simplified Arabic"/>
          <w:b/>
          <w:bCs/>
          <w:sz w:val="22"/>
          <w:lang w:val="en-US"/>
        </w:rPr>
        <w:tab/>
      </w:r>
      <w:r w:rsidR="00370E46" w:rsidRPr="00370E46">
        <w:rPr>
          <w:rFonts w:ascii="Simplified Arabic" w:hAnsi="Simplified Arabic" w:cs="Simplified Arabic"/>
          <w:b/>
          <w:bCs/>
          <w:rtl/>
        </w:rPr>
        <w:t>الصكوك الدولية المتخصصة للحصول وتقاسم المنافع في سياق المادة 4، الفقرة 4، من بروتوكول ناغويا</w:t>
      </w:r>
    </w:p>
    <w:p w:rsidR="00B865C9" w:rsidRDefault="00B865C9" w:rsidP="00B865C9">
      <w:pPr>
        <w:kinsoku w:val="0"/>
        <w:overflowPunct w:val="0"/>
        <w:autoSpaceDE w:val="0"/>
        <w:autoSpaceDN w:val="0"/>
        <w:bidi/>
        <w:adjustRightInd w:val="0"/>
        <w:snapToGrid w:val="0"/>
        <w:spacing w:after="120" w:line="216" w:lineRule="auto"/>
        <w:ind w:left="713"/>
        <w:jc w:val="both"/>
        <w:rPr>
          <w:rFonts w:cs="Simplified Arabic" w:hint="cs"/>
          <w:i/>
          <w:iCs/>
          <w:sz w:val="22"/>
          <w:rtl/>
          <w:lang w:val="en-GB" w:bidi="ar-EG"/>
        </w:rPr>
      </w:pPr>
      <w:r w:rsidRPr="00B865C9">
        <w:rPr>
          <w:rFonts w:cs="Simplified Arabic" w:hint="cs"/>
          <w:i/>
          <w:iCs/>
          <w:sz w:val="22"/>
          <w:rtl/>
          <w:lang w:val="en-GB" w:bidi="ar-EG"/>
        </w:rPr>
        <w:t xml:space="preserve">إن </w:t>
      </w:r>
      <w:r w:rsidRPr="00B865C9">
        <w:rPr>
          <w:rFonts w:cs="Simplified Arabic" w:hint="cs"/>
          <w:i/>
          <w:iCs/>
          <w:snapToGrid w:val="0"/>
          <w:kern w:val="22"/>
          <w:sz w:val="22"/>
          <w:rtl/>
        </w:rPr>
        <w:t>مؤتمر</w:t>
      </w:r>
      <w:r w:rsidRPr="00B865C9">
        <w:rPr>
          <w:rFonts w:cs="Simplified Arabic" w:hint="cs"/>
          <w:i/>
          <w:iCs/>
          <w:sz w:val="22"/>
          <w:rtl/>
          <w:lang w:val="en-GB" w:bidi="ar-EG"/>
        </w:rPr>
        <w:t xml:space="preserve"> الأطراف العامل كاجتماع للأطراف في بروتوكول ناغويا بشأن الحصول وتقاسم المنافع،</w:t>
      </w:r>
    </w:p>
    <w:p w:rsidR="00370E46" w:rsidRPr="002C2D4A" w:rsidRDefault="00370E46" w:rsidP="00370E46">
      <w:pPr>
        <w:bidi/>
        <w:spacing w:after="120"/>
        <w:ind w:firstLine="720"/>
        <w:jc w:val="both"/>
        <w:rPr>
          <w:rFonts w:ascii="Simplified Arabic" w:hAnsi="Simplified Arabic" w:cs="Simplified Arabic"/>
          <w:rtl/>
        </w:rPr>
      </w:pPr>
      <w:r w:rsidRPr="002C2D4A">
        <w:rPr>
          <w:rFonts w:ascii="Simplified Arabic" w:hAnsi="Simplified Arabic" w:cs="Simplified Arabic"/>
          <w:i/>
          <w:iCs/>
          <w:rtl/>
        </w:rPr>
        <w:t>إذ يلاحظ</w:t>
      </w:r>
      <w:r w:rsidRPr="002C2D4A">
        <w:rPr>
          <w:rFonts w:ascii="Simplified Arabic" w:hAnsi="Simplified Arabic" w:cs="Simplified Arabic"/>
          <w:rtl/>
        </w:rPr>
        <w:t xml:space="preserve"> اختلاف الآراء فيما بين الأطراف بخصوص الصكوك الدولية المتخصصة للحصول وتقاسم المنافع في سياق المادة 4 من بروتوكول ناغويا،</w:t>
      </w:r>
    </w:p>
    <w:p w:rsidR="00370E46" w:rsidRPr="002C2D4A" w:rsidRDefault="00370E46" w:rsidP="00370E46">
      <w:pPr>
        <w:numPr>
          <w:ilvl w:val="0"/>
          <w:numId w:val="11"/>
        </w:numPr>
        <w:bidi/>
        <w:spacing w:after="120" w:line="216" w:lineRule="auto"/>
        <w:ind w:left="0" w:firstLine="720"/>
        <w:jc w:val="both"/>
        <w:rPr>
          <w:rFonts w:ascii="Simplified Arabic" w:hAnsi="Simplified Arabic" w:cs="Simplified Arabic"/>
        </w:rPr>
      </w:pPr>
      <w:r w:rsidRPr="002C2D4A">
        <w:rPr>
          <w:rFonts w:ascii="Simplified Arabic" w:hAnsi="Simplified Arabic" w:cs="Simplified Arabic"/>
          <w:i/>
          <w:iCs/>
          <w:rtl/>
        </w:rPr>
        <w:t>يحيط علما</w:t>
      </w:r>
      <w:r w:rsidRPr="002C2D4A">
        <w:rPr>
          <w:rFonts w:ascii="Simplified Arabic" w:hAnsi="Simplified Arabic" w:cs="Simplified Arabic"/>
          <w:rtl/>
        </w:rPr>
        <w:t xml:space="preserve"> بالتوصية 3/16 </w:t>
      </w:r>
      <w:r w:rsidRPr="002C2D4A">
        <w:rPr>
          <w:rFonts w:ascii="Simplified Arabic" w:hAnsi="Simplified Arabic" w:cs="Simplified Arabic"/>
          <w:rtl/>
          <w:lang w:bidi="ar-EG"/>
        </w:rPr>
        <w:t>ل</w:t>
      </w:r>
      <w:r w:rsidRPr="002C2D4A">
        <w:rPr>
          <w:rFonts w:ascii="Simplified Arabic" w:hAnsi="Simplified Arabic" w:cs="Simplified Arabic"/>
          <w:rtl/>
        </w:rPr>
        <w:t>لهيئة الفرعية للتنفيذ، بشأن الصكوك الدولية المتخصصة للحصول وتقاسم المنافع في سياق المادة 4، الفقرة 4 من بروتوكول ناغويا؛</w:t>
      </w:r>
    </w:p>
    <w:p w:rsidR="009F2543" w:rsidRPr="009F2543" w:rsidRDefault="00370E46" w:rsidP="009F2543">
      <w:pPr>
        <w:numPr>
          <w:ilvl w:val="0"/>
          <w:numId w:val="11"/>
        </w:numPr>
        <w:bidi/>
        <w:spacing w:after="120" w:line="216" w:lineRule="auto"/>
        <w:ind w:left="0" w:firstLine="720"/>
        <w:jc w:val="both"/>
        <w:rPr>
          <w:rFonts w:ascii="Simplified Arabic" w:hAnsi="Simplified Arabic" w:cs="Simplified Arabic"/>
          <w:rtl/>
        </w:rPr>
      </w:pPr>
      <w:r w:rsidRPr="002C2D4A">
        <w:rPr>
          <w:rFonts w:ascii="Simplified Arabic" w:hAnsi="Simplified Arabic" w:cs="Simplified Arabic"/>
          <w:i/>
          <w:iCs/>
          <w:rtl/>
        </w:rPr>
        <w:t>يقرر</w:t>
      </w:r>
      <w:r w:rsidRPr="002C2D4A">
        <w:rPr>
          <w:rFonts w:ascii="Simplified Arabic" w:hAnsi="Simplified Arabic" w:cs="Simplified Arabic"/>
          <w:rtl/>
        </w:rPr>
        <w:t xml:space="preserve"> إجراء المزيد من الاستعراض للبند في اجتماعه الخامس على أساس التوصية 3/16 المشار إليها أعلاه.</w:t>
      </w:r>
    </w:p>
    <w:p w:rsidR="009933FC" w:rsidRDefault="00386300" w:rsidP="002C2D4A">
      <w:pPr>
        <w:bidi/>
        <w:jc w:val="center"/>
        <w:rPr>
          <w:rFonts w:cs="Simplified Arabic"/>
          <w:sz w:val="22"/>
          <w:rtl/>
          <w:lang w:bidi="ar-EG"/>
        </w:rPr>
      </w:pPr>
      <w:r w:rsidRPr="006C5C25">
        <w:rPr>
          <w:rFonts w:cs="Simplified Arabic" w:hint="cs"/>
          <w:sz w:val="22"/>
          <w:rtl/>
          <w:lang w:bidi="ar-EG"/>
        </w:rPr>
        <w:t>__________</w:t>
      </w:r>
    </w:p>
    <w:sectPr w:rsidR="009933FC" w:rsidSect="00824237">
      <w:headerReference w:type="even" r:id="rId11"/>
      <w:headerReference w:type="default" r:id="rId12"/>
      <w:footnotePr>
        <w:numRestart w:val="eachSect"/>
      </w:footnotePr>
      <w:type w:val="continuous"/>
      <w:pgSz w:w="12240" w:h="15840" w:code="1"/>
      <w:pgMar w:top="864" w:right="1440" w:bottom="864" w:left="1440" w:header="461"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E29" w:rsidRDefault="005F7E29" w:rsidP="00C005BD">
      <w:r>
        <w:separator/>
      </w:r>
    </w:p>
  </w:endnote>
  <w:endnote w:type="continuationSeparator" w:id="0">
    <w:p w:rsidR="005F7E29" w:rsidRDefault="005F7E29"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E29" w:rsidRDefault="005F7E29" w:rsidP="00A319AA">
      <w:pPr>
        <w:bidi/>
      </w:pPr>
      <w:r>
        <w:separator/>
      </w:r>
    </w:p>
  </w:footnote>
  <w:footnote w:type="continuationSeparator" w:id="0">
    <w:p w:rsidR="005F7E29" w:rsidRDefault="005F7E29" w:rsidP="00C00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2" w:rsidRPr="005B7A59" w:rsidRDefault="00BD65AA" w:rsidP="00B865C9">
    <w:pPr>
      <w:jc w:val="right"/>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B865C9">
      <w:rPr>
        <w:sz w:val="22"/>
        <w:szCs w:val="22"/>
        <w:lang w:val="en-GB" w:eastAsia="en-US"/>
      </w:rPr>
      <w:t>9</w:t>
    </w:r>
  </w:p>
  <w:p w:rsidR="00FE6332" w:rsidRPr="005B7A59" w:rsidRDefault="00FE6332" w:rsidP="00C03153">
    <w:pPr>
      <w:pStyle w:val="Header"/>
      <w:jc w:val="right"/>
      <w:rPr>
        <w:sz w:val="22"/>
        <w:szCs w:val="22"/>
        <w:lang w:val="fr-CH"/>
      </w:rPr>
    </w:pPr>
    <w:r w:rsidRPr="005B7A59">
      <w:rPr>
        <w:sz w:val="22"/>
        <w:szCs w:val="22"/>
        <w:lang w:val="fr-CH"/>
      </w:rPr>
      <w:t xml:space="preserve">Page </w:t>
    </w:r>
    <w:r w:rsidR="0001130A" w:rsidRPr="006D75A6">
      <w:rPr>
        <w:sz w:val="22"/>
        <w:szCs w:val="22"/>
      </w:rPr>
      <w:fldChar w:fldCharType="begin"/>
    </w:r>
    <w:r w:rsidRPr="005B7A59">
      <w:rPr>
        <w:sz w:val="22"/>
        <w:szCs w:val="22"/>
        <w:lang w:val="fr-CH"/>
      </w:rPr>
      <w:instrText xml:space="preserve"> PAGE   \* MERGEFORMAT </w:instrText>
    </w:r>
    <w:r w:rsidR="0001130A" w:rsidRPr="006D75A6">
      <w:rPr>
        <w:sz w:val="22"/>
        <w:szCs w:val="22"/>
      </w:rPr>
      <w:fldChar w:fldCharType="separate"/>
    </w:r>
    <w:r w:rsidR="00370E46" w:rsidRPr="00370E46">
      <w:rPr>
        <w:noProof/>
        <w:szCs w:val="22"/>
        <w:lang w:val="fr-CH"/>
      </w:rPr>
      <w:t>2</w:t>
    </w:r>
    <w:r w:rsidR="0001130A" w:rsidRPr="006D75A6">
      <w:rPr>
        <w:noProof/>
        <w:sz w:val="22"/>
        <w:szCs w:val="22"/>
      </w:rPr>
      <w:fldChar w:fldCharType="end"/>
    </w:r>
  </w:p>
  <w:p w:rsidR="00FE6332" w:rsidRPr="005B7A59" w:rsidRDefault="00FE6332">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A6" w:rsidRPr="005B7A59" w:rsidRDefault="00BD65AA" w:rsidP="00C03153">
    <w:pPr>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6D75A6" w:rsidRDefault="006D75A6" w:rsidP="00C03153">
    <w:pPr>
      <w:pStyle w:val="Header"/>
      <w:rPr>
        <w:sz w:val="22"/>
        <w:szCs w:val="22"/>
        <w:lang w:val="fr-CH"/>
      </w:rPr>
    </w:pPr>
    <w:r w:rsidRPr="005B7A59">
      <w:rPr>
        <w:sz w:val="22"/>
        <w:szCs w:val="22"/>
        <w:lang w:val="fr-CH"/>
      </w:rPr>
      <w:t xml:space="preserve">Page </w:t>
    </w:r>
    <w:r w:rsidR="0001130A" w:rsidRPr="006D75A6">
      <w:rPr>
        <w:sz w:val="22"/>
        <w:szCs w:val="22"/>
      </w:rPr>
      <w:fldChar w:fldCharType="begin"/>
    </w:r>
    <w:r w:rsidRPr="005B7A59">
      <w:rPr>
        <w:sz w:val="22"/>
        <w:szCs w:val="22"/>
        <w:lang w:val="fr-CH"/>
      </w:rPr>
      <w:instrText xml:space="preserve"> PAGE   \* MERGEFORMAT </w:instrText>
    </w:r>
    <w:r w:rsidR="0001130A" w:rsidRPr="006D75A6">
      <w:rPr>
        <w:sz w:val="22"/>
        <w:szCs w:val="22"/>
      </w:rPr>
      <w:fldChar w:fldCharType="separate"/>
    </w:r>
    <w:r w:rsidR="00B865C9">
      <w:rPr>
        <w:noProof/>
        <w:sz w:val="22"/>
        <w:szCs w:val="22"/>
        <w:lang w:val="fr-CH"/>
      </w:rPr>
      <w:t>3</w:t>
    </w:r>
    <w:r w:rsidR="0001130A" w:rsidRPr="006D75A6">
      <w:rPr>
        <w:noProof/>
        <w:sz w:val="22"/>
        <w:szCs w:val="22"/>
      </w:rPr>
      <w:fldChar w:fldCharType="end"/>
    </w:r>
  </w:p>
  <w:p w:rsidR="00A22A05" w:rsidRPr="005B7A59" w:rsidRDefault="00A22A05" w:rsidP="00C0315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10"/>
  </w:num>
  <w:num w:numId="8">
    <w:abstractNumId w:val="4"/>
  </w:num>
  <w:num w:numId="9">
    <w:abstractNumId w:val="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38914"/>
  </w:hdrShapeDefaults>
  <w:footnotePr>
    <w:numRestart w:val="eachSect"/>
    <w:footnote w:id="-1"/>
    <w:footnote w:id="0"/>
  </w:footnotePr>
  <w:endnotePr>
    <w:endnote w:id="-1"/>
    <w:endnote w:id="0"/>
  </w:endnotePr>
  <w:compat/>
  <w:rsids>
    <w:rsidRoot w:val="001B692F"/>
    <w:rsid w:val="00000001"/>
    <w:rsid w:val="00001595"/>
    <w:rsid w:val="00004421"/>
    <w:rsid w:val="00004DD2"/>
    <w:rsid w:val="0000742A"/>
    <w:rsid w:val="00007805"/>
    <w:rsid w:val="0001130A"/>
    <w:rsid w:val="000141A3"/>
    <w:rsid w:val="00015E2F"/>
    <w:rsid w:val="000160AF"/>
    <w:rsid w:val="00020BC7"/>
    <w:rsid w:val="000212CF"/>
    <w:rsid w:val="00022635"/>
    <w:rsid w:val="0002460F"/>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2FC0"/>
    <w:rsid w:val="000A33A3"/>
    <w:rsid w:val="000A5943"/>
    <w:rsid w:val="000A6CB0"/>
    <w:rsid w:val="000B0397"/>
    <w:rsid w:val="000B0CB7"/>
    <w:rsid w:val="000B1263"/>
    <w:rsid w:val="000B375E"/>
    <w:rsid w:val="000B551A"/>
    <w:rsid w:val="000B7A1A"/>
    <w:rsid w:val="000C2646"/>
    <w:rsid w:val="000C3645"/>
    <w:rsid w:val="000C53C8"/>
    <w:rsid w:val="000C63A5"/>
    <w:rsid w:val="000C777F"/>
    <w:rsid w:val="000C7B4D"/>
    <w:rsid w:val="000D028B"/>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57D1"/>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D11"/>
    <w:rsid w:val="00227535"/>
    <w:rsid w:val="0023174B"/>
    <w:rsid w:val="0023231D"/>
    <w:rsid w:val="00233D7C"/>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12C6"/>
    <w:rsid w:val="002A5BE1"/>
    <w:rsid w:val="002A6320"/>
    <w:rsid w:val="002B0B2B"/>
    <w:rsid w:val="002B0EE3"/>
    <w:rsid w:val="002B65CB"/>
    <w:rsid w:val="002C04FC"/>
    <w:rsid w:val="002C2D4A"/>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252"/>
    <w:rsid w:val="003065EF"/>
    <w:rsid w:val="0030754F"/>
    <w:rsid w:val="003077BF"/>
    <w:rsid w:val="003140AF"/>
    <w:rsid w:val="003140EC"/>
    <w:rsid w:val="003142D5"/>
    <w:rsid w:val="0031642F"/>
    <w:rsid w:val="00317820"/>
    <w:rsid w:val="00320D8E"/>
    <w:rsid w:val="0032192A"/>
    <w:rsid w:val="0032263A"/>
    <w:rsid w:val="00322B56"/>
    <w:rsid w:val="00326B76"/>
    <w:rsid w:val="0033337E"/>
    <w:rsid w:val="003334D5"/>
    <w:rsid w:val="003365D8"/>
    <w:rsid w:val="00336F2F"/>
    <w:rsid w:val="00337348"/>
    <w:rsid w:val="00337C93"/>
    <w:rsid w:val="00340B98"/>
    <w:rsid w:val="00341291"/>
    <w:rsid w:val="003450A6"/>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0E46"/>
    <w:rsid w:val="00371027"/>
    <w:rsid w:val="003726CE"/>
    <w:rsid w:val="003748F0"/>
    <w:rsid w:val="00380AF8"/>
    <w:rsid w:val="00380F06"/>
    <w:rsid w:val="0038248F"/>
    <w:rsid w:val="0038336C"/>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2B1C"/>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22BB"/>
    <w:rsid w:val="004D45B4"/>
    <w:rsid w:val="004E29B4"/>
    <w:rsid w:val="004E67B5"/>
    <w:rsid w:val="004E72FC"/>
    <w:rsid w:val="004E7346"/>
    <w:rsid w:val="004F0AF8"/>
    <w:rsid w:val="004F0BF8"/>
    <w:rsid w:val="004F1EB2"/>
    <w:rsid w:val="004F67AD"/>
    <w:rsid w:val="00500517"/>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63D"/>
    <w:rsid w:val="005B794B"/>
    <w:rsid w:val="005B7A59"/>
    <w:rsid w:val="005C0388"/>
    <w:rsid w:val="005C1343"/>
    <w:rsid w:val="005C1724"/>
    <w:rsid w:val="005C2FF9"/>
    <w:rsid w:val="005C31CE"/>
    <w:rsid w:val="005C46F1"/>
    <w:rsid w:val="005C529A"/>
    <w:rsid w:val="005C5AFC"/>
    <w:rsid w:val="005D067F"/>
    <w:rsid w:val="005D0FAD"/>
    <w:rsid w:val="005D14C8"/>
    <w:rsid w:val="005D4774"/>
    <w:rsid w:val="005D743F"/>
    <w:rsid w:val="005D75BA"/>
    <w:rsid w:val="005E056D"/>
    <w:rsid w:val="005E2E5A"/>
    <w:rsid w:val="005E6305"/>
    <w:rsid w:val="005F2F57"/>
    <w:rsid w:val="005F4272"/>
    <w:rsid w:val="005F527A"/>
    <w:rsid w:val="005F5293"/>
    <w:rsid w:val="005F5E79"/>
    <w:rsid w:val="005F7E29"/>
    <w:rsid w:val="006031B6"/>
    <w:rsid w:val="00603268"/>
    <w:rsid w:val="00603B5B"/>
    <w:rsid w:val="006118FD"/>
    <w:rsid w:val="0061398F"/>
    <w:rsid w:val="00613B45"/>
    <w:rsid w:val="00616EC2"/>
    <w:rsid w:val="0062052E"/>
    <w:rsid w:val="00622141"/>
    <w:rsid w:val="0062303C"/>
    <w:rsid w:val="00623EE7"/>
    <w:rsid w:val="006243D1"/>
    <w:rsid w:val="00624D7E"/>
    <w:rsid w:val="00626166"/>
    <w:rsid w:val="00627052"/>
    <w:rsid w:val="006319EE"/>
    <w:rsid w:val="00631FA9"/>
    <w:rsid w:val="00632CC3"/>
    <w:rsid w:val="00633486"/>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40B2"/>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B03"/>
    <w:rsid w:val="006D05DF"/>
    <w:rsid w:val="006D0753"/>
    <w:rsid w:val="006D0959"/>
    <w:rsid w:val="006D75A6"/>
    <w:rsid w:val="006E09E2"/>
    <w:rsid w:val="006E0CC9"/>
    <w:rsid w:val="006E1B44"/>
    <w:rsid w:val="006E248E"/>
    <w:rsid w:val="006E2B67"/>
    <w:rsid w:val="006E57EE"/>
    <w:rsid w:val="006E6CF9"/>
    <w:rsid w:val="006E7532"/>
    <w:rsid w:val="006F2FD1"/>
    <w:rsid w:val="006F32A6"/>
    <w:rsid w:val="006F4B01"/>
    <w:rsid w:val="006F5606"/>
    <w:rsid w:val="00702984"/>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4A83"/>
    <w:rsid w:val="007C78ED"/>
    <w:rsid w:val="007D2725"/>
    <w:rsid w:val="007D32AF"/>
    <w:rsid w:val="007D401D"/>
    <w:rsid w:val="007D4AD9"/>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237"/>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801"/>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6DF"/>
    <w:rsid w:val="009A6AF9"/>
    <w:rsid w:val="009B2891"/>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2543"/>
    <w:rsid w:val="009F6F49"/>
    <w:rsid w:val="00A00C29"/>
    <w:rsid w:val="00A03BCD"/>
    <w:rsid w:val="00A054DB"/>
    <w:rsid w:val="00A06276"/>
    <w:rsid w:val="00A10AE0"/>
    <w:rsid w:val="00A10B97"/>
    <w:rsid w:val="00A12CC2"/>
    <w:rsid w:val="00A12EFE"/>
    <w:rsid w:val="00A16B4B"/>
    <w:rsid w:val="00A174ED"/>
    <w:rsid w:val="00A21F91"/>
    <w:rsid w:val="00A22A05"/>
    <w:rsid w:val="00A23B3A"/>
    <w:rsid w:val="00A27078"/>
    <w:rsid w:val="00A27159"/>
    <w:rsid w:val="00A27FCF"/>
    <w:rsid w:val="00A30B99"/>
    <w:rsid w:val="00A30E02"/>
    <w:rsid w:val="00A317A4"/>
    <w:rsid w:val="00A319AA"/>
    <w:rsid w:val="00A34D5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628"/>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1C95"/>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3A7"/>
    <w:rsid w:val="00B7190B"/>
    <w:rsid w:val="00B73EAB"/>
    <w:rsid w:val="00B85E71"/>
    <w:rsid w:val="00B865C9"/>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103"/>
    <w:rsid w:val="00BD0480"/>
    <w:rsid w:val="00BD0523"/>
    <w:rsid w:val="00BD05FD"/>
    <w:rsid w:val="00BD1364"/>
    <w:rsid w:val="00BD321B"/>
    <w:rsid w:val="00BD3FAF"/>
    <w:rsid w:val="00BD4A09"/>
    <w:rsid w:val="00BD57FF"/>
    <w:rsid w:val="00BD65AA"/>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153"/>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1A8"/>
    <w:rsid w:val="00D24A2B"/>
    <w:rsid w:val="00D24A36"/>
    <w:rsid w:val="00D25E6A"/>
    <w:rsid w:val="00D279A3"/>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54A0"/>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2D5"/>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130"/>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4A33"/>
    <w:rsid w:val="00E17E94"/>
    <w:rsid w:val="00E201EB"/>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3A85"/>
    <w:rsid w:val="00FB4127"/>
    <w:rsid w:val="00FB56EA"/>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paragraph" w:styleId="BalloonText">
    <w:name w:val="Balloon Text"/>
    <w:basedOn w:val="Normal"/>
    <w:link w:val="BalloonTextChar"/>
    <w:semiHidden/>
    <w:unhideWhenUsed/>
    <w:rsid w:val="00C03153"/>
    <w:rPr>
      <w:rFonts w:ascii="Tahoma" w:hAnsi="Tahoma" w:cs="Tahoma"/>
      <w:sz w:val="16"/>
      <w:szCs w:val="16"/>
    </w:rPr>
  </w:style>
  <w:style w:type="character" w:customStyle="1" w:styleId="BalloonTextChar">
    <w:name w:val="Balloon Text Char"/>
    <w:basedOn w:val="DefaultParagraphFont"/>
    <w:link w:val="BalloonText"/>
    <w:semiHidden/>
    <w:rsid w:val="00C03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7F420-FDEB-46BC-88E8-47FADC97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867</Characters>
  <Application>Microsoft Office Word</Application>
  <DocSecurity>0</DocSecurity>
  <Lines>37</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Compliance with the Protocol</vt:lpstr>
    </vt:vector>
  </TitlesOfParts>
  <Company>SCBD</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5</cp:revision>
  <cp:lastPrinted>2023-02-17T16:17:00Z</cp:lastPrinted>
  <dcterms:created xsi:type="dcterms:W3CDTF">2023-02-19T22:58:00Z</dcterms:created>
  <dcterms:modified xsi:type="dcterms:W3CDTF">2023-02-19T23:11:00Z</dcterms:modified>
</cp:coreProperties>
</file>