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Layout w:type="fixed"/>
        <w:tblLook w:val="00A0"/>
      </w:tblPr>
      <w:tblGrid>
        <w:gridCol w:w="974"/>
        <w:gridCol w:w="5053"/>
        <w:gridCol w:w="4180"/>
      </w:tblGrid>
      <w:tr w:rsidR="00A066D4" w:rsidRPr="005E2E1B">
        <w:trPr>
          <w:trHeight w:val="709"/>
        </w:trPr>
        <w:tc>
          <w:tcPr>
            <w:tcW w:w="974" w:type="dxa"/>
            <w:tcBorders>
              <w:bottom w:val="single" w:sz="12" w:space="0" w:color="auto"/>
            </w:tcBorders>
          </w:tcPr>
          <w:p w:rsidR="00A066D4" w:rsidRPr="005E2E1B" w:rsidRDefault="007B5E9C">
            <w:pPr>
              <w:kinsoku w:val="0"/>
              <w:overflowPunct w:val="0"/>
              <w:autoSpaceDE w:val="0"/>
              <w:autoSpaceDN w:val="0"/>
              <w:rPr>
                <w:rFonts w:eastAsia="Times New Roman"/>
                <w:kern w:val="22"/>
                <w:sz w:val="24"/>
                <w:szCs w:val="24"/>
                <w:lang w:val="es-ES"/>
              </w:rPr>
            </w:pPr>
            <w:r w:rsidRPr="005E2E1B">
              <w:rPr>
                <w:rFonts w:eastAsia="Times New Roman"/>
                <w:snapToGrid/>
                <w:kern w:val="22"/>
                <w:sz w:val="24"/>
                <w:szCs w:val="24"/>
                <w:lang w:val="es-ES" w:eastAsia="en-US"/>
              </w:rPr>
              <w:drawing>
                <wp:inline distT="0" distB="0" distL="0" distR="0">
                  <wp:extent cx="427990" cy="363220"/>
                  <wp:effectExtent l="19050" t="0" r="0" b="0"/>
                  <wp:docPr id="1"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mf"/>
                          <pic:cNvPicPr>
                            <a:picLocks noChangeAspect="1" noChangeArrowheads="1"/>
                          </pic:cNvPicPr>
                        </pic:nvPicPr>
                        <pic:blipFill>
                          <a:blip r:embed="rId7"/>
                          <a:srcRect/>
                          <a:stretch>
                            <a:fillRect/>
                          </a:stretch>
                        </pic:blipFill>
                        <pic:spPr bwMode="auto">
                          <a:xfrm>
                            <a:off x="0" y="0"/>
                            <a:ext cx="427990" cy="363220"/>
                          </a:xfrm>
                          <a:prstGeom prst="rect">
                            <a:avLst/>
                          </a:prstGeom>
                          <a:noFill/>
                          <a:ln w="9525">
                            <a:noFill/>
                            <a:miter lim="800000"/>
                            <a:headEnd/>
                            <a:tailEnd/>
                          </a:ln>
                        </pic:spPr>
                      </pic:pic>
                    </a:graphicData>
                  </a:graphic>
                </wp:inline>
              </w:drawing>
            </w:r>
          </w:p>
        </w:tc>
        <w:tc>
          <w:tcPr>
            <w:tcW w:w="5053" w:type="dxa"/>
            <w:tcBorders>
              <w:bottom w:val="single" w:sz="12" w:space="0" w:color="auto"/>
            </w:tcBorders>
          </w:tcPr>
          <w:p w:rsidR="00A066D4" w:rsidRPr="005E2E1B" w:rsidRDefault="007B5E9C">
            <w:pPr>
              <w:kinsoku w:val="0"/>
              <w:overflowPunct w:val="0"/>
              <w:autoSpaceDE w:val="0"/>
              <w:autoSpaceDN w:val="0"/>
              <w:rPr>
                <w:rFonts w:eastAsia="Times New Roman"/>
                <w:kern w:val="22"/>
                <w:sz w:val="24"/>
                <w:szCs w:val="24"/>
                <w:lang w:val="es-ES"/>
              </w:rPr>
            </w:pPr>
            <w:r w:rsidRPr="005E2E1B">
              <w:rPr>
                <w:rFonts w:eastAsia="Times New Roman"/>
                <w:snapToGrid/>
                <w:kern w:val="22"/>
                <w:sz w:val="24"/>
                <w:szCs w:val="24"/>
                <w:lang w:val="es-ES" w:eastAsia="en-US"/>
              </w:rPr>
              <w:drawing>
                <wp:inline distT="0" distB="0" distL="0" distR="0">
                  <wp:extent cx="609600" cy="34607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9600" cy="346075"/>
                          </a:xfrm>
                          <a:prstGeom prst="rect">
                            <a:avLst/>
                          </a:prstGeom>
                          <a:noFill/>
                          <a:ln w="9525">
                            <a:noFill/>
                            <a:miter lim="800000"/>
                            <a:headEnd/>
                            <a:tailEnd/>
                          </a:ln>
                        </pic:spPr>
                      </pic:pic>
                    </a:graphicData>
                  </a:graphic>
                </wp:inline>
              </w:drawing>
            </w:r>
          </w:p>
        </w:tc>
        <w:tc>
          <w:tcPr>
            <w:tcW w:w="4180" w:type="dxa"/>
            <w:tcBorders>
              <w:bottom w:val="single" w:sz="12" w:space="0" w:color="auto"/>
            </w:tcBorders>
          </w:tcPr>
          <w:p w:rsidR="00A066D4" w:rsidRPr="005E2E1B" w:rsidRDefault="00A066D4">
            <w:pPr>
              <w:kinsoku w:val="0"/>
              <w:overflowPunct w:val="0"/>
              <w:autoSpaceDE w:val="0"/>
              <w:autoSpaceDN w:val="0"/>
              <w:jc w:val="right"/>
              <w:rPr>
                <w:rFonts w:ascii="Arial" w:eastAsia="Times New Roman" w:hAnsi="Arial" w:cs="Arial"/>
                <w:b/>
                <w:bCs/>
                <w:kern w:val="22"/>
                <w:sz w:val="32"/>
                <w:szCs w:val="32"/>
                <w:lang w:val="es-ES"/>
              </w:rPr>
            </w:pPr>
            <w:r w:rsidRPr="005E2E1B">
              <w:rPr>
                <w:rFonts w:ascii="Arial" w:eastAsia="Times New Roman" w:hAnsi="Arial" w:cs="Arial"/>
                <w:b/>
                <w:bCs/>
                <w:kern w:val="22"/>
                <w:sz w:val="32"/>
                <w:szCs w:val="32"/>
                <w:lang w:val="es-ES"/>
              </w:rPr>
              <w:t>CBD</w:t>
            </w:r>
          </w:p>
        </w:tc>
      </w:tr>
      <w:tr w:rsidR="00A066D4" w:rsidRPr="005E2E1B">
        <w:tc>
          <w:tcPr>
            <w:tcW w:w="6027" w:type="dxa"/>
            <w:gridSpan w:val="2"/>
            <w:tcBorders>
              <w:top w:val="single" w:sz="12" w:space="0" w:color="auto"/>
              <w:bottom w:val="single" w:sz="36" w:space="0" w:color="auto"/>
            </w:tcBorders>
            <w:vAlign w:val="center"/>
          </w:tcPr>
          <w:p w:rsidR="00A066D4" w:rsidRPr="005E2E1B" w:rsidRDefault="007B5E9C">
            <w:pPr>
              <w:kinsoku w:val="0"/>
              <w:overflowPunct w:val="0"/>
              <w:autoSpaceDE w:val="0"/>
              <w:autoSpaceDN w:val="0"/>
              <w:rPr>
                <w:rFonts w:eastAsia="Times New Roman"/>
                <w:kern w:val="22"/>
                <w:sz w:val="24"/>
                <w:szCs w:val="24"/>
                <w:lang w:val="es-ES"/>
              </w:rPr>
            </w:pPr>
            <w:r w:rsidRPr="005E2E1B">
              <w:rPr>
                <w:rFonts w:eastAsia="Times New Roman"/>
                <w:snapToGrid/>
                <w:kern w:val="22"/>
                <w:sz w:val="24"/>
                <w:szCs w:val="24"/>
                <w:lang w:val="es-ES" w:eastAsia="en-US"/>
              </w:rPr>
              <w:drawing>
                <wp:inline distT="0" distB="0" distL="0" distR="0">
                  <wp:extent cx="2872105" cy="1049020"/>
                  <wp:effectExtent l="19050" t="0" r="4445"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872105" cy="1049020"/>
                          </a:xfrm>
                          <a:prstGeom prst="rect">
                            <a:avLst/>
                          </a:prstGeom>
                          <a:noFill/>
                          <a:ln w="9525">
                            <a:noFill/>
                            <a:miter lim="800000"/>
                            <a:headEnd/>
                            <a:tailEnd/>
                          </a:ln>
                        </pic:spPr>
                      </pic:pic>
                    </a:graphicData>
                  </a:graphic>
                </wp:inline>
              </w:drawing>
            </w:r>
          </w:p>
        </w:tc>
        <w:tc>
          <w:tcPr>
            <w:tcW w:w="4180" w:type="dxa"/>
            <w:tcBorders>
              <w:top w:val="single" w:sz="12" w:space="0" w:color="auto"/>
              <w:bottom w:val="single" w:sz="36" w:space="0" w:color="auto"/>
            </w:tcBorders>
          </w:tcPr>
          <w:p w:rsidR="00A066D4" w:rsidRPr="005E2E1B" w:rsidRDefault="00A066D4">
            <w:pPr>
              <w:kinsoku w:val="0"/>
              <w:overflowPunct w:val="0"/>
              <w:autoSpaceDE w:val="0"/>
              <w:autoSpaceDN w:val="0"/>
              <w:ind w:left="1470"/>
              <w:rPr>
                <w:rFonts w:eastAsia="Times New Roman"/>
                <w:kern w:val="22"/>
                <w:lang w:val="es-ES"/>
              </w:rPr>
            </w:pPr>
            <w:r w:rsidRPr="005E2E1B">
              <w:rPr>
                <w:rFonts w:eastAsia="Times New Roman"/>
                <w:kern w:val="22"/>
                <w:lang w:val="es-ES"/>
              </w:rPr>
              <w:t>Distr.</w:t>
            </w:r>
          </w:p>
          <w:p w:rsidR="00A066D4" w:rsidRPr="005E2E1B" w:rsidRDefault="00A066D4">
            <w:pPr>
              <w:kinsoku w:val="0"/>
              <w:overflowPunct w:val="0"/>
              <w:autoSpaceDE w:val="0"/>
              <w:autoSpaceDN w:val="0"/>
              <w:ind w:left="1470"/>
              <w:rPr>
                <w:rFonts w:eastAsia="Times New Roman"/>
                <w:kern w:val="22"/>
                <w:lang w:val="es-ES"/>
              </w:rPr>
            </w:pPr>
            <w:r w:rsidRPr="005E2E1B">
              <w:rPr>
                <w:rFonts w:eastAsia="Times New Roman"/>
                <w:caps/>
                <w:lang w:val="es-ES"/>
              </w:rPr>
              <w:t>GENERAL</w:t>
            </w:r>
          </w:p>
          <w:p w:rsidR="00A066D4" w:rsidRPr="005E2E1B" w:rsidRDefault="00A066D4">
            <w:pPr>
              <w:ind w:left="1469"/>
              <w:rPr>
                <w:rFonts w:eastAsia="Times New Roman"/>
                <w:lang w:val="es-ES"/>
              </w:rPr>
            </w:pPr>
          </w:p>
          <w:p w:rsidR="00A066D4" w:rsidRPr="005E2E1B" w:rsidRDefault="00A066D4">
            <w:pPr>
              <w:kinsoku w:val="0"/>
              <w:overflowPunct w:val="0"/>
              <w:autoSpaceDE w:val="0"/>
              <w:autoSpaceDN w:val="0"/>
              <w:ind w:left="1470"/>
              <w:rPr>
                <w:rFonts w:eastAsia="Times New Roman"/>
                <w:lang w:val="es-ES"/>
              </w:rPr>
            </w:pPr>
            <w:r w:rsidRPr="005E2E1B">
              <w:rPr>
                <w:rFonts w:eastAsia="Times New Roman"/>
                <w:caps/>
                <w:sz w:val="24"/>
                <w:szCs w:val="24"/>
                <w:lang w:val="es-ES"/>
              </w:rPr>
              <w:t>CBD/NP/MOP/DEC/4/12</w:t>
            </w:r>
          </w:p>
          <w:p w:rsidR="00A066D4" w:rsidRPr="005E2E1B" w:rsidRDefault="00A066D4">
            <w:pPr>
              <w:kinsoku w:val="0"/>
              <w:overflowPunct w:val="0"/>
              <w:autoSpaceDE w:val="0"/>
              <w:autoSpaceDN w:val="0"/>
              <w:ind w:left="1470"/>
              <w:rPr>
                <w:rFonts w:eastAsia="Times New Roman"/>
                <w:kern w:val="22"/>
                <w:lang w:val="es-ES"/>
              </w:rPr>
            </w:pPr>
            <w:r w:rsidRPr="005E2E1B">
              <w:rPr>
                <w:rFonts w:eastAsia="Times New Roman"/>
                <w:kern w:val="22"/>
                <w:lang w:val="es-ES"/>
              </w:rPr>
              <w:t>19 de diciembre de 2022</w:t>
            </w:r>
          </w:p>
          <w:p w:rsidR="00A066D4" w:rsidRPr="005E2E1B" w:rsidRDefault="00A066D4">
            <w:pPr>
              <w:kinsoku w:val="0"/>
              <w:overflowPunct w:val="0"/>
              <w:autoSpaceDE w:val="0"/>
              <w:autoSpaceDN w:val="0"/>
              <w:ind w:left="1470"/>
              <w:rPr>
                <w:rFonts w:eastAsia="Times New Roman"/>
                <w:kern w:val="22"/>
                <w:lang w:val="es-ES"/>
              </w:rPr>
            </w:pPr>
          </w:p>
          <w:p w:rsidR="00A066D4" w:rsidRPr="005E2E1B" w:rsidRDefault="00A066D4">
            <w:pPr>
              <w:kinsoku w:val="0"/>
              <w:overflowPunct w:val="0"/>
              <w:autoSpaceDE w:val="0"/>
              <w:autoSpaceDN w:val="0"/>
              <w:ind w:left="1470"/>
              <w:rPr>
                <w:rFonts w:eastAsia="Times New Roman"/>
                <w:kern w:val="22"/>
                <w:lang w:val="es-ES"/>
              </w:rPr>
            </w:pPr>
            <w:r w:rsidRPr="005E2E1B">
              <w:rPr>
                <w:rFonts w:eastAsia="Times New Roman"/>
                <w:kern w:val="22"/>
                <w:lang w:val="es-ES"/>
              </w:rPr>
              <w:t>ESPAÑOL</w:t>
            </w:r>
          </w:p>
          <w:p w:rsidR="00A066D4" w:rsidRPr="005E2E1B" w:rsidRDefault="00A066D4">
            <w:pPr>
              <w:kinsoku w:val="0"/>
              <w:overflowPunct w:val="0"/>
              <w:autoSpaceDE w:val="0"/>
              <w:autoSpaceDN w:val="0"/>
              <w:ind w:left="1470"/>
              <w:rPr>
                <w:rFonts w:eastAsia="Times New Roman"/>
                <w:kern w:val="22"/>
                <w:lang w:val="es-ES"/>
              </w:rPr>
            </w:pPr>
            <w:r w:rsidRPr="005E2E1B">
              <w:rPr>
                <w:rFonts w:eastAsia="Times New Roman"/>
                <w:kern w:val="22"/>
                <w:lang w:val="es-ES"/>
              </w:rPr>
              <w:t>ORIGINAL: INGLÉS</w:t>
            </w:r>
          </w:p>
          <w:p w:rsidR="00A066D4" w:rsidRPr="005E2E1B" w:rsidRDefault="00A066D4">
            <w:pPr>
              <w:kinsoku w:val="0"/>
              <w:overflowPunct w:val="0"/>
              <w:autoSpaceDE w:val="0"/>
              <w:autoSpaceDN w:val="0"/>
              <w:rPr>
                <w:rFonts w:eastAsia="Times New Roman"/>
                <w:kern w:val="22"/>
                <w:sz w:val="24"/>
                <w:szCs w:val="24"/>
                <w:lang w:val="es-ES"/>
              </w:rPr>
            </w:pPr>
          </w:p>
        </w:tc>
      </w:tr>
    </w:tbl>
    <w:p w:rsidR="00A066D4" w:rsidRPr="005E2E1B" w:rsidRDefault="00A066D4">
      <w:pPr>
        <w:pStyle w:val="Cornernotation"/>
        <w:kinsoku w:val="0"/>
        <w:overflowPunct w:val="0"/>
        <w:autoSpaceDE w:val="0"/>
        <w:autoSpaceDN w:val="0"/>
        <w:spacing w:before="60"/>
        <w:ind w:left="227" w:right="3792" w:hanging="227"/>
        <w:rPr>
          <w:rFonts w:eastAsia="Times New Roman"/>
          <w:kern w:val="22"/>
          <w:lang w:val="es-ES"/>
        </w:rPr>
      </w:pPr>
      <w:r w:rsidRPr="005E2E1B">
        <w:rPr>
          <w:rFonts w:eastAsia="Times New Roman"/>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A066D4" w:rsidRPr="005E2E1B" w:rsidRDefault="00A066D4">
      <w:pPr>
        <w:pStyle w:val="Cornernotation"/>
        <w:kinsoku w:val="0"/>
        <w:overflowPunct w:val="0"/>
        <w:autoSpaceDE w:val="0"/>
        <w:autoSpaceDN w:val="0"/>
        <w:ind w:left="0" w:right="3792" w:firstLine="0"/>
        <w:rPr>
          <w:rFonts w:eastAsia="Times New Roman"/>
          <w:kern w:val="22"/>
          <w:lang w:val="es-ES"/>
        </w:rPr>
      </w:pPr>
      <w:r w:rsidRPr="005E2E1B">
        <w:rPr>
          <w:rFonts w:eastAsia="Times New Roman"/>
          <w:kern w:val="22"/>
          <w:lang w:val="es-ES"/>
        </w:rPr>
        <w:t>Cuarta reunión – Parte II</w:t>
      </w:r>
    </w:p>
    <w:p w:rsidR="00A066D4" w:rsidRPr="005E2E1B" w:rsidRDefault="00A066D4">
      <w:pPr>
        <w:pStyle w:val="Cornernotation"/>
        <w:kinsoku w:val="0"/>
        <w:overflowPunct w:val="0"/>
        <w:autoSpaceDE w:val="0"/>
        <w:autoSpaceDN w:val="0"/>
        <w:ind w:left="227" w:right="3792" w:hanging="227"/>
        <w:rPr>
          <w:rFonts w:eastAsia="Times New Roman"/>
          <w:kern w:val="22"/>
          <w:lang w:val="es-ES"/>
        </w:rPr>
      </w:pPr>
      <w:r w:rsidRPr="005E2E1B">
        <w:rPr>
          <w:rFonts w:eastAsia="Times New Roman"/>
          <w:kern w:val="22"/>
          <w:lang w:val="es-ES"/>
        </w:rPr>
        <w:t>Montreal (Canadá), 7 a 19 de diciembre de 2022</w:t>
      </w:r>
    </w:p>
    <w:p w:rsidR="00A066D4" w:rsidRPr="005E2E1B" w:rsidRDefault="00A066D4">
      <w:pPr>
        <w:ind w:right="3792"/>
        <w:rPr>
          <w:rFonts w:eastAsia="Times New Roman"/>
          <w:lang w:val="es-ES"/>
        </w:rPr>
      </w:pPr>
      <w:r w:rsidRPr="005E2E1B">
        <w:rPr>
          <w:rFonts w:eastAsia="Times New Roman"/>
          <w:kern w:val="22"/>
          <w:lang w:val="es-ES"/>
        </w:rPr>
        <w:t>Tema 6 del programa</w:t>
      </w:r>
    </w:p>
    <w:p w:rsidR="00A066D4" w:rsidRPr="005E2E1B" w:rsidRDefault="00A066D4">
      <w:pPr>
        <w:spacing w:before="240" w:after="240"/>
        <w:jc w:val="center"/>
        <w:rPr>
          <w:rFonts w:ascii="Times New Roman Bold" w:eastAsia="Times New Roman" w:hAnsi="Times New Roman Bold" w:cs="Times New Roman Bold"/>
          <w:b/>
          <w:bCs/>
          <w:caps/>
          <w:lang w:val="es-ES"/>
        </w:rPr>
      </w:pPr>
      <w:r w:rsidRPr="005E2E1B">
        <w:rPr>
          <w:rFonts w:ascii="Times New Roman Bold" w:eastAsia="Times New Roman" w:hAnsi="Times New Roman Bold" w:cs="Times New Roman Bold"/>
          <w:b/>
          <w:bCs/>
          <w:caps/>
          <w:lang w:val="es-ES"/>
        </w:rPr>
        <w:t>DECISIÓN ADOPTADA POR LAS PARTES EN EL PROTOCOLO DE NAGOYA SOBRE ACCESO Y PARTICIPACIÓN EN LOS BENEFICIOS</w:t>
      </w:r>
    </w:p>
    <w:p w:rsidR="00A066D4" w:rsidRPr="005E2E1B" w:rsidRDefault="00A066D4">
      <w:pPr>
        <w:keepNext/>
        <w:spacing w:before="240" w:after="240"/>
        <w:jc w:val="center"/>
        <w:outlineLvl w:val="1"/>
        <w:rPr>
          <w:rFonts w:eastAsia="Times New Roman"/>
          <w:lang w:val="es-ES"/>
        </w:rPr>
      </w:pPr>
      <w:bookmarkStart w:id="0" w:name="_Hlk122343954"/>
      <w:r w:rsidRPr="005E2E1B">
        <w:rPr>
          <w:rFonts w:eastAsia="Times New Roman"/>
          <w:b/>
          <w:bCs/>
          <w:lang w:val="es-ES"/>
        </w:rPr>
        <w:t>NP-4/12.</w:t>
      </w:r>
      <w:r w:rsidRPr="005E2E1B">
        <w:rPr>
          <w:rFonts w:eastAsia="Times New Roman"/>
          <w:b/>
          <w:bCs/>
          <w:lang w:val="es-ES"/>
        </w:rPr>
        <w:tab/>
        <w:t>Presupuesto para el programa de trabajo integrado de la Secretaría</w:t>
      </w:r>
    </w:p>
    <w:bookmarkEnd w:id="0"/>
    <w:p w:rsidR="00A066D4" w:rsidRPr="005E2E1B" w:rsidRDefault="00A066D4">
      <w:pPr>
        <w:shd w:val="clear" w:color="auto" w:fill="FFFFFF"/>
        <w:spacing w:before="120" w:after="120"/>
        <w:ind w:firstLine="720"/>
        <w:rPr>
          <w:rFonts w:eastAsia="Times New Roman"/>
          <w:i/>
          <w:iCs/>
          <w:kern w:val="20"/>
          <w:lang w:val="es-ES"/>
        </w:rPr>
      </w:pPr>
      <w:r w:rsidRPr="005E2E1B">
        <w:rPr>
          <w:rFonts w:eastAsia="Times New Roman"/>
          <w:i/>
          <w:iCs/>
          <w:kern w:val="20"/>
          <w:lang w:val="es-ES"/>
        </w:rPr>
        <w:t>La Conferencia de las Partes que actúa como reunión de las Partes en el Protocolo de Nagoya,</w:t>
      </w:r>
    </w:p>
    <w:p w:rsidR="00A066D4" w:rsidRPr="005E2E1B" w:rsidRDefault="00A066D4">
      <w:pPr>
        <w:shd w:val="clear" w:color="auto" w:fill="FFFFFF"/>
        <w:spacing w:before="120" w:after="120"/>
        <w:ind w:firstLine="720"/>
        <w:rPr>
          <w:rFonts w:eastAsia="Times New Roman"/>
          <w:kern w:val="20"/>
          <w:lang w:val="es-ES"/>
        </w:rPr>
      </w:pPr>
      <w:r w:rsidRPr="005E2E1B">
        <w:rPr>
          <w:rFonts w:eastAsia="Times New Roman"/>
          <w:i/>
          <w:iCs/>
          <w:kern w:val="20"/>
          <w:lang w:val="es-ES"/>
        </w:rPr>
        <w:t>Recordando</w:t>
      </w:r>
      <w:r w:rsidRPr="005E2E1B">
        <w:rPr>
          <w:rFonts w:eastAsia="Times New Roman"/>
          <w:kern w:val="20"/>
          <w:lang w:val="es-ES"/>
        </w:rPr>
        <w:t xml:space="preserve"> su decisión NP-3/16,</w:t>
      </w:r>
    </w:p>
    <w:p w:rsidR="00A066D4" w:rsidRPr="005E2E1B" w:rsidRDefault="00A066D4">
      <w:pPr>
        <w:suppressLineNumbers/>
        <w:shd w:val="clear" w:color="auto" w:fill="FFFFFF"/>
        <w:suppressAutoHyphens/>
        <w:spacing w:before="120" w:after="120"/>
        <w:ind w:firstLine="720"/>
        <w:rPr>
          <w:rFonts w:eastAsia="Times New Roman"/>
          <w:kern w:val="22"/>
          <w:lang w:val="es-ES"/>
        </w:rPr>
      </w:pPr>
      <w:r w:rsidRPr="005E2E1B">
        <w:rPr>
          <w:rFonts w:eastAsia="Times New Roman"/>
          <w:i/>
          <w:iCs/>
          <w:kern w:val="22"/>
          <w:lang w:val="es-ES"/>
        </w:rPr>
        <w:t xml:space="preserve">Recordando también </w:t>
      </w:r>
      <w:r w:rsidRPr="005E2E1B">
        <w:rPr>
          <w:rFonts w:eastAsia="Times New Roman"/>
          <w:kern w:val="22"/>
          <w:lang w:val="es-ES"/>
        </w:rPr>
        <w:t xml:space="preserve">su decisión NP-EM-1/1, en la que aprobó la prórroga del presupuesto para el bienio 2019-2020 y, con carácter excepcional, un presupuesto </w:t>
      </w:r>
      <w:r w:rsidR="00B416B6" w:rsidRPr="005E2E1B">
        <w:rPr>
          <w:rFonts w:eastAsia="Times New Roman"/>
          <w:kern w:val="22"/>
          <w:lang w:val="es-ES"/>
        </w:rPr>
        <w:t xml:space="preserve">provisional </w:t>
      </w:r>
      <w:r w:rsidRPr="005E2E1B">
        <w:rPr>
          <w:rFonts w:eastAsia="Times New Roman"/>
          <w:kern w:val="22"/>
          <w:lang w:val="es-ES"/>
        </w:rPr>
        <w:t>básico para 2021,</w:t>
      </w:r>
    </w:p>
    <w:p w:rsidR="00A066D4" w:rsidRPr="005E2E1B" w:rsidRDefault="00A066D4">
      <w:pPr>
        <w:suppressLineNumbers/>
        <w:shd w:val="clear" w:color="auto" w:fill="FFFFFF"/>
        <w:suppressAutoHyphens/>
        <w:spacing w:before="120" w:after="120"/>
        <w:ind w:firstLine="720"/>
        <w:rPr>
          <w:rFonts w:eastAsia="Times New Roman"/>
          <w:kern w:val="22"/>
          <w:lang w:val="es-ES"/>
        </w:rPr>
      </w:pPr>
      <w:r w:rsidRPr="005E2E1B">
        <w:rPr>
          <w:rFonts w:eastAsia="Times New Roman"/>
          <w:i/>
          <w:iCs/>
          <w:kern w:val="22"/>
          <w:lang w:val="es-ES"/>
        </w:rPr>
        <w:t>Recordando además</w:t>
      </w:r>
      <w:r w:rsidRPr="005E2E1B">
        <w:rPr>
          <w:rFonts w:eastAsia="Times New Roman"/>
          <w:kern w:val="22"/>
          <w:lang w:val="es-ES"/>
        </w:rPr>
        <w:t xml:space="preserve"> su decisión NP-4/1, en la que aprobó la prórroga del presupuesto para el bienio 2019-2020 y, con carácter excepcional, un presupuesto </w:t>
      </w:r>
      <w:r w:rsidR="00B416B6" w:rsidRPr="005E2E1B">
        <w:rPr>
          <w:rFonts w:eastAsia="Times New Roman"/>
          <w:kern w:val="22"/>
          <w:lang w:val="es-ES"/>
        </w:rPr>
        <w:t xml:space="preserve">provisional </w:t>
      </w:r>
      <w:r w:rsidRPr="005E2E1B">
        <w:rPr>
          <w:rFonts w:eastAsia="Times New Roman"/>
          <w:kern w:val="22"/>
          <w:lang w:val="es-ES"/>
        </w:rPr>
        <w:t>básico para 2022,</w:t>
      </w:r>
    </w:p>
    <w:p w:rsidR="00A066D4" w:rsidRPr="005E2E1B" w:rsidRDefault="00A066D4">
      <w:pPr>
        <w:pStyle w:val="ListParagraph"/>
        <w:numPr>
          <w:ilvl w:val="0"/>
          <w:numId w:val="1"/>
        </w:numPr>
        <w:shd w:val="clear" w:color="auto" w:fill="FFFFFF"/>
        <w:spacing w:before="120" w:after="120"/>
        <w:ind w:left="0" w:firstLine="706"/>
        <w:rPr>
          <w:rFonts w:eastAsia="Times New Roman"/>
          <w:kern w:val="20"/>
          <w:lang w:val="es-ES"/>
        </w:rPr>
      </w:pPr>
      <w:r w:rsidRPr="005E2E1B">
        <w:rPr>
          <w:rFonts w:eastAsia="Times New Roman"/>
          <w:i/>
          <w:iCs/>
          <w:kern w:val="20"/>
          <w:lang w:val="es-ES"/>
        </w:rPr>
        <w:t>Decide</w:t>
      </w:r>
      <w:r w:rsidRPr="005E2E1B">
        <w:rPr>
          <w:rFonts w:eastAsia="Times New Roman"/>
          <w:kern w:val="20"/>
          <w:lang w:val="es-ES"/>
        </w:rPr>
        <w:t xml:space="preserve"> adoptar un presupuesto y programa de trabajo integrado para el Convenio sobre la Diversidad Biológica, el Protocolo de Cartagena sobre Seguridad de la Biotecnología y el Protocolo de Nagoya sobre Acceso y Participación en los Beneficios;</w:t>
      </w:r>
    </w:p>
    <w:p w:rsidR="00A066D4" w:rsidRPr="005E2E1B" w:rsidRDefault="00A066D4">
      <w:pPr>
        <w:pStyle w:val="ListParagraph"/>
        <w:numPr>
          <w:ilvl w:val="0"/>
          <w:numId w:val="1"/>
        </w:numPr>
        <w:shd w:val="clear" w:color="auto" w:fill="FFFFFF"/>
        <w:spacing w:before="120" w:after="120"/>
        <w:ind w:left="0" w:firstLine="706"/>
        <w:rPr>
          <w:rFonts w:eastAsia="Times New Roman"/>
          <w:kern w:val="20"/>
          <w:lang w:val="es-ES"/>
        </w:rPr>
      </w:pPr>
      <w:r w:rsidRPr="005E2E1B">
        <w:rPr>
          <w:rFonts w:eastAsia="Times New Roman"/>
          <w:i/>
          <w:iCs/>
          <w:color w:val="000000"/>
          <w:kern w:val="20"/>
          <w:lang w:val="es-ES"/>
        </w:rPr>
        <w:t xml:space="preserve">Decide también </w:t>
      </w:r>
      <w:r w:rsidRPr="005E2E1B">
        <w:rPr>
          <w:rFonts w:eastAsia="Times New Roman"/>
          <w:color w:val="000000"/>
          <w:kern w:val="20"/>
          <w:lang w:val="es-ES"/>
        </w:rPr>
        <w:t>distribuir todos los gastos de los servicios de secretaría entre el Convenio, el Protocolo de Cartagena y el Protocolo de Nagoya a razón de 72 %, 15 % y 13 % para el bienio 2023-2024</w:t>
      </w:r>
      <w:r w:rsidRPr="005E2E1B">
        <w:rPr>
          <w:rFonts w:eastAsia="Times New Roman"/>
          <w:kern w:val="20"/>
          <w:lang w:val="es-ES"/>
        </w:rPr>
        <w:t>;</w:t>
      </w:r>
    </w:p>
    <w:p w:rsidR="00A066D4" w:rsidRPr="005E2E1B" w:rsidRDefault="00A066D4">
      <w:pPr>
        <w:pStyle w:val="ListParagraph"/>
        <w:numPr>
          <w:ilvl w:val="0"/>
          <w:numId w:val="1"/>
        </w:numPr>
        <w:shd w:val="clear" w:color="auto" w:fill="FFFFFF"/>
        <w:spacing w:before="120" w:after="120"/>
        <w:ind w:left="0" w:firstLine="706"/>
        <w:rPr>
          <w:rFonts w:eastAsia="Times New Roman"/>
          <w:kern w:val="20"/>
          <w:lang w:val="es-ES"/>
        </w:rPr>
      </w:pPr>
      <w:bookmarkStart w:id="1" w:name="_Hlk533085716"/>
      <w:r w:rsidRPr="005E2E1B">
        <w:rPr>
          <w:rFonts w:eastAsia="Times New Roman"/>
          <w:kern w:val="20"/>
          <w:lang w:val="es-ES"/>
        </w:rPr>
        <w:t>Aprueba un presupuesto básico por programas (BB) para el Protocolo de Nagoya de </w:t>
      </w:r>
      <w:r w:rsidRPr="005E2E1B">
        <w:rPr>
          <w:rFonts w:eastAsia="Times New Roman"/>
          <w:kern w:val="22"/>
          <w:lang w:val="es-ES"/>
        </w:rPr>
        <w:t>2 591 100 </w:t>
      </w:r>
      <w:r w:rsidRPr="005E2E1B">
        <w:rPr>
          <w:rFonts w:eastAsia="Times New Roman"/>
          <w:kern w:val="20"/>
          <w:lang w:val="es-ES"/>
        </w:rPr>
        <w:t xml:space="preserve">dólares de los Estados Unidos para el año 2023 y de </w:t>
      </w:r>
      <w:r w:rsidRPr="005E2E1B">
        <w:rPr>
          <w:rFonts w:eastAsia="Times New Roman"/>
          <w:kern w:val="22"/>
          <w:lang w:val="es-ES"/>
        </w:rPr>
        <w:t>2 822 900 </w:t>
      </w:r>
      <w:r w:rsidRPr="005E2E1B">
        <w:rPr>
          <w:rFonts w:eastAsia="Times New Roman"/>
          <w:kern w:val="20"/>
          <w:lang w:val="es-ES"/>
        </w:rPr>
        <w:t xml:space="preserve">dólares de los Estados Unidos para el año 2024, lo cual representa el 13 % del presupuesto integrado de </w:t>
      </w:r>
      <w:r w:rsidRPr="005E2E1B">
        <w:rPr>
          <w:rFonts w:eastAsia="Times New Roman"/>
          <w:kern w:val="22"/>
          <w:lang w:val="es-ES"/>
        </w:rPr>
        <w:t xml:space="preserve">19 931 600 </w:t>
      </w:r>
      <w:r w:rsidRPr="005E2E1B">
        <w:rPr>
          <w:rFonts w:eastAsia="Times New Roman"/>
          <w:kern w:val="20"/>
          <w:lang w:val="es-ES"/>
        </w:rPr>
        <w:t xml:space="preserve">dólares de los Estados Unidos correspondiente al año 2023 y de </w:t>
      </w:r>
      <w:r w:rsidRPr="005E2E1B">
        <w:rPr>
          <w:rFonts w:eastAsia="Times New Roman"/>
          <w:kern w:val="22"/>
          <w:lang w:val="es-ES"/>
        </w:rPr>
        <w:t xml:space="preserve">21 714 500 </w:t>
      </w:r>
      <w:r w:rsidRPr="005E2E1B">
        <w:rPr>
          <w:rFonts w:eastAsia="Times New Roman"/>
          <w:kern w:val="20"/>
          <w:lang w:val="es-ES"/>
        </w:rPr>
        <w:t>dólares de los Estados Unidos correspondiente al año 2024 para el Convenio y los Protocolos, para los fines indicados en los cuadros 1a y 1b que figuran más adelante en la presente;</w:t>
      </w:r>
    </w:p>
    <w:bookmarkEnd w:id="1"/>
    <w:p w:rsidR="00A066D4" w:rsidRPr="005E2E1B" w:rsidRDefault="00A066D4">
      <w:pPr>
        <w:pStyle w:val="ListParagraph"/>
        <w:numPr>
          <w:ilvl w:val="0"/>
          <w:numId w:val="1"/>
        </w:numPr>
        <w:shd w:val="clear" w:color="auto" w:fill="FFFFFF"/>
        <w:spacing w:before="120" w:after="120"/>
        <w:ind w:left="0" w:firstLine="706"/>
        <w:rPr>
          <w:rFonts w:eastAsia="Times New Roman"/>
          <w:kern w:val="20"/>
          <w:lang w:val="es-ES"/>
        </w:rPr>
      </w:pPr>
      <w:r w:rsidRPr="005E2E1B">
        <w:rPr>
          <w:rFonts w:eastAsia="Times New Roman"/>
          <w:i/>
          <w:iCs/>
          <w:kern w:val="20"/>
          <w:lang w:val="es-ES"/>
        </w:rPr>
        <w:lastRenderedPageBreak/>
        <w:t>Adopta</w:t>
      </w:r>
      <w:r w:rsidRPr="005E2E1B">
        <w:rPr>
          <w:rFonts w:eastAsia="Times New Roman"/>
          <w:kern w:val="20"/>
          <w:lang w:val="es-ES"/>
        </w:rPr>
        <w:t>, de conformidad con la actual escala de cuotas de las Naciones Unidas</w:t>
      </w:r>
      <w:r w:rsidRPr="005E2E1B">
        <w:rPr>
          <w:rStyle w:val="FootnoteReference"/>
          <w:rFonts w:eastAsia="Times New Roman"/>
          <w:kern w:val="20"/>
          <w:lang w:val="es-ES"/>
        </w:rPr>
        <w:footnoteReference w:id="3"/>
      </w:r>
      <w:r w:rsidRPr="005E2E1B">
        <w:rPr>
          <w:rFonts w:eastAsia="Times New Roman"/>
          <w:kern w:val="20"/>
          <w:lang w:val="es-ES"/>
        </w:rPr>
        <w:t>, la escala de cuotas para el prorrateo de gastos de 2023 y 2024, que figura en el cuadro 2 de la presente decisión;</w:t>
      </w:r>
    </w:p>
    <w:p w:rsidR="00A066D4" w:rsidRPr="005E2E1B" w:rsidRDefault="00A066D4">
      <w:pPr>
        <w:pStyle w:val="NormalWeb"/>
        <w:numPr>
          <w:ilvl w:val="0"/>
          <w:numId w:val="1"/>
        </w:numPr>
        <w:shd w:val="clear" w:color="auto" w:fill="FFFFFF"/>
        <w:spacing w:before="120" w:beforeAutospacing="0" w:after="120" w:afterAutospacing="0"/>
        <w:ind w:left="0" w:firstLine="709"/>
        <w:jc w:val="both"/>
        <w:rPr>
          <w:rFonts w:eastAsia="Times New Roman"/>
          <w:sz w:val="22"/>
          <w:szCs w:val="22"/>
          <w:lang w:val="es-ES"/>
        </w:rPr>
      </w:pPr>
      <w:r w:rsidRPr="005E2E1B">
        <w:rPr>
          <w:rFonts w:eastAsia="Times New Roman"/>
          <w:i/>
          <w:iCs/>
          <w:sz w:val="22"/>
          <w:szCs w:val="22"/>
          <w:lang w:val="es-ES"/>
        </w:rPr>
        <w:t>Observa con preocupación</w:t>
      </w:r>
      <w:r w:rsidRPr="005E2E1B">
        <w:rPr>
          <w:rFonts w:eastAsia="Times New Roman"/>
          <w:sz w:val="22"/>
          <w:szCs w:val="22"/>
          <w:lang w:val="es-ES"/>
        </w:rPr>
        <w:t xml:space="preserve"> que varias Partes en el Convenio y en sus Protocolos no han pagado sus contribuciones a los presupuestos básicos (Fondos Fiduciarios BY, BG y BB) correspondientes a 2022 y a años anteriores, entre ellas algunas Partes que no han pagado nunca sus contribuciones, y también observa que, conforme a las Normas Internacionales de Contabilidad del Sector Público aprobadas por las Naciones Unidas</w:t>
      </w:r>
      <w:r w:rsidRPr="005E2E1B">
        <w:rPr>
          <w:rStyle w:val="FootnoteReference"/>
          <w:rFonts w:eastAsia="Times New Roman"/>
          <w:sz w:val="22"/>
          <w:szCs w:val="22"/>
          <w:lang w:val="es-ES"/>
        </w:rPr>
        <w:footnoteReference w:id="4"/>
      </w:r>
      <w:r w:rsidRPr="005E2E1B">
        <w:rPr>
          <w:rFonts w:eastAsia="Times New Roman"/>
          <w:sz w:val="22"/>
          <w:szCs w:val="22"/>
          <w:lang w:val="es-ES"/>
        </w:rPr>
        <w:t xml:space="preserve">, a finales de 2021 quedó pendiente de pago un monto estimado en 275 653 dólares de los Estados Unidos correspondiente al Protocolo de Nagoya, que se deduce del saldo de fondos para cubrir los créditos de dudoso cobro, por lo que no se podrá usar en beneficio de todas las Partes respectivas, y pide al Programa de las Naciones Unidas para el Medio Ambiente que acepte oportunamente contribuciones de todas las Partes en el Convenio; </w:t>
      </w:r>
    </w:p>
    <w:p w:rsidR="00A066D4" w:rsidRPr="005E2E1B" w:rsidRDefault="00A066D4">
      <w:pPr>
        <w:shd w:val="clear" w:color="auto" w:fill="FFFFFF"/>
        <w:spacing w:before="120" w:after="120"/>
        <w:ind w:firstLine="709"/>
        <w:rPr>
          <w:rFonts w:eastAsia="Times New Roman"/>
          <w:lang w:val="es-ES"/>
        </w:rPr>
      </w:pPr>
      <w:r w:rsidRPr="005E2E1B">
        <w:rPr>
          <w:rFonts w:eastAsia="Times New Roman"/>
          <w:lang w:val="es-ES"/>
        </w:rPr>
        <w:t>6.</w:t>
      </w:r>
      <w:r w:rsidRPr="005E2E1B">
        <w:rPr>
          <w:rFonts w:eastAsia="Times New Roman"/>
          <w:lang w:val="es-ES"/>
        </w:rPr>
        <w:tab/>
      </w:r>
      <w:r w:rsidRPr="005E2E1B">
        <w:rPr>
          <w:rFonts w:eastAsia="Times New Roman"/>
          <w:i/>
          <w:iCs/>
          <w:lang w:val="es-ES"/>
        </w:rPr>
        <w:t xml:space="preserve">Decide </w:t>
      </w:r>
      <w:r w:rsidRPr="005E2E1B">
        <w:rPr>
          <w:rFonts w:eastAsia="Times New Roman"/>
          <w:lang w:val="es-ES"/>
        </w:rPr>
        <w:t xml:space="preserve">aplicar, </w:t>
      </w:r>
      <w:r w:rsidRPr="005E2E1B">
        <w:rPr>
          <w:rFonts w:eastAsia="Times New Roman"/>
          <w:i/>
          <w:iCs/>
          <w:lang w:val="es-ES"/>
        </w:rPr>
        <w:t>mutatis mutandis</w:t>
      </w:r>
      <w:r w:rsidRPr="005E2E1B">
        <w:rPr>
          <w:rFonts w:eastAsia="Times New Roman"/>
          <w:lang w:val="es-ES"/>
        </w:rPr>
        <w:t>, los párrafos 4 a 6, 8 a 17 y 19 a 39 de la decisión 15/34 de la Conferencia de las Partes.</w:t>
      </w:r>
    </w:p>
    <w:p w:rsidR="00A066D4" w:rsidRPr="005E2E1B" w:rsidRDefault="00A066D4">
      <w:pPr>
        <w:rPr>
          <w:rFonts w:eastAsia="Times New Roman"/>
          <w:lang w:val="es-ES"/>
        </w:rPr>
      </w:pPr>
    </w:p>
    <w:p w:rsidR="00A066D4" w:rsidRPr="005E2E1B" w:rsidRDefault="00A066D4">
      <w:pPr>
        <w:spacing w:after="160" w:line="259" w:lineRule="auto"/>
        <w:jc w:val="left"/>
        <w:rPr>
          <w:rFonts w:eastAsia="Times New Roman"/>
          <w:b/>
          <w:bCs/>
          <w:lang w:val="es-ES"/>
        </w:rPr>
      </w:pPr>
      <w:r w:rsidRPr="005E2E1B">
        <w:rPr>
          <w:rFonts w:eastAsia="Times New Roman"/>
          <w:b/>
          <w:bCs/>
          <w:lang w:val="es-ES"/>
        </w:rPr>
        <w:br w:type="page"/>
      </w:r>
    </w:p>
    <w:p w:rsidR="00A066D4" w:rsidRPr="005E2E1B" w:rsidRDefault="00A066D4">
      <w:pPr>
        <w:keepNext/>
        <w:spacing w:before="240" w:after="60"/>
        <w:ind w:left="907" w:right="432" w:hanging="907"/>
        <w:jc w:val="left"/>
        <w:rPr>
          <w:rFonts w:eastAsia="Times New Roman"/>
          <w:lang w:val="es-ES"/>
        </w:rPr>
      </w:pPr>
      <w:r w:rsidRPr="005E2E1B">
        <w:rPr>
          <w:rFonts w:eastAsia="Times New Roman"/>
          <w:b/>
          <w:bCs/>
          <w:lang w:val="es-ES"/>
        </w:rPr>
        <w:lastRenderedPageBreak/>
        <w:t>Cuadro 1a. Presupuesto integrado para el Convenio y sus Protocolos para el período 2023-2024 (por objeto de gasto)</w:t>
      </w:r>
    </w:p>
    <w:tbl>
      <w:tblPr>
        <w:tblW w:w="8560" w:type="dxa"/>
        <w:tblLayout w:type="fixed"/>
        <w:tblLook w:val="00A0"/>
      </w:tblPr>
      <w:tblGrid>
        <w:gridCol w:w="4360"/>
        <w:gridCol w:w="1400"/>
        <w:gridCol w:w="1400"/>
        <w:gridCol w:w="1400"/>
      </w:tblGrid>
      <w:tr w:rsidR="00A066D4" w:rsidRPr="005E2E1B">
        <w:trPr>
          <w:trHeight w:val="280"/>
        </w:trPr>
        <w:tc>
          <w:tcPr>
            <w:tcW w:w="4360" w:type="dxa"/>
            <w:vMerge w:val="restart"/>
            <w:tcBorders>
              <w:top w:val="single" w:sz="8" w:space="0" w:color="auto"/>
              <w:left w:val="nil"/>
              <w:bottom w:val="single" w:sz="8" w:space="0" w:color="000000"/>
              <w:right w:val="nil"/>
            </w:tcBorders>
            <w:vAlign w:val="center"/>
          </w:tcPr>
          <w:p w:rsidR="00A066D4" w:rsidRPr="005E2E1B" w:rsidRDefault="00A066D4">
            <w:pPr>
              <w:jc w:val="center"/>
              <w:rPr>
                <w:rFonts w:eastAsia="Times New Roman"/>
                <w:lang w:val="es-ES"/>
              </w:rPr>
            </w:pPr>
            <w:r w:rsidRPr="005E2E1B">
              <w:rPr>
                <w:rFonts w:eastAsia="Times New Roman"/>
                <w:i/>
                <w:iCs/>
                <w:color w:val="000000"/>
                <w:sz w:val="18"/>
                <w:szCs w:val="18"/>
                <w:lang w:val="es-ES"/>
              </w:rPr>
              <w:t>Objeto de gasto</w:t>
            </w:r>
          </w:p>
        </w:tc>
        <w:tc>
          <w:tcPr>
            <w:tcW w:w="1400" w:type="dxa"/>
            <w:tcBorders>
              <w:top w:val="single" w:sz="8" w:space="0" w:color="auto"/>
              <w:left w:val="nil"/>
              <w:bottom w:val="nil"/>
              <w:right w:val="nil"/>
            </w:tcBorders>
            <w:vAlign w:val="center"/>
          </w:tcPr>
          <w:p w:rsidR="00A066D4" w:rsidRPr="005E2E1B" w:rsidRDefault="00A066D4">
            <w:pPr>
              <w:jc w:val="center"/>
              <w:rPr>
                <w:rFonts w:eastAsia="Times New Roman"/>
                <w:i/>
                <w:iCs/>
                <w:color w:val="000000"/>
                <w:sz w:val="18"/>
                <w:szCs w:val="18"/>
                <w:lang w:val="es-ES"/>
              </w:rPr>
            </w:pPr>
            <w:r w:rsidRPr="005E2E1B">
              <w:rPr>
                <w:rFonts w:eastAsia="Times New Roman"/>
                <w:i/>
                <w:iCs/>
                <w:color w:val="000000"/>
                <w:sz w:val="18"/>
                <w:szCs w:val="18"/>
                <w:lang w:val="es-ES"/>
              </w:rPr>
              <w:t xml:space="preserve">2023 </w:t>
            </w:r>
          </w:p>
        </w:tc>
        <w:tc>
          <w:tcPr>
            <w:tcW w:w="1400" w:type="dxa"/>
            <w:tcBorders>
              <w:top w:val="single" w:sz="8" w:space="0" w:color="auto"/>
              <w:left w:val="nil"/>
              <w:bottom w:val="nil"/>
              <w:right w:val="nil"/>
            </w:tcBorders>
            <w:vAlign w:val="center"/>
          </w:tcPr>
          <w:p w:rsidR="00A066D4" w:rsidRPr="005E2E1B" w:rsidRDefault="00A066D4">
            <w:pPr>
              <w:jc w:val="center"/>
              <w:rPr>
                <w:rFonts w:eastAsia="Times New Roman"/>
                <w:i/>
                <w:iCs/>
                <w:color w:val="000000"/>
                <w:sz w:val="18"/>
                <w:szCs w:val="18"/>
                <w:lang w:val="es-ES"/>
              </w:rPr>
            </w:pPr>
            <w:r w:rsidRPr="005E2E1B">
              <w:rPr>
                <w:rFonts w:eastAsia="Times New Roman"/>
                <w:i/>
                <w:iCs/>
                <w:color w:val="000000"/>
                <w:sz w:val="18"/>
                <w:szCs w:val="18"/>
                <w:lang w:val="es-ES"/>
              </w:rPr>
              <w:t>2024</w:t>
            </w:r>
          </w:p>
        </w:tc>
        <w:tc>
          <w:tcPr>
            <w:tcW w:w="1400" w:type="dxa"/>
            <w:tcBorders>
              <w:top w:val="single" w:sz="8" w:space="0" w:color="auto"/>
              <w:left w:val="nil"/>
              <w:bottom w:val="nil"/>
              <w:right w:val="nil"/>
            </w:tcBorders>
            <w:vAlign w:val="center"/>
          </w:tcPr>
          <w:p w:rsidR="00A066D4" w:rsidRPr="005E2E1B" w:rsidRDefault="00A066D4">
            <w:pPr>
              <w:jc w:val="center"/>
              <w:rPr>
                <w:rFonts w:eastAsia="Times New Roman"/>
                <w:lang w:val="es-ES"/>
              </w:rPr>
            </w:pPr>
            <w:r w:rsidRPr="005E2E1B">
              <w:rPr>
                <w:rFonts w:eastAsia="Times New Roman"/>
                <w:b/>
                <w:bCs/>
                <w:i/>
                <w:iCs/>
                <w:color w:val="000000"/>
                <w:sz w:val="18"/>
                <w:szCs w:val="18"/>
                <w:lang w:val="es-ES"/>
              </w:rPr>
              <w:t>Total</w:t>
            </w:r>
          </w:p>
        </w:tc>
      </w:tr>
      <w:tr w:rsidR="00A066D4" w:rsidRPr="005E2E1B">
        <w:trPr>
          <w:trHeight w:val="290"/>
        </w:trPr>
        <w:tc>
          <w:tcPr>
            <w:tcW w:w="4360" w:type="dxa"/>
            <w:vMerge/>
            <w:tcBorders>
              <w:top w:val="single" w:sz="8" w:space="0" w:color="auto"/>
              <w:left w:val="nil"/>
              <w:bottom w:val="single" w:sz="8" w:space="0" w:color="000000"/>
              <w:right w:val="nil"/>
            </w:tcBorders>
            <w:vAlign w:val="center"/>
          </w:tcPr>
          <w:p w:rsidR="00A066D4" w:rsidRPr="005E2E1B" w:rsidRDefault="00A066D4">
            <w:pPr>
              <w:rPr>
                <w:rFonts w:eastAsia="Times New Roman"/>
                <w:i/>
                <w:iCs/>
                <w:color w:val="000000"/>
                <w:sz w:val="18"/>
                <w:szCs w:val="18"/>
                <w:lang w:val="es-ES"/>
              </w:rPr>
            </w:pPr>
          </w:p>
        </w:tc>
        <w:tc>
          <w:tcPr>
            <w:tcW w:w="4200" w:type="dxa"/>
            <w:gridSpan w:val="3"/>
            <w:tcBorders>
              <w:top w:val="nil"/>
              <w:left w:val="nil"/>
              <w:bottom w:val="single" w:sz="8" w:space="0" w:color="auto"/>
              <w:right w:val="nil"/>
            </w:tcBorders>
            <w:vAlign w:val="center"/>
          </w:tcPr>
          <w:p w:rsidR="00A066D4" w:rsidRPr="005E2E1B" w:rsidRDefault="00A066D4">
            <w:pPr>
              <w:jc w:val="center"/>
              <w:rPr>
                <w:rFonts w:eastAsia="Times New Roman"/>
                <w:lang w:val="es-ES"/>
              </w:rPr>
            </w:pPr>
            <w:r w:rsidRPr="005E2E1B">
              <w:rPr>
                <w:rFonts w:eastAsia="Times New Roman"/>
                <w:i/>
                <w:iCs/>
                <w:color w:val="000000"/>
                <w:kern w:val="20"/>
                <w:sz w:val="18"/>
                <w:szCs w:val="18"/>
                <w:lang w:val="es-ES"/>
              </w:rPr>
              <w:t>(Miles de dólares de los EE.UU.)</w:t>
            </w:r>
          </w:p>
        </w:tc>
      </w:tr>
      <w:tr w:rsidR="00A066D4" w:rsidRPr="005E2E1B">
        <w:trPr>
          <w:trHeight w:val="280"/>
        </w:trPr>
        <w:tc>
          <w:tcPr>
            <w:tcW w:w="43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kern w:val="20"/>
                <w:sz w:val="18"/>
                <w:szCs w:val="18"/>
                <w:lang w:val="es-ES"/>
              </w:rPr>
              <w:t>A. Gastos de personal</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11 890,2</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12 267,1</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24 157,3</w:t>
            </w:r>
          </w:p>
        </w:tc>
      </w:tr>
      <w:tr w:rsidR="00A066D4" w:rsidRPr="005E2E1B">
        <w:trPr>
          <w:trHeight w:val="280"/>
        </w:trPr>
        <w:tc>
          <w:tcPr>
            <w:tcW w:w="4360" w:type="dxa"/>
            <w:tcBorders>
              <w:top w:val="nil"/>
              <w:left w:val="nil"/>
              <w:bottom w:val="nil"/>
              <w:right w:val="nil"/>
            </w:tcBorders>
            <w:vAlign w:val="center"/>
          </w:tcPr>
          <w:p w:rsidR="00A066D4" w:rsidRPr="005E2E1B" w:rsidRDefault="0028784A">
            <w:pPr>
              <w:rPr>
                <w:rFonts w:eastAsia="Times New Roman"/>
                <w:lang w:val="es-ES"/>
              </w:rPr>
            </w:pPr>
            <w:r>
              <w:rPr>
                <w:rFonts w:eastAsia="Times New Roman"/>
                <w:color w:val="000000"/>
                <w:kern w:val="20"/>
                <w:sz w:val="18"/>
                <w:szCs w:val="18"/>
                <w:lang w:val="es-ES"/>
              </w:rPr>
              <w:t>B. Personal temporario/</w:t>
            </w:r>
            <w:r w:rsidR="00A066D4" w:rsidRPr="005E2E1B">
              <w:rPr>
                <w:rFonts w:eastAsia="Times New Roman"/>
                <w:color w:val="000000"/>
                <w:kern w:val="20"/>
                <w:sz w:val="18"/>
                <w:szCs w:val="18"/>
                <w:lang w:val="es-ES"/>
              </w:rPr>
              <w:t>horas extraordinarias</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100,0</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100,0</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200,0</w:t>
            </w:r>
          </w:p>
        </w:tc>
      </w:tr>
      <w:tr w:rsidR="00A066D4" w:rsidRPr="005E2E1B">
        <w:trPr>
          <w:trHeight w:val="280"/>
        </w:trPr>
        <w:tc>
          <w:tcPr>
            <w:tcW w:w="4360" w:type="dxa"/>
            <w:tcBorders>
              <w:top w:val="nil"/>
              <w:left w:val="nil"/>
              <w:bottom w:val="nil"/>
              <w:right w:val="nil"/>
            </w:tcBorders>
            <w:vAlign w:val="center"/>
          </w:tcPr>
          <w:p w:rsidR="00A066D4" w:rsidRPr="005E2E1B" w:rsidRDefault="0028784A">
            <w:pPr>
              <w:rPr>
                <w:rFonts w:eastAsia="Times New Roman"/>
                <w:lang w:val="es-ES"/>
              </w:rPr>
            </w:pPr>
            <w:r>
              <w:rPr>
                <w:rFonts w:eastAsia="Times New Roman"/>
                <w:kern w:val="20"/>
                <w:sz w:val="18"/>
                <w:szCs w:val="18"/>
                <w:lang w:val="es-ES"/>
              </w:rPr>
              <w:t>C. Consultores/</w:t>
            </w:r>
            <w:r w:rsidR="00A066D4" w:rsidRPr="005E2E1B">
              <w:rPr>
                <w:rFonts w:eastAsia="Times New Roman"/>
                <w:kern w:val="20"/>
                <w:sz w:val="18"/>
                <w:szCs w:val="18"/>
                <w:lang w:val="es-ES"/>
              </w:rPr>
              <w:t>subcontratistas</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50,0</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50,0</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100,0</w:t>
            </w:r>
          </w:p>
        </w:tc>
      </w:tr>
      <w:tr w:rsidR="00A066D4" w:rsidRPr="005E2E1B">
        <w:trPr>
          <w:trHeight w:val="280"/>
        </w:trPr>
        <w:tc>
          <w:tcPr>
            <w:tcW w:w="43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kern w:val="20"/>
                <w:sz w:val="18"/>
                <w:szCs w:val="18"/>
                <w:lang w:val="es-ES"/>
              </w:rPr>
              <w:t>D. Capacitación</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5,0</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5,0</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10,0</w:t>
            </w:r>
          </w:p>
        </w:tc>
      </w:tr>
      <w:tr w:rsidR="00A066D4" w:rsidRPr="005E2E1B">
        <w:trPr>
          <w:trHeight w:val="280"/>
        </w:trPr>
        <w:tc>
          <w:tcPr>
            <w:tcW w:w="4360" w:type="dxa"/>
            <w:tcBorders>
              <w:top w:val="nil"/>
              <w:left w:val="nil"/>
              <w:bottom w:val="nil"/>
              <w:right w:val="nil"/>
            </w:tcBorders>
            <w:vAlign w:val="center"/>
          </w:tcPr>
          <w:p w:rsidR="00A066D4" w:rsidRPr="005E2E1B" w:rsidRDefault="00A066D4" w:rsidP="00B416B6">
            <w:pPr>
              <w:rPr>
                <w:rFonts w:eastAsia="Times New Roman"/>
                <w:lang w:val="es-ES"/>
              </w:rPr>
            </w:pPr>
            <w:r w:rsidRPr="005E2E1B">
              <w:rPr>
                <w:rFonts w:eastAsia="Times New Roman"/>
                <w:color w:val="000000"/>
                <w:kern w:val="20"/>
                <w:sz w:val="18"/>
                <w:szCs w:val="18"/>
                <w:lang w:val="es-ES"/>
              </w:rPr>
              <w:t xml:space="preserve">E. </w:t>
            </w:r>
            <w:r w:rsidR="00B416B6">
              <w:rPr>
                <w:rFonts w:eastAsia="Times New Roman"/>
                <w:color w:val="000000"/>
                <w:kern w:val="20"/>
                <w:sz w:val="18"/>
                <w:szCs w:val="18"/>
                <w:lang w:val="es-ES"/>
              </w:rPr>
              <w:t>Revisión</w:t>
            </w:r>
            <w:r w:rsidRPr="005E2E1B">
              <w:rPr>
                <w:rFonts w:eastAsia="Times New Roman"/>
                <w:color w:val="000000"/>
                <w:kern w:val="20"/>
                <w:sz w:val="18"/>
                <w:szCs w:val="18"/>
                <w:lang w:val="es-ES"/>
              </w:rPr>
              <w:t xml:space="preserve"> estructural</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250,0</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0,0</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250,0</w:t>
            </w:r>
          </w:p>
        </w:tc>
      </w:tr>
      <w:tr w:rsidR="00A066D4" w:rsidRPr="005E2E1B">
        <w:trPr>
          <w:trHeight w:val="280"/>
        </w:trPr>
        <w:tc>
          <w:tcPr>
            <w:tcW w:w="43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kern w:val="20"/>
                <w:sz w:val="18"/>
                <w:szCs w:val="18"/>
                <w:lang w:val="es-ES"/>
              </w:rPr>
              <w:t>F. Reuniones de la Mesa</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108,0</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170,9</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278,9</w:t>
            </w:r>
          </w:p>
        </w:tc>
      </w:tr>
      <w:tr w:rsidR="00A066D4" w:rsidRPr="005E2E1B">
        <w:trPr>
          <w:trHeight w:val="280"/>
        </w:trPr>
        <w:tc>
          <w:tcPr>
            <w:tcW w:w="43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kern w:val="20"/>
                <w:sz w:val="18"/>
                <w:szCs w:val="18"/>
                <w:lang w:val="es-ES"/>
              </w:rPr>
              <w:t>G. Reuniones de expertos</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130,0</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350,0</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480,0</w:t>
            </w:r>
          </w:p>
        </w:tc>
      </w:tr>
      <w:tr w:rsidR="00A066D4" w:rsidRPr="005E2E1B">
        <w:trPr>
          <w:trHeight w:val="280"/>
        </w:trPr>
        <w:tc>
          <w:tcPr>
            <w:tcW w:w="43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kern w:val="20"/>
                <w:sz w:val="18"/>
                <w:szCs w:val="18"/>
                <w:lang w:val="es-ES"/>
              </w:rPr>
              <w:t>H. Reuniones de órganos intergubernamentales*</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2 241,6</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3 343,0</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5 584,6</w:t>
            </w:r>
          </w:p>
        </w:tc>
      </w:tr>
      <w:tr w:rsidR="00A066D4" w:rsidRPr="005E2E1B">
        <w:trPr>
          <w:trHeight w:val="280"/>
        </w:trPr>
        <w:tc>
          <w:tcPr>
            <w:tcW w:w="4360" w:type="dxa"/>
            <w:tcBorders>
              <w:top w:val="nil"/>
              <w:left w:val="nil"/>
              <w:bottom w:val="nil"/>
              <w:right w:val="nil"/>
            </w:tcBorders>
            <w:vAlign w:val="center"/>
          </w:tcPr>
          <w:p w:rsidR="00A066D4" w:rsidRPr="005E2E1B" w:rsidRDefault="00A066D4" w:rsidP="0028784A">
            <w:pPr>
              <w:jc w:val="left"/>
              <w:rPr>
                <w:rFonts w:eastAsia="Times New Roman"/>
                <w:lang w:val="es-ES"/>
              </w:rPr>
            </w:pPr>
            <w:r w:rsidRPr="005E2E1B">
              <w:rPr>
                <w:rFonts w:eastAsia="Times New Roman"/>
                <w:color w:val="000000"/>
                <w:kern w:val="20"/>
                <w:sz w:val="18"/>
                <w:szCs w:val="18"/>
                <w:lang w:val="es-ES"/>
              </w:rPr>
              <w:t xml:space="preserve">I. </w:t>
            </w:r>
            <w:r w:rsidRPr="00B416B6">
              <w:rPr>
                <w:rFonts w:eastAsia="Times New Roman"/>
                <w:color w:val="000000"/>
                <w:spacing w:val="-2"/>
                <w:kern w:val="20"/>
                <w:sz w:val="18"/>
                <w:szCs w:val="18"/>
                <w:lang w:val="es-ES"/>
              </w:rPr>
              <w:t xml:space="preserve">Material de </w:t>
            </w:r>
            <w:r w:rsidR="00B416B6" w:rsidRPr="00B416B6">
              <w:rPr>
                <w:rFonts w:eastAsia="Times New Roman"/>
                <w:color w:val="000000"/>
                <w:spacing w:val="-2"/>
                <w:kern w:val="20"/>
                <w:sz w:val="18"/>
                <w:szCs w:val="18"/>
                <w:lang w:val="es-ES"/>
              </w:rPr>
              <w:t>s</w:t>
            </w:r>
            <w:r w:rsidRPr="00B416B6">
              <w:rPr>
                <w:rFonts w:eastAsia="Times New Roman"/>
                <w:color w:val="000000"/>
                <w:spacing w:val="-2"/>
                <w:kern w:val="20"/>
                <w:sz w:val="18"/>
                <w:szCs w:val="18"/>
                <w:lang w:val="es-ES"/>
              </w:rPr>
              <w:t>en</w:t>
            </w:r>
            <w:r w:rsidR="00B416B6" w:rsidRPr="00B416B6">
              <w:rPr>
                <w:rFonts w:eastAsia="Times New Roman"/>
                <w:color w:val="000000"/>
                <w:spacing w:val="-2"/>
                <w:kern w:val="20"/>
                <w:sz w:val="18"/>
                <w:szCs w:val="18"/>
                <w:lang w:val="es-ES"/>
              </w:rPr>
              <w:t>sibiliz</w:t>
            </w:r>
            <w:r w:rsidRPr="00B416B6">
              <w:rPr>
                <w:rFonts w:eastAsia="Times New Roman"/>
                <w:color w:val="000000"/>
                <w:spacing w:val="-2"/>
                <w:kern w:val="20"/>
                <w:sz w:val="18"/>
                <w:szCs w:val="18"/>
                <w:lang w:val="es-ES"/>
              </w:rPr>
              <w:t xml:space="preserve">ación </w:t>
            </w:r>
            <w:r w:rsidR="00B416B6" w:rsidRPr="00B416B6">
              <w:rPr>
                <w:rFonts w:eastAsia="Times New Roman"/>
                <w:color w:val="000000"/>
                <w:spacing w:val="-2"/>
                <w:kern w:val="20"/>
                <w:sz w:val="18"/>
                <w:szCs w:val="18"/>
                <w:lang w:val="es-ES"/>
              </w:rPr>
              <w:t xml:space="preserve">del </w:t>
            </w:r>
            <w:r w:rsidRPr="00B416B6">
              <w:rPr>
                <w:rFonts w:eastAsia="Times New Roman"/>
                <w:color w:val="000000"/>
                <w:spacing w:val="-2"/>
                <w:kern w:val="20"/>
                <w:sz w:val="18"/>
                <w:szCs w:val="18"/>
                <w:lang w:val="es-ES"/>
              </w:rPr>
              <w:t>públic</w:t>
            </w:r>
            <w:r w:rsidR="00B416B6" w:rsidRPr="00B416B6">
              <w:rPr>
                <w:rFonts w:eastAsia="Times New Roman"/>
                <w:color w:val="000000"/>
                <w:spacing w:val="-2"/>
                <w:kern w:val="20"/>
                <w:sz w:val="18"/>
                <w:szCs w:val="18"/>
                <w:lang w:val="es-ES"/>
              </w:rPr>
              <w:t>o</w:t>
            </w:r>
            <w:r w:rsidRPr="00B416B6">
              <w:rPr>
                <w:rFonts w:eastAsia="Times New Roman"/>
                <w:color w:val="000000"/>
                <w:spacing w:val="-2"/>
                <w:kern w:val="20"/>
                <w:sz w:val="18"/>
                <w:szCs w:val="18"/>
                <w:lang w:val="es-ES"/>
              </w:rPr>
              <w:t>/comunicaciones</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50,0</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50,0</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100,0</w:t>
            </w:r>
          </w:p>
        </w:tc>
      </w:tr>
      <w:tr w:rsidR="00A066D4" w:rsidRPr="005E2E1B">
        <w:trPr>
          <w:trHeight w:val="280"/>
        </w:trPr>
        <w:tc>
          <w:tcPr>
            <w:tcW w:w="4360" w:type="dxa"/>
            <w:tcBorders>
              <w:top w:val="nil"/>
              <w:left w:val="nil"/>
              <w:bottom w:val="nil"/>
              <w:right w:val="nil"/>
            </w:tcBorders>
            <w:vAlign w:val="center"/>
          </w:tcPr>
          <w:p w:rsidR="00A066D4" w:rsidRPr="005E2E1B" w:rsidRDefault="00A066D4">
            <w:pPr>
              <w:jc w:val="left"/>
              <w:rPr>
                <w:rFonts w:eastAsia="Times New Roman"/>
                <w:lang w:val="es-ES"/>
              </w:rPr>
            </w:pPr>
            <w:r w:rsidRPr="005E2E1B">
              <w:rPr>
                <w:rFonts w:eastAsia="Times New Roman"/>
                <w:color w:val="000000"/>
                <w:kern w:val="20"/>
                <w:sz w:val="18"/>
                <w:szCs w:val="18"/>
                <w:lang w:val="es-ES"/>
              </w:rPr>
              <w:t>J. Traducción del sitio web del mecanismo de facilitación / proyectos del sitio web</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65,0</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65,0</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130,0</w:t>
            </w:r>
          </w:p>
        </w:tc>
      </w:tr>
      <w:tr w:rsidR="00A066D4" w:rsidRPr="005E2E1B">
        <w:trPr>
          <w:trHeight w:val="280"/>
        </w:trPr>
        <w:tc>
          <w:tcPr>
            <w:tcW w:w="43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kern w:val="20"/>
                <w:sz w:val="18"/>
                <w:szCs w:val="18"/>
                <w:lang w:val="es-ES"/>
              </w:rPr>
              <w:t>K. Viajes en comisión de servicio</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320,0</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320,0</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640,0</w:t>
            </w:r>
          </w:p>
        </w:tc>
      </w:tr>
      <w:tr w:rsidR="00A066D4" w:rsidRPr="005E2E1B">
        <w:trPr>
          <w:trHeight w:val="280"/>
        </w:trPr>
        <w:tc>
          <w:tcPr>
            <w:tcW w:w="43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kern w:val="20"/>
                <w:sz w:val="18"/>
                <w:szCs w:val="18"/>
                <w:lang w:val="es-ES"/>
              </w:rPr>
              <w:t>L. Alquiler y gastos relacionados</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1 445,7</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1 473,0</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2 918,7</w:t>
            </w:r>
          </w:p>
        </w:tc>
      </w:tr>
      <w:tr w:rsidR="00A066D4" w:rsidRPr="005E2E1B">
        <w:trPr>
          <w:trHeight w:val="280"/>
        </w:trPr>
        <w:tc>
          <w:tcPr>
            <w:tcW w:w="43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sz w:val="18"/>
                <w:szCs w:val="18"/>
                <w:lang w:val="es-ES"/>
              </w:rPr>
              <w:t>M. Tecnología de la información</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65,0</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65,0</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130,0</w:t>
            </w:r>
          </w:p>
        </w:tc>
      </w:tr>
      <w:tr w:rsidR="00A066D4" w:rsidRPr="005E2E1B">
        <w:trPr>
          <w:trHeight w:val="290"/>
        </w:trPr>
        <w:tc>
          <w:tcPr>
            <w:tcW w:w="4360" w:type="dxa"/>
            <w:tcBorders>
              <w:top w:val="nil"/>
              <w:left w:val="nil"/>
              <w:bottom w:val="single" w:sz="8" w:space="0" w:color="auto"/>
              <w:right w:val="nil"/>
            </w:tcBorders>
            <w:vAlign w:val="center"/>
          </w:tcPr>
          <w:p w:rsidR="00A066D4" w:rsidRPr="005E2E1B" w:rsidRDefault="00A066D4">
            <w:pPr>
              <w:rPr>
                <w:rFonts w:eastAsia="Times New Roman"/>
                <w:lang w:val="es-ES"/>
              </w:rPr>
            </w:pPr>
            <w:r w:rsidRPr="005E2E1B">
              <w:rPr>
                <w:rFonts w:eastAsia="Times New Roman"/>
                <w:color w:val="000000"/>
                <w:kern w:val="20"/>
                <w:sz w:val="18"/>
                <w:szCs w:val="18"/>
                <w:lang w:val="es-ES"/>
              </w:rPr>
              <w:t>N. Gastos generales de funcionamiento</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726,6</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726,6</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1 453,2</w:t>
            </w:r>
          </w:p>
        </w:tc>
      </w:tr>
      <w:tr w:rsidR="00A066D4" w:rsidRPr="005E2E1B">
        <w:trPr>
          <w:trHeight w:val="290"/>
        </w:trPr>
        <w:tc>
          <w:tcPr>
            <w:tcW w:w="4360" w:type="dxa"/>
            <w:tcBorders>
              <w:top w:val="single" w:sz="8" w:space="0" w:color="auto"/>
              <w:left w:val="nil"/>
              <w:bottom w:val="single" w:sz="8" w:space="0" w:color="auto"/>
              <w:right w:val="nil"/>
            </w:tcBorders>
            <w:vAlign w:val="center"/>
          </w:tcPr>
          <w:p w:rsidR="00A066D4" w:rsidRPr="005E2E1B" w:rsidRDefault="00A066D4">
            <w:pPr>
              <w:rPr>
                <w:rFonts w:eastAsia="Times New Roman"/>
                <w:lang w:val="es-ES"/>
              </w:rPr>
            </w:pPr>
            <w:r w:rsidRPr="005E2E1B">
              <w:rPr>
                <w:rFonts w:eastAsia="Times New Roman"/>
                <w:b/>
                <w:bCs/>
                <w:color w:val="000000"/>
                <w:kern w:val="20"/>
                <w:sz w:val="18"/>
                <w:szCs w:val="18"/>
                <w:lang w:val="es-ES"/>
              </w:rPr>
              <w:t>Subtotal (I)</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17 447,1</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18 985,6</w:t>
            </w:r>
          </w:p>
        </w:tc>
        <w:tc>
          <w:tcPr>
            <w:tcW w:w="1400" w:type="dxa"/>
            <w:tcBorders>
              <w:top w:val="single" w:sz="8" w:space="0" w:color="auto"/>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36 432,7</w:t>
            </w:r>
          </w:p>
        </w:tc>
      </w:tr>
      <w:tr w:rsidR="00A066D4" w:rsidRPr="005E2E1B">
        <w:trPr>
          <w:trHeight w:val="280"/>
        </w:trPr>
        <w:tc>
          <w:tcPr>
            <w:tcW w:w="4360" w:type="dxa"/>
            <w:tcBorders>
              <w:top w:val="single" w:sz="4" w:space="0" w:color="auto"/>
              <w:left w:val="nil"/>
              <w:bottom w:val="nil"/>
              <w:right w:val="nil"/>
            </w:tcBorders>
            <w:vAlign w:val="center"/>
          </w:tcPr>
          <w:p w:rsidR="00A066D4" w:rsidRPr="005E2E1B" w:rsidRDefault="00A066D4">
            <w:pPr>
              <w:rPr>
                <w:rFonts w:eastAsia="Times New Roman"/>
                <w:lang w:val="es-ES"/>
              </w:rPr>
            </w:pPr>
            <w:r w:rsidRPr="005E2E1B">
              <w:rPr>
                <w:rFonts w:eastAsia="Times New Roman"/>
                <w:b/>
                <w:bCs/>
                <w:color w:val="000000"/>
                <w:kern w:val="20"/>
                <w:sz w:val="18"/>
                <w:szCs w:val="18"/>
                <w:lang w:val="es-ES"/>
              </w:rPr>
              <w:t>II. Gastos de apoyo a los programas (13 %)</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2 268,1</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2 468,1</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4 736,2</w:t>
            </w:r>
          </w:p>
        </w:tc>
      </w:tr>
      <w:tr w:rsidR="00A066D4" w:rsidRPr="005E2E1B">
        <w:trPr>
          <w:trHeight w:val="290"/>
        </w:trPr>
        <w:tc>
          <w:tcPr>
            <w:tcW w:w="4360" w:type="dxa"/>
            <w:tcBorders>
              <w:top w:val="nil"/>
              <w:left w:val="nil"/>
              <w:bottom w:val="single" w:sz="8" w:space="0" w:color="auto"/>
              <w:right w:val="nil"/>
            </w:tcBorders>
            <w:vAlign w:val="center"/>
          </w:tcPr>
          <w:p w:rsidR="00A066D4" w:rsidRPr="005E2E1B" w:rsidRDefault="00A066D4">
            <w:pPr>
              <w:rPr>
                <w:rFonts w:eastAsia="Times New Roman"/>
                <w:lang w:val="es-ES"/>
              </w:rPr>
            </w:pPr>
            <w:r w:rsidRPr="005E2E1B">
              <w:rPr>
                <w:rFonts w:eastAsia="Times New Roman"/>
                <w:b/>
                <w:bCs/>
                <w:color w:val="000000"/>
                <w:kern w:val="20"/>
                <w:sz w:val="18"/>
                <w:szCs w:val="18"/>
                <w:lang w:val="es-ES"/>
              </w:rPr>
              <w:t>Subtotal (I + II)</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19 715,2</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21 453,7</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41 168,9</w:t>
            </w:r>
          </w:p>
        </w:tc>
      </w:tr>
      <w:tr w:rsidR="00A066D4" w:rsidRPr="005E2E1B">
        <w:trPr>
          <w:trHeight w:val="280"/>
        </w:trPr>
        <w:tc>
          <w:tcPr>
            <w:tcW w:w="4360" w:type="dxa"/>
            <w:tcBorders>
              <w:top w:val="single" w:sz="4" w:space="0" w:color="auto"/>
              <w:left w:val="nil"/>
              <w:bottom w:val="nil"/>
              <w:right w:val="nil"/>
            </w:tcBorders>
            <w:vAlign w:val="center"/>
          </w:tcPr>
          <w:p w:rsidR="00A066D4" w:rsidRPr="005E2E1B" w:rsidRDefault="00A066D4">
            <w:pPr>
              <w:rPr>
                <w:rFonts w:eastAsia="Times New Roman"/>
                <w:lang w:val="es-ES"/>
              </w:rPr>
            </w:pPr>
            <w:r w:rsidRPr="005E2E1B">
              <w:rPr>
                <w:rFonts w:eastAsia="Times New Roman"/>
                <w:b/>
                <w:bCs/>
                <w:color w:val="000000"/>
                <w:kern w:val="20"/>
                <w:sz w:val="18"/>
                <w:szCs w:val="18"/>
                <w:lang w:val="es-ES"/>
              </w:rPr>
              <w:t>III. Reserva operacional</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216,4</w:t>
            </w:r>
          </w:p>
        </w:tc>
        <w:tc>
          <w:tcPr>
            <w:tcW w:w="140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kern w:val="20"/>
                <w:sz w:val="18"/>
                <w:szCs w:val="18"/>
                <w:lang w:val="es-ES"/>
              </w:rPr>
              <w:t>260,8</w:t>
            </w:r>
          </w:p>
        </w:tc>
        <w:tc>
          <w:tcPr>
            <w:tcW w:w="140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477,2</w:t>
            </w:r>
          </w:p>
        </w:tc>
      </w:tr>
      <w:tr w:rsidR="00A066D4" w:rsidRPr="005E2E1B">
        <w:trPr>
          <w:trHeight w:val="290"/>
        </w:trPr>
        <w:tc>
          <w:tcPr>
            <w:tcW w:w="4360" w:type="dxa"/>
            <w:tcBorders>
              <w:top w:val="nil"/>
              <w:left w:val="nil"/>
              <w:bottom w:val="single" w:sz="8" w:space="0" w:color="auto"/>
              <w:right w:val="nil"/>
            </w:tcBorders>
            <w:vAlign w:val="center"/>
          </w:tcPr>
          <w:p w:rsidR="00A066D4" w:rsidRPr="005E2E1B" w:rsidRDefault="00A066D4">
            <w:pPr>
              <w:rPr>
                <w:rFonts w:eastAsia="Times New Roman"/>
                <w:lang w:val="es-ES"/>
              </w:rPr>
            </w:pPr>
            <w:r w:rsidRPr="005E2E1B">
              <w:rPr>
                <w:rFonts w:eastAsia="Times New Roman"/>
                <w:b/>
                <w:bCs/>
                <w:kern w:val="20"/>
                <w:sz w:val="18"/>
                <w:szCs w:val="18"/>
                <w:lang w:val="es-ES"/>
              </w:rPr>
              <w:t>Total general (I + II + III)</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19 931,6</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21 714,5</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41 646,1</w:t>
            </w:r>
          </w:p>
        </w:tc>
      </w:tr>
      <w:tr w:rsidR="00A066D4" w:rsidRPr="005E2E1B">
        <w:trPr>
          <w:trHeight w:val="290"/>
        </w:trPr>
        <w:tc>
          <w:tcPr>
            <w:tcW w:w="4360" w:type="dxa"/>
            <w:tcBorders>
              <w:top w:val="single" w:sz="8" w:space="0" w:color="auto"/>
              <w:left w:val="nil"/>
              <w:bottom w:val="single" w:sz="8" w:space="0" w:color="auto"/>
              <w:right w:val="nil"/>
            </w:tcBorders>
            <w:vAlign w:val="center"/>
          </w:tcPr>
          <w:p w:rsidR="00A066D4" w:rsidRPr="005E2E1B" w:rsidRDefault="00A066D4">
            <w:pPr>
              <w:rPr>
                <w:rFonts w:eastAsia="Times New Roman"/>
                <w:lang w:val="es-ES"/>
              </w:rPr>
            </w:pPr>
            <w:r w:rsidRPr="005E2E1B">
              <w:rPr>
                <w:rFonts w:eastAsia="Times New Roman"/>
                <w:b/>
                <w:bCs/>
                <w:color w:val="000000"/>
                <w:spacing w:val="-2"/>
                <w:kern w:val="20"/>
                <w:sz w:val="18"/>
                <w:szCs w:val="18"/>
                <w:lang w:val="es-ES"/>
              </w:rPr>
              <w:t>Proporción del presupuesto integrado correspondiente</w:t>
            </w:r>
            <w:r w:rsidRPr="005E2E1B">
              <w:rPr>
                <w:rFonts w:eastAsia="Times New Roman"/>
                <w:b/>
                <w:bCs/>
                <w:color w:val="000000"/>
                <w:kern w:val="20"/>
                <w:sz w:val="18"/>
                <w:szCs w:val="18"/>
                <w:lang w:val="es-ES"/>
              </w:rPr>
              <w:t xml:space="preserve"> al Protocolo de Nagoya (13 %)</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2 591,1</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2 822,9</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5 414,0</w:t>
            </w:r>
          </w:p>
        </w:tc>
      </w:tr>
      <w:tr w:rsidR="00A066D4" w:rsidRPr="005E2E1B">
        <w:trPr>
          <w:trHeight w:val="290"/>
        </w:trPr>
        <w:tc>
          <w:tcPr>
            <w:tcW w:w="4360" w:type="dxa"/>
            <w:tcBorders>
              <w:top w:val="single" w:sz="8" w:space="0" w:color="auto"/>
              <w:left w:val="nil"/>
              <w:bottom w:val="single" w:sz="8" w:space="0" w:color="auto"/>
              <w:right w:val="nil"/>
            </w:tcBorders>
            <w:vAlign w:val="center"/>
          </w:tcPr>
          <w:p w:rsidR="00A066D4" w:rsidRPr="005E2E1B" w:rsidRDefault="00A066D4">
            <w:pPr>
              <w:rPr>
                <w:rFonts w:eastAsia="Times New Roman"/>
                <w:lang w:val="es-ES"/>
              </w:rPr>
            </w:pPr>
            <w:r w:rsidRPr="005E2E1B">
              <w:rPr>
                <w:rFonts w:eastAsia="Times New Roman"/>
                <w:color w:val="000000"/>
                <w:kern w:val="20"/>
                <w:sz w:val="18"/>
                <w:szCs w:val="18"/>
                <w:lang w:val="es-ES"/>
              </w:rPr>
              <w:t>Menos las contribuciones del país anfitrión</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-212,4</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-216,4</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-428,8</w:t>
            </w:r>
          </w:p>
        </w:tc>
      </w:tr>
      <w:tr w:rsidR="00A066D4" w:rsidRPr="005E2E1B">
        <w:trPr>
          <w:trHeight w:val="290"/>
        </w:trPr>
        <w:tc>
          <w:tcPr>
            <w:tcW w:w="4360" w:type="dxa"/>
            <w:tcBorders>
              <w:top w:val="single" w:sz="8" w:space="0" w:color="auto"/>
              <w:left w:val="nil"/>
              <w:bottom w:val="single" w:sz="8" w:space="0" w:color="auto"/>
              <w:right w:val="nil"/>
            </w:tcBorders>
            <w:vAlign w:val="center"/>
          </w:tcPr>
          <w:p w:rsidR="00A066D4" w:rsidRPr="005E2E1B" w:rsidRDefault="00A066D4">
            <w:pPr>
              <w:rPr>
                <w:rFonts w:eastAsia="Times New Roman"/>
                <w:lang w:val="es-ES"/>
              </w:rPr>
            </w:pPr>
            <w:r w:rsidRPr="005E2E1B">
              <w:rPr>
                <w:rFonts w:eastAsia="Times New Roman"/>
                <w:color w:val="000000"/>
                <w:kern w:val="20"/>
                <w:sz w:val="18"/>
                <w:szCs w:val="18"/>
                <w:lang w:val="es-ES"/>
              </w:rPr>
              <w:t>Menos empleo de fondos de reserva</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-26,7</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-26,7</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kern w:val="20"/>
                <w:sz w:val="18"/>
                <w:szCs w:val="18"/>
                <w:lang w:val="es-ES"/>
              </w:rPr>
              <w:t>-53,4</w:t>
            </w:r>
          </w:p>
        </w:tc>
      </w:tr>
      <w:tr w:rsidR="00A066D4" w:rsidRPr="005E2E1B">
        <w:trPr>
          <w:trHeight w:val="290"/>
        </w:trPr>
        <w:tc>
          <w:tcPr>
            <w:tcW w:w="4360" w:type="dxa"/>
            <w:tcBorders>
              <w:top w:val="single" w:sz="8" w:space="0" w:color="auto"/>
              <w:left w:val="nil"/>
              <w:bottom w:val="single" w:sz="8" w:space="0" w:color="auto"/>
              <w:right w:val="nil"/>
            </w:tcBorders>
            <w:vAlign w:val="center"/>
          </w:tcPr>
          <w:p w:rsidR="00A066D4" w:rsidRPr="005E2E1B" w:rsidRDefault="00A066D4" w:rsidP="00B416B6">
            <w:pPr>
              <w:rPr>
                <w:rFonts w:eastAsia="Times New Roman"/>
                <w:lang w:val="es-ES"/>
              </w:rPr>
            </w:pPr>
            <w:r w:rsidRPr="005E2E1B">
              <w:rPr>
                <w:rFonts w:eastAsia="Times New Roman"/>
                <w:b/>
                <w:bCs/>
                <w:i/>
                <w:iCs/>
                <w:kern w:val="20"/>
                <w:sz w:val="18"/>
                <w:szCs w:val="18"/>
                <w:lang w:val="es-ES"/>
              </w:rPr>
              <w:t>Total neto (</w:t>
            </w:r>
            <w:r w:rsidR="00B416B6">
              <w:rPr>
                <w:rFonts w:eastAsia="Times New Roman"/>
                <w:b/>
                <w:bCs/>
                <w:i/>
                <w:iCs/>
                <w:kern w:val="20"/>
                <w:sz w:val="18"/>
                <w:szCs w:val="18"/>
                <w:lang w:val="es-ES"/>
              </w:rPr>
              <w:t>a</w:t>
            </w:r>
            <w:r w:rsidRPr="005E2E1B">
              <w:rPr>
                <w:rFonts w:eastAsia="Times New Roman"/>
                <w:b/>
                <w:bCs/>
                <w:i/>
                <w:iCs/>
                <w:kern w:val="20"/>
                <w:sz w:val="18"/>
                <w:szCs w:val="18"/>
                <w:lang w:val="es-ES"/>
              </w:rPr>
              <w:t xml:space="preserve"> dividi</w:t>
            </w:r>
            <w:r w:rsidR="00B416B6">
              <w:rPr>
                <w:rFonts w:eastAsia="Times New Roman"/>
                <w:b/>
                <w:bCs/>
                <w:i/>
                <w:iCs/>
                <w:kern w:val="20"/>
                <w:sz w:val="18"/>
                <w:szCs w:val="18"/>
                <w:lang w:val="es-ES"/>
              </w:rPr>
              <w:t>r</w:t>
            </w:r>
            <w:r w:rsidRPr="005E2E1B">
              <w:rPr>
                <w:rFonts w:eastAsia="Times New Roman"/>
                <w:b/>
                <w:bCs/>
                <w:i/>
                <w:iCs/>
                <w:kern w:val="20"/>
                <w:sz w:val="18"/>
                <w:szCs w:val="18"/>
                <w:lang w:val="es-ES"/>
              </w:rPr>
              <w:t xml:space="preserve"> entre las Partes)</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i/>
                <w:iCs/>
                <w:color w:val="000000"/>
                <w:sz w:val="18"/>
                <w:szCs w:val="18"/>
                <w:lang w:val="es-ES"/>
              </w:rPr>
            </w:pPr>
            <w:r w:rsidRPr="005E2E1B">
              <w:rPr>
                <w:rFonts w:eastAsia="Times New Roman"/>
                <w:b/>
                <w:bCs/>
                <w:i/>
                <w:iCs/>
                <w:color w:val="000000"/>
                <w:sz w:val="18"/>
                <w:szCs w:val="18"/>
                <w:lang w:val="es-ES"/>
              </w:rPr>
              <w:t>2 352,1</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i/>
                <w:iCs/>
                <w:color w:val="000000"/>
                <w:sz w:val="18"/>
                <w:szCs w:val="18"/>
                <w:lang w:val="es-ES"/>
              </w:rPr>
            </w:pPr>
            <w:r w:rsidRPr="005E2E1B">
              <w:rPr>
                <w:rFonts w:eastAsia="Times New Roman"/>
                <w:b/>
                <w:bCs/>
                <w:i/>
                <w:iCs/>
                <w:color w:val="000000"/>
                <w:sz w:val="18"/>
                <w:szCs w:val="18"/>
                <w:lang w:val="es-ES"/>
              </w:rPr>
              <w:t>2 579,9</w:t>
            </w:r>
          </w:p>
        </w:tc>
        <w:tc>
          <w:tcPr>
            <w:tcW w:w="1400" w:type="dxa"/>
            <w:tcBorders>
              <w:top w:val="nil"/>
              <w:left w:val="nil"/>
              <w:bottom w:val="single" w:sz="8" w:space="0" w:color="auto"/>
              <w:right w:val="nil"/>
            </w:tcBorders>
            <w:vAlign w:val="center"/>
          </w:tcPr>
          <w:p w:rsidR="00A066D4" w:rsidRPr="005E2E1B" w:rsidRDefault="00A066D4">
            <w:pPr>
              <w:jc w:val="right"/>
              <w:rPr>
                <w:rFonts w:eastAsia="Times New Roman"/>
                <w:b/>
                <w:bCs/>
                <w:i/>
                <w:iCs/>
                <w:color w:val="000000"/>
                <w:sz w:val="18"/>
                <w:szCs w:val="18"/>
                <w:lang w:val="es-ES"/>
              </w:rPr>
            </w:pPr>
            <w:r w:rsidRPr="005E2E1B">
              <w:rPr>
                <w:rFonts w:eastAsia="Times New Roman"/>
                <w:b/>
                <w:bCs/>
                <w:i/>
                <w:iCs/>
                <w:color w:val="000000"/>
                <w:sz w:val="18"/>
                <w:szCs w:val="18"/>
                <w:lang w:val="es-ES"/>
              </w:rPr>
              <w:t>4 931,9</w:t>
            </w:r>
          </w:p>
        </w:tc>
      </w:tr>
      <w:tr w:rsidR="00A066D4" w:rsidRPr="005E2E1B">
        <w:trPr>
          <w:trHeight w:val="280"/>
        </w:trPr>
        <w:tc>
          <w:tcPr>
            <w:tcW w:w="8560" w:type="dxa"/>
            <w:gridSpan w:val="4"/>
            <w:tcBorders>
              <w:top w:val="single" w:sz="8" w:space="0" w:color="auto"/>
              <w:left w:val="nil"/>
              <w:bottom w:val="nil"/>
              <w:right w:val="nil"/>
            </w:tcBorders>
            <w:vAlign w:val="bottom"/>
          </w:tcPr>
          <w:p w:rsidR="00A066D4" w:rsidRPr="005E2E1B" w:rsidRDefault="00A066D4">
            <w:pPr>
              <w:rPr>
                <w:rFonts w:eastAsia="Times New Roman"/>
                <w:color w:val="000000"/>
                <w:sz w:val="18"/>
                <w:szCs w:val="18"/>
                <w:lang w:val="es-ES"/>
              </w:rPr>
            </w:pPr>
            <w:r w:rsidRPr="005E2E1B">
              <w:rPr>
                <w:rFonts w:eastAsia="Times New Roman"/>
                <w:color w:val="000000"/>
                <w:sz w:val="18"/>
                <w:szCs w:val="18"/>
                <w:lang w:val="es-ES"/>
              </w:rPr>
              <w:t>* Reuniones financiadas con cargo al presupuesto básico:</w:t>
            </w:r>
          </w:p>
          <w:p w:rsidR="00A066D4" w:rsidRPr="005E2E1B" w:rsidRDefault="00A066D4">
            <w:pPr>
              <w:spacing w:before="40"/>
              <w:rPr>
                <w:rFonts w:eastAsia="Times New Roman"/>
                <w:color w:val="000000"/>
                <w:sz w:val="18"/>
                <w:szCs w:val="18"/>
                <w:lang w:val="es-ES"/>
              </w:rPr>
            </w:pPr>
            <w:r w:rsidRPr="005E2E1B">
              <w:rPr>
                <w:rFonts w:eastAsia="Times New Roman"/>
                <w:color w:val="000000"/>
                <w:sz w:val="18"/>
                <w:szCs w:val="18"/>
                <w:lang w:val="es-ES"/>
              </w:rPr>
              <w:t>12ª reunión del Grupo de Trabajo Especial de Composición Abierta sobre el Artículo 8 j) y Disposiciones Conexas;</w:t>
            </w:r>
          </w:p>
          <w:p w:rsidR="00A066D4" w:rsidRPr="005E2E1B" w:rsidRDefault="00A066D4">
            <w:pPr>
              <w:spacing w:before="40"/>
              <w:rPr>
                <w:rFonts w:eastAsia="Times New Roman"/>
                <w:color w:val="000000"/>
                <w:sz w:val="18"/>
                <w:szCs w:val="18"/>
                <w:lang w:val="es-ES"/>
              </w:rPr>
            </w:pPr>
            <w:r w:rsidRPr="005E2E1B">
              <w:rPr>
                <w:rFonts w:eastAsia="Times New Roman"/>
                <w:color w:val="000000"/>
                <w:sz w:val="18"/>
                <w:szCs w:val="18"/>
                <w:lang w:val="es-ES"/>
              </w:rPr>
              <w:t>Reuniones 25ª y 26ª del Órgano Subsidiario de Asesoramiento Científico, Técnico y Tecnológico;</w:t>
            </w:r>
          </w:p>
          <w:p w:rsidR="00A066D4" w:rsidRPr="005E2E1B" w:rsidRDefault="00A066D4">
            <w:pPr>
              <w:spacing w:before="40"/>
              <w:rPr>
                <w:rFonts w:eastAsia="Times New Roman"/>
                <w:lang w:val="es-ES"/>
              </w:rPr>
            </w:pPr>
            <w:r w:rsidRPr="005E2E1B">
              <w:rPr>
                <w:rFonts w:eastAsia="Times New Roman"/>
                <w:sz w:val="18"/>
                <w:szCs w:val="18"/>
                <w:lang w:val="es-ES"/>
              </w:rPr>
              <w:t>Reuniones 4ª y 5ª del Órgano Subsidiario sobre la Aplicación;</w:t>
            </w:r>
            <w:r w:rsidRPr="005E2E1B">
              <w:rPr>
                <w:rFonts w:eastAsia="Times New Roman"/>
                <w:color w:val="000000"/>
                <w:sz w:val="18"/>
                <w:szCs w:val="18"/>
                <w:lang w:val="es-ES"/>
              </w:rPr>
              <w:t xml:space="preserve"> </w:t>
            </w:r>
          </w:p>
          <w:p w:rsidR="00A066D4" w:rsidRPr="005E2E1B" w:rsidRDefault="00A066D4">
            <w:pPr>
              <w:rPr>
                <w:rFonts w:eastAsia="Times New Roman"/>
                <w:lang w:val="es-ES"/>
              </w:rPr>
            </w:pPr>
            <w:r w:rsidRPr="005E2E1B">
              <w:rPr>
                <w:rFonts w:eastAsia="Times New Roman"/>
                <w:color w:val="000000"/>
                <w:sz w:val="18"/>
                <w:szCs w:val="18"/>
                <w:lang w:val="es-ES"/>
              </w:rPr>
              <w:t>16ª reunión de la Conferencia de las Partes en el Convenio, 11ª reunión de las Partes en el Protocolo de Cartagena y 5ª reunión de las Partes en el Protocolo de Nagoya, celebradas en forma concurrente.</w:t>
            </w:r>
          </w:p>
        </w:tc>
      </w:tr>
    </w:tbl>
    <w:p w:rsidR="00A066D4" w:rsidRPr="005E2E1B" w:rsidRDefault="00A066D4">
      <w:pPr>
        <w:keepNext/>
        <w:spacing w:before="360"/>
        <w:rPr>
          <w:rFonts w:eastAsia="Times New Roman"/>
          <w:lang w:val="es-ES"/>
        </w:rPr>
      </w:pPr>
    </w:p>
    <w:p w:rsidR="00A066D4" w:rsidRPr="005E2E1B" w:rsidRDefault="00A066D4">
      <w:pPr>
        <w:spacing w:after="160" w:line="259" w:lineRule="auto"/>
        <w:jc w:val="left"/>
        <w:rPr>
          <w:rFonts w:eastAsia="Times New Roman"/>
          <w:lang w:val="es-ES"/>
        </w:rPr>
      </w:pPr>
      <w:r w:rsidRPr="005E2E1B">
        <w:rPr>
          <w:rFonts w:eastAsia="Times New Roman"/>
          <w:lang w:val="es-ES"/>
        </w:rPr>
        <w:br w:type="page"/>
      </w:r>
    </w:p>
    <w:p w:rsidR="00A066D4" w:rsidRPr="00B416B6" w:rsidRDefault="00A066D4">
      <w:pPr>
        <w:keepNext/>
        <w:spacing w:before="240" w:after="60"/>
        <w:ind w:left="907" w:right="432" w:hanging="907"/>
        <w:jc w:val="left"/>
        <w:rPr>
          <w:rFonts w:ascii="Times New Roman Bold" w:eastAsia="Times New Roman" w:hAnsi="Times New Roman Bold"/>
          <w:spacing w:val="-2"/>
          <w:lang w:val="es-ES"/>
        </w:rPr>
      </w:pPr>
      <w:r w:rsidRPr="00B416B6">
        <w:rPr>
          <w:rFonts w:ascii="Times New Roman Bold" w:eastAsia="Times New Roman" w:hAnsi="Times New Roman Bold"/>
          <w:b/>
          <w:bCs/>
          <w:spacing w:val="-2"/>
          <w:lang w:val="es-ES"/>
        </w:rPr>
        <w:lastRenderedPageBreak/>
        <w:t>Cuadro 1b. Presupuesto integrado para el Convenio y sus Protocolos para</w:t>
      </w:r>
      <w:r w:rsidR="00B416B6" w:rsidRPr="00B416B6">
        <w:rPr>
          <w:rFonts w:ascii="Times New Roman Bold" w:eastAsia="Times New Roman" w:hAnsi="Times New Roman Bold"/>
          <w:b/>
          <w:bCs/>
          <w:spacing w:val="-2"/>
          <w:lang w:val="es-ES"/>
        </w:rPr>
        <w:t xml:space="preserve"> </w:t>
      </w:r>
      <w:r w:rsidRPr="00B416B6">
        <w:rPr>
          <w:rFonts w:ascii="Times New Roman Bold" w:eastAsia="Times New Roman" w:hAnsi="Times New Roman Bold"/>
          <w:b/>
          <w:bCs/>
          <w:spacing w:val="-2"/>
          <w:lang w:val="es-ES"/>
        </w:rPr>
        <w:t>el período 2023-2024</w:t>
      </w:r>
    </w:p>
    <w:tbl>
      <w:tblPr>
        <w:tblW w:w="8700" w:type="dxa"/>
        <w:tblLayout w:type="fixed"/>
        <w:tblLook w:val="00A0"/>
      </w:tblPr>
      <w:tblGrid>
        <w:gridCol w:w="5160"/>
        <w:gridCol w:w="1180"/>
        <w:gridCol w:w="1180"/>
        <w:gridCol w:w="1180"/>
      </w:tblGrid>
      <w:tr w:rsidR="00A066D4" w:rsidRPr="005E2E1B">
        <w:trPr>
          <w:trHeight w:val="290"/>
        </w:trPr>
        <w:tc>
          <w:tcPr>
            <w:tcW w:w="5160" w:type="dxa"/>
            <w:tcBorders>
              <w:top w:val="single" w:sz="8" w:space="0" w:color="000000"/>
              <w:left w:val="nil"/>
              <w:bottom w:val="nil"/>
              <w:right w:val="nil"/>
            </w:tcBorders>
            <w:vAlign w:val="center"/>
          </w:tcPr>
          <w:p w:rsidR="00A066D4" w:rsidRPr="005E2E1B" w:rsidRDefault="00A066D4">
            <w:pPr>
              <w:rPr>
                <w:rFonts w:eastAsia="Times New Roman"/>
                <w:color w:val="000000"/>
                <w:sz w:val="18"/>
                <w:szCs w:val="18"/>
                <w:lang w:val="es-ES"/>
              </w:rPr>
            </w:pPr>
          </w:p>
        </w:tc>
        <w:tc>
          <w:tcPr>
            <w:tcW w:w="1180" w:type="dxa"/>
            <w:tcBorders>
              <w:top w:val="single" w:sz="8" w:space="0" w:color="000000"/>
              <w:left w:val="nil"/>
              <w:bottom w:val="nil"/>
              <w:right w:val="nil"/>
            </w:tcBorders>
            <w:vAlign w:val="center"/>
          </w:tcPr>
          <w:p w:rsidR="00A066D4" w:rsidRPr="005E2E1B" w:rsidRDefault="00A066D4">
            <w:pPr>
              <w:jc w:val="center"/>
              <w:rPr>
                <w:rFonts w:eastAsia="Times New Roman"/>
                <w:color w:val="000000"/>
                <w:sz w:val="18"/>
                <w:szCs w:val="18"/>
                <w:lang w:val="es-ES"/>
              </w:rPr>
            </w:pPr>
            <w:r w:rsidRPr="005E2E1B">
              <w:rPr>
                <w:rFonts w:eastAsia="Times New Roman"/>
                <w:i/>
                <w:iCs/>
                <w:color w:val="000000"/>
                <w:sz w:val="18"/>
                <w:szCs w:val="18"/>
                <w:lang w:val="es-ES"/>
              </w:rPr>
              <w:t>2023</w:t>
            </w:r>
          </w:p>
        </w:tc>
        <w:tc>
          <w:tcPr>
            <w:tcW w:w="1180" w:type="dxa"/>
            <w:tcBorders>
              <w:top w:val="single" w:sz="8" w:space="0" w:color="000000"/>
              <w:left w:val="nil"/>
              <w:bottom w:val="nil"/>
              <w:right w:val="nil"/>
            </w:tcBorders>
            <w:vAlign w:val="center"/>
          </w:tcPr>
          <w:p w:rsidR="00A066D4" w:rsidRPr="005E2E1B" w:rsidRDefault="00A066D4">
            <w:pPr>
              <w:jc w:val="center"/>
              <w:rPr>
                <w:rFonts w:eastAsia="Times New Roman"/>
                <w:color w:val="000000"/>
                <w:sz w:val="18"/>
                <w:szCs w:val="18"/>
                <w:lang w:val="es-ES"/>
              </w:rPr>
            </w:pPr>
            <w:r w:rsidRPr="005E2E1B">
              <w:rPr>
                <w:rFonts w:eastAsia="Times New Roman"/>
                <w:i/>
                <w:iCs/>
                <w:color w:val="000000"/>
                <w:sz w:val="18"/>
                <w:szCs w:val="18"/>
                <w:lang w:val="es-ES"/>
              </w:rPr>
              <w:t>2024</w:t>
            </w:r>
          </w:p>
        </w:tc>
        <w:tc>
          <w:tcPr>
            <w:tcW w:w="1180" w:type="dxa"/>
            <w:tcBorders>
              <w:top w:val="single" w:sz="8" w:space="0" w:color="000000"/>
              <w:left w:val="nil"/>
              <w:bottom w:val="nil"/>
              <w:right w:val="nil"/>
            </w:tcBorders>
            <w:vAlign w:val="center"/>
          </w:tcPr>
          <w:p w:rsidR="00A066D4" w:rsidRPr="005E2E1B" w:rsidRDefault="00A066D4">
            <w:pPr>
              <w:jc w:val="center"/>
              <w:rPr>
                <w:rFonts w:eastAsia="Times New Roman"/>
                <w:b/>
                <w:bCs/>
                <w:color w:val="000000"/>
                <w:sz w:val="18"/>
                <w:szCs w:val="18"/>
                <w:lang w:val="es-ES"/>
              </w:rPr>
            </w:pPr>
            <w:r w:rsidRPr="005E2E1B">
              <w:rPr>
                <w:rFonts w:eastAsia="Times New Roman"/>
                <w:i/>
                <w:iCs/>
                <w:color w:val="000000"/>
                <w:sz w:val="18"/>
                <w:szCs w:val="18"/>
                <w:lang w:val="es-ES"/>
              </w:rPr>
              <w:t>2023-2024</w:t>
            </w:r>
          </w:p>
        </w:tc>
      </w:tr>
      <w:tr w:rsidR="00A066D4" w:rsidRPr="005E2E1B">
        <w:trPr>
          <w:trHeight w:val="290"/>
        </w:trPr>
        <w:tc>
          <w:tcPr>
            <w:tcW w:w="5160" w:type="dxa"/>
            <w:tcBorders>
              <w:top w:val="nil"/>
              <w:left w:val="nil"/>
              <w:bottom w:val="single" w:sz="4" w:space="0" w:color="auto"/>
              <w:right w:val="nil"/>
            </w:tcBorders>
            <w:vAlign w:val="center"/>
          </w:tcPr>
          <w:p w:rsidR="00A066D4" w:rsidRPr="005E2E1B" w:rsidRDefault="00A066D4">
            <w:pPr>
              <w:rPr>
                <w:rFonts w:eastAsia="Times New Roman"/>
                <w:color w:val="000000"/>
                <w:sz w:val="18"/>
                <w:szCs w:val="18"/>
                <w:lang w:val="es-ES"/>
              </w:rPr>
            </w:pPr>
          </w:p>
        </w:tc>
        <w:tc>
          <w:tcPr>
            <w:tcW w:w="3540" w:type="dxa"/>
            <w:gridSpan w:val="3"/>
            <w:tcBorders>
              <w:top w:val="nil"/>
              <w:left w:val="nil"/>
              <w:bottom w:val="single" w:sz="4" w:space="0" w:color="auto"/>
              <w:right w:val="nil"/>
            </w:tcBorders>
            <w:vAlign w:val="center"/>
          </w:tcPr>
          <w:p w:rsidR="00A066D4" w:rsidRPr="005E2E1B" w:rsidRDefault="00A066D4">
            <w:pPr>
              <w:jc w:val="center"/>
              <w:rPr>
                <w:rFonts w:eastAsia="Times New Roman"/>
                <w:lang w:val="es-ES"/>
              </w:rPr>
            </w:pPr>
            <w:r w:rsidRPr="005E2E1B">
              <w:rPr>
                <w:rFonts w:eastAsia="Times New Roman"/>
                <w:i/>
                <w:iCs/>
                <w:color w:val="000000"/>
                <w:kern w:val="20"/>
                <w:sz w:val="18"/>
                <w:szCs w:val="18"/>
                <w:lang w:val="es-ES"/>
              </w:rPr>
              <w:t>(Miles de dólares de los EE.UU.)</w:t>
            </w:r>
          </w:p>
        </w:tc>
      </w:tr>
      <w:tr w:rsidR="00A066D4" w:rsidRPr="005E2E1B">
        <w:trPr>
          <w:trHeight w:val="290"/>
        </w:trPr>
        <w:tc>
          <w:tcPr>
            <w:tcW w:w="5160" w:type="dxa"/>
            <w:tcBorders>
              <w:top w:val="single" w:sz="4" w:space="0" w:color="auto"/>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sz w:val="18"/>
                <w:szCs w:val="18"/>
                <w:lang w:val="es-ES"/>
              </w:rPr>
              <w:t>A. Órganos rectores y subsidiarios</w:t>
            </w:r>
          </w:p>
        </w:tc>
        <w:tc>
          <w:tcPr>
            <w:tcW w:w="1180" w:type="dxa"/>
            <w:tcBorders>
              <w:top w:val="single" w:sz="4" w:space="0" w:color="auto"/>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2 479,6</w:t>
            </w:r>
          </w:p>
        </w:tc>
        <w:tc>
          <w:tcPr>
            <w:tcW w:w="1180" w:type="dxa"/>
            <w:tcBorders>
              <w:top w:val="single" w:sz="4" w:space="0" w:color="auto"/>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3 863,9</w:t>
            </w:r>
          </w:p>
        </w:tc>
        <w:tc>
          <w:tcPr>
            <w:tcW w:w="1180" w:type="dxa"/>
            <w:tcBorders>
              <w:top w:val="single" w:sz="4" w:space="0" w:color="auto"/>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6 343,5</w:t>
            </w:r>
          </w:p>
        </w:tc>
      </w:tr>
      <w:tr w:rsidR="00A066D4" w:rsidRPr="005E2E1B">
        <w:trPr>
          <w:trHeight w:val="290"/>
        </w:trPr>
        <w:tc>
          <w:tcPr>
            <w:tcW w:w="51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sz w:val="18"/>
                <w:szCs w:val="18"/>
                <w:lang w:val="es-ES"/>
              </w:rPr>
              <w:t>B. Dirección y gestión ejecutivas</w:t>
            </w:r>
          </w:p>
        </w:tc>
        <w:tc>
          <w:tcPr>
            <w:tcW w:w="118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2 909,8</w:t>
            </w:r>
          </w:p>
        </w:tc>
        <w:tc>
          <w:tcPr>
            <w:tcW w:w="118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3 028,0</w:t>
            </w:r>
          </w:p>
        </w:tc>
        <w:tc>
          <w:tcPr>
            <w:tcW w:w="118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5 937,8</w:t>
            </w:r>
          </w:p>
        </w:tc>
      </w:tr>
      <w:tr w:rsidR="00A066D4" w:rsidRPr="005E2E1B">
        <w:trPr>
          <w:trHeight w:val="290"/>
        </w:trPr>
        <w:tc>
          <w:tcPr>
            <w:tcW w:w="51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sz w:val="18"/>
                <w:szCs w:val="18"/>
                <w:lang w:val="es-ES"/>
              </w:rPr>
              <w:t>C. Programa de trabajo</w:t>
            </w:r>
          </w:p>
        </w:tc>
        <w:tc>
          <w:tcPr>
            <w:tcW w:w="118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8 909,1</w:t>
            </w:r>
          </w:p>
        </w:tc>
        <w:tc>
          <w:tcPr>
            <w:tcW w:w="118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9 094,9</w:t>
            </w:r>
          </w:p>
        </w:tc>
        <w:tc>
          <w:tcPr>
            <w:tcW w:w="118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18 004,0</w:t>
            </w:r>
          </w:p>
        </w:tc>
      </w:tr>
      <w:tr w:rsidR="00A066D4" w:rsidRPr="005E2E1B">
        <w:trPr>
          <w:trHeight w:val="300"/>
        </w:trPr>
        <w:tc>
          <w:tcPr>
            <w:tcW w:w="51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sz w:val="18"/>
                <w:szCs w:val="18"/>
                <w:lang w:val="es-ES"/>
              </w:rPr>
              <w:t>D. Apoyo administrativo</w:t>
            </w:r>
          </w:p>
        </w:tc>
        <w:tc>
          <w:tcPr>
            <w:tcW w:w="118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3 148,6</w:t>
            </w:r>
          </w:p>
        </w:tc>
        <w:tc>
          <w:tcPr>
            <w:tcW w:w="118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2 998,8</w:t>
            </w:r>
          </w:p>
        </w:tc>
        <w:tc>
          <w:tcPr>
            <w:tcW w:w="118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6 147,4</w:t>
            </w:r>
          </w:p>
        </w:tc>
      </w:tr>
      <w:tr w:rsidR="00A066D4" w:rsidRPr="005E2E1B">
        <w:trPr>
          <w:trHeight w:val="400"/>
        </w:trPr>
        <w:tc>
          <w:tcPr>
            <w:tcW w:w="5160" w:type="dxa"/>
            <w:tcBorders>
              <w:top w:val="single" w:sz="8" w:space="0" w:color="auto"/>
              <w:left w:val="nil"/>
              <w:bottom w:val="single" w:sz="8" w:space="0" w:color="auto"/>
              <w:right w:val="nil"/>
            </w:tcBorders>
            <w:vAlign w:val="center"/>
          </w:tcPr>
          <w:p w:rsidR="00A066D4" w:rsidRPr="005E2E1B" w:rsidRDefault="00A066D4">
            <w:pPr>
              <w:rPr>
                <w:rFonts w:eastAsia="Times New Roman"/>
                <w:lang w:val="es-ES"/>
              </w:rPr>
            </w:pPr>
            <w:r w:rsidRPr="005E2E1B">
              <w:rPr>
                <w:rFonts w:eastAsia="Times New Roman"/>
                <w:b/>
                <w:bCs/>
                <w:color w:val="000000"/>
                <w:sz w:val="18"/>
                <w:szCs w:val="18"/>
                <w:lang w:val="es-ES"/>
              </w:rPr>
              <w:t>Subtotal</w:t>
            </w:r>
          </w:p>
        </w:tc>
        <w:tc>
          <w:tcPr>
            <w:tcW w:w="1180" w:type="dxa"/>
            <w:tcBorders>
              <w:top w:val="single" w:sz="8" w:space="0" w:color="auto"/>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17 447,1</w:t>
            </w:r>
          </w:p>
        </w:tc>
        <w:tc>
          <w:tcPr>
            <w:tcW w:w="1180" w:type="dxa"/>
            <w:tcBorders>
              <w:top w:val="single" w:sz="8" w:space="0" w:color="auto"/>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18 985,6</w:t>
            </w:r>
          </w:p>
        </w:tc>
        <w:tc>
          <w:tcPr>
            <w:tcW w:w="1180" w:type="dxa"/>
            <w:tcBorders>
              <w:top w:val="single" w:sz="8" w:space="0" w:color="auto"/>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36 432,7</w:t>
            </w:r>
          </w:p>
        </w:tc>
      </w:tr>
      <w:tr w:rsidR="00A066D4" w:rsidRPr="005E2E1B">
        <w:trPr>
          <w:trHeight w:val="290"/>
        </w:trPr>
        <w:tc>
          <w:tcPr>
            <w:tcW w:w="51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sz w:val="18"/>
                <w:szCs w:val="18"/>
                <w:lang w:val="es-ES"/>
              </w:rPr>
              <w:t>Gastos de apoyo a los programas</w:t>
            </w:r>
          </w:p>
        </w:tc>
        <w:tc>
          <w:tcPr>
            <w:tcW w:w="118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2 268,1</w:t>
            </w:r>
          </w:p>
        </w:tc>
        <w:tc>
          <w:tcPr>
            <w:tcW w:w="118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2 468,1</w:t>
            </w:r>
          </w:p>
        </w:tc>
        <w:tc>
          <w:tcPr>
            <w:tcW w:w="118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4 736,2</w:t>
            </w:r>
          </w:p>
        </w:tc>
      </w:tr>
      <w:tr w:rsidR="00A066D4" w:rsidRPr="005E2E1B">
        <w:trPr>
          <w:trHeight w:val="300"/>
        </w:trPr>
        <w:tc>
          <w:tcPr>
            <w:tcW w:w="51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color w:val="000000"/>
                <w:sz w:val="18"/>
                <w:szCs w:val="18"/>
                <w:lang w:val="es-ES"/>
              </w:rPr>
              <w:t>Reserva operacional</w:t>
            </w:r>
          </w:p>
        </w:tc>
        <w:tc>
          <w:tcPr>
            <w:tcW w:w="118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216,4</w:t>
            </w:r>
          </w:p>
        </w:tc>
        <w:tc>
          <w:tcPr>
            <w:tcW w:w="118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260,8</w:t>
            </w:r>
          </w:p>
        </w:tc>
        <w:tc>
          <w:tcPr>
            <w:tcW w:w="1180" w:type="dxa"/>
            <w:tcBorders>
              <w:top w:val="nil"/>
              <w:left w:val="nil"/>
              <w:bottom w:val="nil"/>
              <w:right w:val="nil"/>
            </w:tcBorders>
            <w:noWrap/>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477,2</w:t>
            </w:r>
          </w:p>
        </w:tc>
      </w:tr>
      <w:tr w:rsidR="00A066D4" w:rsidRPr="005E2E1B">
        <w:trPr>
          <w:trHeight w:val="400"/>
        </w:trPr>
        <w:tc>
          <w:tcPr>
            <w:tcW w:w="5160" w:type="dxa"/>
            <w:tcBorders>
              <w:top w:val="single" w:sz="8" w:space="0" w:color="auto"/>
              <w:left w:val="nil"/>
              <w:bottom w:val="single" w:sz="8" w:space="0" w:color="auto"/>
              <w:right w:val="nil"/>
            </w:tcBorders>
            <w:vAlign w:val="center"/>
          </w:tcPr>
          <w:p w:rsidR="00A066D4" w:rsidRPr="005E2E1B" w:rsidRDefault="00B416B6">
            <w:pPr>
              <w:rPr>
                <w:rFonts w:eastAsia="Times New Roman"/>
                <w:lang w:val="es-ES"/>
              </w:rPr>
            </w:pPr>
            <w:r>
              <w:rPr>
                <w:rFonts w:eastAsia="Times New Roman"/>
                <w:b/>
                <w:bCs/>
                <w:color w:val="000000"/>
                <w:sz w:val="18"/>
                <w:szCs w:val="18"/>
                <w:lang w:val="es-ES"/>
              </w:rPr>
              <w:t>Requerimientos</w:t>
            </w:r>
            <w:r w:rsidR="00A066D4" w:rsidRPr="005E2E1B">
              <w:rPr>
                <w:rFonts w:eastAsia="Times New Roman"/>
                <w:b/>
                <w:bCs/>
                <w:color w:val="000000"/>
                <w:sz w:val="18"/>
                <w:szCs w:val="18"/>
                <w:lang w:val="es-ES"/>
              </w:rPr>
              <w:t xml:space="preserve"> totales</w:t>
            </w:r>
          </w:p>
        </w:tc>
        <w:tc>
          <w:tcPr>
            <w:tcW w:w="1180" w:type="dxa"/>
            <w:tcBorders>
              <w:top w:val="single" w:sz="8" w:space="0" w:color="auto"/>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19 931,6</w:t>
            </w:r>
          </w:p>
        </w:tc>
        <w:tc>
          <w:tcPr>
            <w:tcW w:w="1180" w:type="dxa"/>
            <w:tcBorders>
              <w:top w:val="single" w:sz="8" w:space="0" w:color="auto"/>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21 714,5</w:t>
            </w:r>
          </w:p>
        </w:tc>
        <w:tc>
          <w:tcPr>
            <w:tcW w:w="1180" w:type="dxa"/>
            <w:tcBorders>
              <w:top w:val="single" w:sz="8" w:space="0" w:color="auto"/>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41 646,1</w:t>
            </w:r>
          </w:p>
        </w:tc>
      </w:tr>
      <w:tr w:rsidR="00A066D4" w:rsidRPr="005E2E1B">
        <w:trPr>
          <w:trHeight w:val="470"/>
        </w:trPr>
        <w:tc>
          <w:tcPr>
            <w:tcW w:w="5160" w:type="dxa"/>
            <w:tcBorders>
              <w:top w:val="nil"/>
              <w:left w:val="nil"/>
              <w:bottom w:val="single" w:sz="8" w:space="0" w:color="auto"/>
              <w:right w:val="nil"/>
            </w:tcBorders>
            <w:vAlign w:val="center"/>
          </w:tcPr>
          <w:p w:rsidR="00A066D4" w:rsidRPr="005E2E1B" w:rsidRDefault="00B416B6" w:rsidP="00B416B6">
            <w:pPr>
              <w:rPr>
                <w:rFonts w:eastAsia="Times New Roman"/>
                <w:lang w:val="es-ES"/>
              </w:rPr>
            </w:pPr>
            <w:r>
              <w:rPr>
                <w:rFonts w:eastAsia="Times New Roman"/>
                <w:b/>
                <w:bCs/>
                <w:sz w:val="18"/>
                <w:szCs w:val="18"/>
                <w:lang w:val="es-ES"/>
              </w:rPr>
              <w:t>Porcentaje</w:t>
            </w:r>
            <w:r w:rsidR="00A066D4" w:rsidRPr="005E2E1B">
              <w:rPr>
                <w:rFonts w:eastAsia="Times New Roman"/>
                <w:b/>
                <w:bCs/>
                <w:sz w:val="18"/>
                <w:szCs w:val="18"/>
                <w:lang w:val="es-ES"/>
              </w:rPr>
              <w:t xml:space="preserve"> del presupuesto integrado </w:t>
            </w:r>
            <w:r>
              <w:rPr>
                <w:rFonts w:eastAsia="Times New Roman"/>
                <w:b/>
                <w:bCs/>
                <w:sz w:val="18"/>
                <w:szCs w:val="18"/>
                <w:lang w:val="es-ES"/>
              </w:rPr>
              <w:t xml:space="preserve">que </w:t>
            </w:r>
            <w:r w:rsidR="00A066D4" w:rsidRPr="005E2E1B">
              <w:rPr>
                <w:rFonts w:eastAsia="Times New Roman"/>
                <w:b/>
                <w:bCs/>
                <w:sz w:val="18"/>
                <w:szCs w:val="18"/>
                <w:lang w:val="es-ES"/>
              </w:rPr>
              <w:t>corresponde al Protocolo de Nagoya (13 %)</w:t>
            </w:r>
          </w:p>
        </w:tc>
        <w:tc>
          <w:tcPr>
            <w:tcW w:w="118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2 591,1</w:t>
            </w:r>
          </w:p>
        </w:tc>
        <w:tc>
          <w:tcPr>
            <w:tcW w:w="118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2 822,9</w:t>
            </w:r>
          </w:p>
        </w:tc>
        <w:tc>
          <w:tcPr>
            <w:tcW w:w="1180" w:type="dxa"/>
            <w:tcBorders>
              <w:top w:val="nil"/>
              <w:left w:val="nil"/>
              <w:bottom w:val="single" w:sz="8" w:space="0" w:color="auto"/>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5 414,0</w:t>
            </w:r>
          </w:p>
        </w:tc>
      </w:tr>
      <w:tr w:rsidR="00A066D4" w:rsidRPr="005E2E1B">
        <w:trPr>
          <w:trHeight w:val="290"/>
        </w:trPr>
        <w:tc>
          <w:tcPr>
            <w:tcW w:w="5160" w:type="dxa"/>
            <w:tcBorders>
              <w:top w:val="nil"/>
              <w:left w:val="nil"/>
              <w:bottom w:val="nil"/>
              <w:right w:val="nil"/>
            </w:tcBorders>
            <w:vAlign w:val="center"/>
          </w:tcPr>
          <w:p w:rsidR="00A066D4" w:rsidRPr="005E2E1B" w:rsidRDefault="00A066D4">
            <w:pPr>
              <w:rPr>
                <w:rFonts w:eastAsia="Times New Roman"/>
                <w:lang w:val="es-ES"/>
              </w:rPr>
            </w:pPr>
            <w:r w:rsidRPr="005E2E1B">
              <w:rPr>
                <w:rFonts w:eastAsia="Times New Roman"/>
                <w:sz w:val="18"/>
                <w:szCs w:val="18"/>
                <w:lang w:val="es-ES"/>
              </w:rPr>
              <w:t>Menos las contribuciones del país anfitrión</w:t>
            </w:r>
          </w:p>
        </w:tc>
        <w:tc>
          <w:tcPr>
            <w:tcW w:w="118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-212,4</w:t>
            </w:r>
          </w:p>
        </w:tc>
        <w:tc>
          <w:tcPr>
            <w:tcW w:w="1180" w:type="dxa"/>
            <w:tcBorders>
              <w:top w:val="nil"/>
              <w:left w:val="nil"/>
              <w:bottom w:val="nil"/>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-216,4</w:t>
            </w:r>
          </w:p>
        </w:tc>
        <w:tc>
          <w:tcPr>
            <w:tcW w:w="118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-428,8</w:t>
            </w:r>
          </w:p>
        </w:tc>
      </w:tr>
      <w:tr w:rsidR="00A066D4" w:rsidRPr="005E2E1B">
        <w:trPr>
          <w:trHeight w:val="300"/>
        </w:trPr>
        <w:tc>
          <w:tcPr>
            <w:tcW w:w="5160" w:type="dxa"/>
            <w:tcBorders>
              <w:top w:val="nil"/>
              <w:left w:val="nil"/>
              <w:bottom w:val="single" w:sz="8" w:space="0" w:color="auto"/>
              <w:right w:val="nil"/>
            </w:tcBorders>
            <w:vAlign w:val="center"/>
          </w:tcPr>
          <w:p w:rsidR="00A066D4" w:rsidRPr="005E2E1B" w:rsidRDefault="00A066D4">
            <w:pPr>
              <w:rPr>
                <w:rFonts w:eastAsia="Times New Roman"/>
                <w:lang w:val="es-ES"/>
              </w:rPr>
            </w:pPr>
            <w:r w:rsidRPr="005E2E1B">
              <w:rPr>
                <w:rFonts w:eastAsia="Times New Roman"/>
                <w:color w:val="000000"/>
                <w:sz w:val="18"/>
                <w:szCs w:val="18"/>
                <w:lang w:val="es-ES"/>
              </w:rPr>
              <w:t>Menos empleo de fondos de reserva</w:t>
            </w:r>
          </w:p>
        </w:tc>
        <w:tc>
          <w:tcPr>
            <w:tcW w:w="1180" w:type="dxa"/>
            <w:tcBorders>
              <w:top w:val="nil"/>
              <w:left w:val="nil"/>
              <w:bottom w:val="single" w:sz="8" w:space="0" w:color="auto"/>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-26,7</w:t>
            </w:r>
          </w:p>
        </w:tc>
        <w:tc>
          <w:tcPr>
            <w:tcW w:w="1180" w:type="dxa"/>
            <w:tcBorders>
              <w:top w:val="nil"/>
              <w:left w:val="nil"/>
              <w:bottom w:val="single" w:sz="8" w:space="0" w:color="auto"/>
              <w:right w:val="nil"/>
            </w:tcBorders>
            <w:vAlign w:val="center"/>
          </w:tcPr>
          <w:p w:rsidR="00A066D4" w:rsidRPr="005E2E1B" w:rsidRDefault="00A066D4">
            <w:pPr>
              <w:jc w:val="right"/>
              <w:rPr>
                <w:rFonts w:eastAsia="Times New Roman"/>
                <w:color w:val="000000"/>
                <w:sz w:val="18"/>
                <w:szCs w:val="18"/>
                <w:lang w:val="es-ES"/>
              </w:rPr>
            </w:pPr>
            <w:r w:rsidRPr="005E2E1B">
              <w:rPr>
                <w:rFonts w:eastAsia="Times New Roman"/>
                <w:color w:val="000000"/>
                <w:sz w:val="18"/>
                <w:szCs w:val="18"/>
                <w:lang w:val="es-ES"/>
              </w:rPr>
              <w:t>-26,7</w:t>
            </w:r>
          </w:p>
        </w:tc>
        <w:tc>
          <w:tcPr>
            <w:tcW w:w="1180" w:type="dxa"/>
            <w:tcBorders>
              <w:top w:val="nil"/>
              <w:left w:val="nil"/>
              <w:bottom w:val="nil"/>
              <w:right w:val="nil"/>
            </w:tcBorders>
            <w:vAlign w:val="center"/>
          </w:tcPr>
          <w:p w:rsidR="00A066D4" w:rsidRPr="005E2E1B" w:rsidRDefault="00A066D4">
            <w:pPr>
              <w:jc w:val="right"/>
              <w:rPr>
                <w:rFonts w:eastAsia="Times New Roman"/>
                <w:b/>
                <w:bCs/>
                <w:color w:val="000000"/>
                <w:sz w:val="18"/>
                <w:szCs w:val="18"/>
                <w:lang w:val="es-ES"/>
              </w:rPr>
            </w:pPr>
            <w:r w:rsidRPr="005E2E1B">
              <w:rPr>
                <w:rFonts w:eastAsia="Times New Roman"/>
                <w:b/>
                <w:bCs/>
                <w:color w:val="000000"/>
                <w:sz w:val="18"/>
                <w:szCs w:val="18"/>
                <w:lang w:val="es-ES"/>
              </w:rPr>
              <w:t>-53,4</w:t>
            </w:r>
          </w:p>
        </w:tc>
      </w:tr>
      <w:tr w:rsidR="00A066D4" w:rsidRPr="005E2E1B">
        <w:trPr>
          <w:trHeight w:val="470"/>
        </w:trPr>
        <w:tc>
          <w:tcPr>
            <w:tcW w:w="5160" w:type="dxa"/>
            <w:tcBorders>
              <w:top w:val="nil"/>
              <w:left w:val="nil"/>
              <w:bottom w:val="single" w:sz="8" w:space="0" w:color="auto"/>
              <w:right w:val="nil"/>
            </w:tcBorders>
            <w:vAlign w:val="center"/>
          </w:tcPr>
          <w:p w:rsidR="00A066D4" w:rsidRPr="005E2E1B" w:rsidRDefault="00A066D4" w:rsidP="00B416B6">
            <w:pPr>
              <w:rPr>
                <w:rFonts w:eastAsia="Times New Roman"/>
                <w:lang w:val="es-ES"/>
              </w:rPr>
            </w:pPr>
            <w:r w:rsidRPr="005E2E1B">
              <w:rPr>
                <w:rFonts w:eastAsia="Times New Roman"/>
                <w:b/>
                <w:bCs/>
                <w:i/>
                <w:iCs/>
                <w:color w:val="000000"/>
                <w:sz w:val="18"/>
                <w:szCs w:val="18"/>
                <w:lang w:val="es-ES"/>
              </w:rPr>
              <w:t>Total neto (</w:t>
            </w:r>
            <w:r w:rsidR="00B416B6">
              <w:rPr>
                <w:rFonts w:eastAsia="Times New Roman"/>
                <w:b/>
                <w:bCs/>
                <w:i/>
                <w:iCs/>
                <w:color w:val="000000"/>
                <w:sz w:val="18"/>
                <w:szCs w:val="18"/>
                <w:lang w:val="es-ES"/>
              </w:rPr>
              <w:t>a</w:t>
            </w:r>
            <w:r w:rsidRPr="005E2E1B">
              <w:rPr>
                <w:rFonts w:eastAsia="Times New Roman"/>
                <w:b/>
                <w:bCs/>
                <w:i/>
                <w:iCs/>
                <w:color w:val="000000"/>
                <w:sz w:val="18"/>
                <w:szCs w:val="18"/>
                <w:lang w:val="es-ES"/>
              </w:rPr>
              <w:t xml:space="preserve"> dividi</w:t>
            </w:r>
            <w:r w:rsidR="00B416B6">
              <w:rPr>
                <w:rFonts w:eastAsia="Times New Roman"/>
                <w:b/>
                <w:bCs/>
                <w:i/>
                <w:iCs/>
                <w:color w:val="000000"/>
                <w:sz w:val="18"/>
                <w:szCs w:val="18"/>
                <w:lang w:val="es-ES"/>
              </w:rPr>
              <w:t>r</w:t>
            </w:r>
            <w:r w:rsidRPr="005E2E1B">
              <w:rPr>
                <w:rFonts w:eastAsia="Times New Roman"/>
                <w:b/>
                <w:bCs/>
                <w:i/>
                <w:iCs/>
                <w:color w:val="000000"/>
                <w:sz w:val="18"/>
                <w:szCs w:val="18"/>
                <w:lang w:val="es-ES"/>
              </w:rPr>
              <w:t xml:space="preserve"> entre las Partes)</w:t>
            </w:r>
          </w:p>
        </w:tc>
        <w:tc>
          <w:tcPr>
            <w:tcW w:w="1180" w:type="dxa"/>
            <w:tcBorders>
              <w:top w:val="nil"/>
              <w:left w:val="nil"/>
              <w:bottom w:val="single" w:sz="8" w:space="0" w:color="auto"/>
              <w:right w:val="nil"/>
            </w:tcBorders>
            <w:vAlign w:val="center"/>
          </w:tcPr>
          <w:p w:rsidR="00A066D4" w:rsidRPr="005E2E1B" w:rsidRDefault="00A066D4">
            <w:pPr>
              <w:jc w:val="right"/>
              <w:rPr>
                <w:rFonts w:eastAsia="Times New Roman"/>
                <w:b/>
                <w:bCs/>
                <w:i/>
                <w:iCs/>
                <w:color w:val="000000"/>
                <w:sz w:val="18"/>
                <w:szCs w:val="18"/>
                <w:lang w:val="es-ES"/>
              </w:rPr>
            </w:pPr>
            <w:r w:rsidRPr="005E2E1B">
              <w:rPr>
                <w:rFonts w:eastAsia="Times New Roman"/>
                <w:b/>
                <w:bCs/>
                <w:i/>
                <w:iCs/>
                <w:color w:val="000000"/>
                <w:sz w:val="18"/>
                <w:szCs w:val="18"/>
                <w:lang w:val="es-ES"/>
              </w:rPr>
              <w:t>2 352,0</w:t>
            </w:r>
          </w:p>
        </w:tc>
        <w:tc>
          <w:tcPr>
            <w:tcW w:w="1180" w:type="dxa"/>
            <w:tcBorders>
              <w:top w:val="nil"/>
              <w:left w:val="nil"/>
              <w:bottom w:val="single" w:sz="8" w:space="0" w:color="auto"/>
              <w:right w:val="nil"/>
            </w:tcBorders>
            <w:vAlign w:val="center"/>
          </w:tcPr>
          <w:p w:rsidR="00A066D4" w:rsidRPr="005E2E1B" w:rsidRDefault="00A066D4">
            <w:pPr>
              <w:jc w:val="right"/>
              <w:rPr>
                <w:rFonts w:eastAsia="Times New Roman"/>
                <w:b/>
                <w:bCs/>
                <w:i/>
                <w:iCs/>
                <w:color w:val="000000"/>
                <w:sz w:val="18"/>
                <w:szCs w:val="18"/>
                <w:lang w:val="es-ES"/>
              </w:rPr>
            </w:pPr>
            <w:r w:rsidRPr="005E2E1B">
              <w:rPr>
                <w:rFonts w:eastAsia="Times New Roman"/>
                <w:b/>
                <w:bCs/>
                <w:i/>
                <w:iCs/>
                <w:color w:val="000000"/>
                <w:sz w:val="18"/>
                <w:szCs w:val="18"/>
                <w:lang w:val="es-ES"/>
              </w:rPr>
              <w:t>2 579,8</w:t>
            </w:r>
          </w:p>
        </w:tc>
        <w:tc>
          <w:tcPr>
            <w:tcW w:w="1180" w:type="dxa"/>
            <w:tcBorders>
              <w:top w:val="single" w:sz="8" w:space="0" w:color="auto"/>
              <w:left w:val="nil"/>
              <w:bottom w:val="single" w:sz="8" w:space="0" w:color="auto"/>
              <w:right w:val="nil"/>
            </w:tcBorders>
            <w:vAlign w:val="center"/>
          </w:tcPr>
          <w:p w:rsidR="00A066D4" w:rsidRPr="005E2E1B" w:rsidRDefault="00A066D4">
            <w:pPr>
              <w:jc w:val="right"/>
              <w:rPr>
                <w:rFonts w:eastAsia="Times New Roman"/>
                <w:b/>
                <w:bCs/>
                <w:i/>
                <w:iCs/>
                <w:color w:val="000000"/>
                <w:sz w:val="18"/>
                <w:szCs w:val="18"/>
                <w:lang w:val="es-ES"/>
              </w:rPr>
            </w:pPr>
            <w:r w:rsidRPr="005E2E1B">
              <w:rPr>
                <w:rFonts w:eastAsia="Times New Roman"/>
                <w:b/>
                <w:bCs/>
                <w:i/>
                <w:iCs/>
                <w:color w:val="000000"/>
                <w:sz w:val="18"/>
                <w:szCs w:val="18"/>
                <w:lang w:val="es-ES"/>
              </w:rPr>
              <w:t>4 931,8</w:t>
            </w:r>
          </w:p>
        </w:tc>
      </w:tr>
    </w:tbl>
    <w:p w:rsidR="00A066D4" w:rsidRPr="005E2E1B" w:rsidRDefault="00A066D4">
      <w:pPr>
        <w:rPr>
          <w:rFonts w:eastAsia="Times New Roman"/>
          <w:lang w:val="es-ES"/>
        </w:rPr>
      </w:pPr>
    </w:p>
    <w:p w:rsidR="00A066D4" w:rsidRPr="005E2E1B" w:rsidRDefault="00A066D4">
      <w:pPr>
        <w:spacing w:after="160" w:line="259" w:lineRule="auto"/>
        <w:jc w:val="left"/>
        <w:rPr>
          <w:rFonts w:eastAsia="Times New Roman"/>
          <w:lang w:val="es-ES"/>
        </w:rPr>
      </w:pPr>
      <w:r w:rsidRPr="005E2E1B">
        <w:rPr>
          <w:rFonts w:eastAsia="Times New Roman"/>
          <w:lang w:val="es-ES"/>
        </w:rPr>
        <w:br w:type="page"/>
      </w:r>
    </w:p>
    <w:p w:rsidR="00A066D4" w:rsidRPr="005E2E1B" w:rsidRDefault="00A066D4">
      <w:pPr>
        <w:spacing w:before="240" w:after="60" w:line="260" w:lineRule="auto"/>
        <w:ind w:left="810" w:hanging="810"/>
        <w:jc w:val="left"/>
        <w:rPr>
          <w:rFonts w:eastAsia="Times New Roman"/>
          <w:b/>
          <w:bCs/>
          <w:color w:val="000000"/>
          <w:kern w:val="20"/>
          <w:lang w:val="es-ES"/>
        </w:rPr>
      </w:pPr>
      <w:r w:rsidRPr="005E2E1B">
        <w:rPr>
          <w:rFonts w:eastAsia="Times New Roman"/>
          <w:b/>
          <w:bCs/>
          <w:kern w:val="20"/>
          <w:lang w:val="es-ES"/>
        </w:rPr>
        <w:lastRenderedPageBreak/>
        <w:t>Cuadro 2. Contribuciones al Fondo Fiduciario para el Protocolo de Nagoya sobre Acceso y Participación en los Beneficios para el bienio 2023-2024</w:t>
      </w:r>
      <w:r w:rsidRPr="005E2E1B">
        <w:rPr>
          <w:rStyle w:val="FootnoteReference"/>
          <w:rFonts w:eastAsia="Times New Roman"/>
          <w:b/>
          <w:bCs/>
          <w:kern w:val="20"/>
          <w:lang w:val="es-ES"/>
        </w:rPr>
        <w:footnoteReference w:id="5"/>
      </w:r>
    </w:p>
    <w:p w:rsidR="00A066D4" w:rsidRPr="005E2E1B" w:rsidRDefault="00A066D4">
      <w:pPr>
        <w:ind w:left="810" w:hanging="810"/>
        <w:jc w:val="left"/>
        <w:rPr>
          <w:rFonts w:eastAsia="Times New Roman"/>
          <w:b/>
          <w:bCs/>
          <w:color w:val="000000"/>
          <w:kern w:val="20"/>
          <w:lang w:val="es-ES"/>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99"/>
        <w:gridCol w:w="1181"/>
        <w:gridCol w:w="1181"/>
        <w:gridCol w:w="1181"/>
        <w:gridCol w:w="1181"/>
        <w:gridCol w:w="1181"/>
      </w:tblGrid>
      <w:tr w:rsidR="00A066D4" w:rsidRPr="005E2E1B">
        <w:trPr>
          <w:cantSplit/>
          <w:trHeight w:val="245"/>
          <w:tblHeader/>
        </w:trPr>
        <w:tc>
          <w:tcPr>
            <w:tcW w:w="3599" w:type="dxa"/>
            <w:tcBorders>
              <w:top w:val="single" w:sz="4" w:space="0" w:color="auto"/>
              <w:left w:val="single" w:sz="4" w:space="0" w:color="auto"/>
              <w:bottom w:val="single" w:sz="4" w:space="0" w:color="auto"/>
              <w:right w:val="single" w:sz="4" w:space="0" w:color="auto"/>
            </w:tcBorders>
            <w:noWrap/>
            <w:vAlign w:val="bottom"/>
          </w:tcPr>
          <w:p w:rsidR="00A066D4" w:rsidRPr="005E2E1B" w:rsidRDefault="00A066D4">
            <w:pPr>
              <w:ind w:left="144" w:hanging="144"/>
              <w:jc w:val="left"/>
              <w:rPr>
                <w:rFonts w:eastAsia="Times New Roman"/>
                <w:lang w:val="es-ES"/>
              </w:rPr>
            </w:pPr>
            <w:r w:rsidRPr="005E2E1B">
              <w:rPr>
                <w:rFonts w:eastAsia="Times New Roman"/>
                <w:b/>
                <w:bCs/>
                <w:sz w:val="18"/>
                <w:szCs w:val="18"/>
                <w:lang w:val="es-ES"/>
              </w:rPr>
              <w:t>Parte</w:t>
            </w:r>
          </w:p>
        </w:tc>
        <w:tc>
          <w:tcPr>
            <w:tcW w:w="1181" w:type="dxa"/>
            <w:tcBorders>
              <w:top w:val="single" w:sz="4" w:space="0" w:color="auto"/>
              <w:left w:val="single" w:sz="4" w:space="0" w:color="auto"/>
              <w:bottom w:val="single" w:sz="4" w:space="0" w:color="auto"/>
              <w:right w:val="single" w:sz="4" w:space="0" w:color="auto"/>
            </w:tcBorders>
            <w:vAlign w:val="bottom"/>
          </w:tcPr>
          <w:p w:rsidR="00A066D4" w:rsidRPr="005E2E1B" w:rsidRDefault="00A066D4">
            <w:pPr>
              <w:jc w:val="left"/>
              <w:rPr>
                <w:rFonts w:eastAsia="Times New Roman"/>
                <w:lang w:val="es-ES"/>
              </w:rPr>
            </w:pPr>
            <w:r w:rsidRPr="005E2E1B">
              <w:rPr>
                <w:rFonts w:eastAsia="Times New Roman"/>
                <w:b/>
                <w:bCs/>
                <w:sz w:val="16"/>
                <w:szCs w:val="16"/>
                <w:lang w:val="es-ES"/>
              </w:rPr>
              <w:t>Escala de cuotas 2022-2024</w:t>
            </w:r>
          </w:p>
        </w:tc>
        <w:tc>
          <w:tcPr>
            <w:tcW w:w="1181" w:type="dxa"/>
            <w:tcBorders>
              <w:top w:val="single" w:sz="4" w:space="0" w:color="auto"/>
              <w:left w:val="single" w:sz="4" w:space="0" w:color="auto"/>
              <w:bottom w:val="single" w:sz="4" w:space="0" w:color="auto"/>
              <w:right w:val="single" w:sz="4" w:space="0" w:color="auto"/>
            </w:tcBorders>
            <w:vAlign w:val="bottom"/>
          </w:tcPr>
          <w:p w:rsidR="00A066D4" w:rsidRPr="005E2E1B" w:rsidRDefault="00A066D4">
            <w:pPr>
              <w:jc w:val="left"/>
              <w:rPr>
                <w:rFonts w:eastAsia="Times New Roman"/>
                <w:lang w:val="es-ES"/>
              </w:rPr>
            </w:pPr>
            <w:r w:rsidRPr="005E2E1B">
              <w:rPr>
                <w:rFonts w:eastAsia="Times New Roman"/>
                <w:b/>
                <w:bCs/>
                <w:sz w:val="16"/>
                <w:szCs w:val="16"/>
                <w:lang w:val="es-ES"/>
              </w:rPr>
              <w:t>Escala con tope del 22 %, ningún PMA paga más del 0,01 %</w:t>
            </w:r>
          </w:p>
        </w:tc>
        <w:tc>
          <w:tcPr>
            <w:tcW w:w="1181" w:type="dxa"/>
            <w:tcBorders>
              <w:top w:val="single" w:sz="4" w:space="0" w:color="auto"/>
              <w:left w:val="single" w:sz="4" w:space="0" w:color="auto"/>
              <w:bottom w:val="single" w:sz="4" w:space="0" w:color="auto"/>
              <w:right w:val="single" w:sz="4" w:space="0" w:color="auto"/>
            </w:tcBorders>
            <w:vAlign w:val="bottom"/>
          </w:tcPr>
          <w:p w:rsidR="00A066D4" w:rsidRPr="005E2E1B" w:rsidRDefault="00A066D4">
            <w:pPr>
              <w:widowControl w:val="0"/>
              <w:jc w:val="center"/>
              <w:rPr>
                <w:rFonts w:eastAsia="Times New Roman"/>
                <w:b/>
                <w:bCs/>
                <w:sz w:val="16"/>
                <w:szCs w:val="16"/>
                <w:lang w:val="es-ES"/>
              </w:rPr>
            </w:pPr>
            <w:r w:rsidRPr="005E2E1B">
              <w:rPr>
                <w:rFonts w:eastAsia="Times New Roman"/>
                <w:b/>
                <w:bCs/>
                <w:sz w:val="16"/>
                <w:szCs w:val="16"/>
                <w:lang w:val="es-ES"/>
              </w:rPr>
              <w:t>Contribución al 1 de enero de 2023</w:t>
            </w:r>
          </w:p>
          <w:p w:rsidR="00A066D4" w:rsidRPr="005E2E1B" w:rsidRDefault="00A066D4">
            <w:pPr>
              <w:jc w:val="center"/>
              <w:rPr>
                <w:rFonts w:eastAsia="Times New Roman"/>
                <w:lang w:val="es-ES"/>
              </w:rPr>
            </w:pPr>
            <w:r w:rsidRPr="005E2E1B">
              <w:rPr>
                <w:rFonts w:eastAsia="Times New Roman"/>
                <w:b/>
                <w:bCs/>
                <w:sz w:val="16"/>
                <w:szCs w:val="16"/>
                <w:lang w:val="es-ES"/>
              </w:rPr>
              <w:t xml:space="preserve">(dólares de los </w:t>
            </w:r>
            <w:r w:rsidR="00F57C45" w:rsidRPr="005E2E1B">
              <w:rPr>
                <w:rFonts w:eastAsia="Times New Roman"/>
                <w:b/>
                <w:bCs/>
                <w:sz w:val="16"/>
                <w:szCs w:val="16"/>
                <w:lang w:val="es-ES"/>
              </w:rPr>
              <w:t>EE.UU.</w:t>
            </w:r>
            <w:r w:rsidRPr="005E2E1B">
              <w:rPr>
                <w:rFonts w:eastAsia="Times New Roman"/>
                <w:b/>
                <w:bCs/>
                <w:sz w:val="16"/>
                <w:szCs w:val="16"/>
                <w:lang w:val="es-ES"/>
              </w:rPr>
              <w:t>)</w:t>
            </w:r>
          </w:p>
        </w:tc>
        <w:tc>
          <w:tcPr>
            <w:tcW w:w="1181" w:type="dxa"/>
            <w:tcBorders>
              <w:top w:val="single" w:sz="4" w:space="0" w:color="auto"/>
              <w:left w:val="single" w:sz="4" w:space="0" w:color="auto"/>
              <w:bottom w:val="single" w:sz="4" w:space="0" w:color="auto"/>
              <w:right w:val="single" w:sz="4" w:space="0" w:color="auto"/>
            </w:tcBorders>
            <w:vAlign w:val="bottom"/>
          </w:tcPr>
          <w:p w:rsidR="00A066D4" w:rsidRPr="005E2E1B" w:rsidRDefault="00A066D4">
            <w:pPr>
              <w:widowControl w:val="0"/>
              <w:jc w:val="center"/>
              <w:rPr>
                <w:rFonts w:eastAsia="Times New Roman"/>
                <w:b/>
                <w:bCs/>
                <w:sz w:val="16"/>
                <w:szCs w:val="16"/>
                <w:lang w:val="es-ES"/>
              </w:rPr>
            </w:pPr>
            <w:r w:rsidRPr="005E2E1B">
              <w:rPr>
                <w:rFonts w:eastAsia="Times New Roman"/>
                <w:b/>
                <w:bCs/>
                <w:sz w:val="16"/>
                <w:szCs w:val="16"/>
                <w:lang w:val="es-ES"/>
              </w:rPr>
              <w:t>Contribución al 1 de enero de 2024</w:t>
            </w:r>
          </w:p>
          <w:p w:rsidR="00A066D4" w:rsidRPr="005E2E1B" w:rsidRDefault="00A066D4">
            <w:pPr>
              <w:jc w:val="center"/>
              <w:rPr>
                <w:rFonts w:eastAsia="Times New Roman"/>
                <w:lang w:val="es-ES"/>
              </w:rPr>
            </w:pPr>
            <w:r w:rsidRPr="005E2E1B">
              <w:rPr>
                <w:rFonts w:eastAsia="Times New Roman"/>
                <w:b/>
                <w:bCs/>
                <w:sz w:val="16"/>
                <w:szCs w:val="16"/>
                <w:lang w:val="es-ES"/>
              </w:rPr>
              <w:t>(dólares de los EE.UU.)</w:t>
            </w:r>
          </w:p>
        </w:tc>
        <w:tc>
          <w:tcPr>
            <w:tcW w:w="1181" w:type="dxa"/>
            <w:tcBorders>
              <w:top w:val="single" w:sz="4" w:space="0" w:color="auto"/>
              <w:left w:val="single" w:sz="4" w:space="0" w:color="auto"/>
              <w:bottom w:val="single" w:sz="4" w:space="0" w:color="auto"/>
              <w:right w:val="single" w:sz="4" w:space="0" w:color="auto"/>
            </w:tcBorders>
            <w:noWrap/>
            <w:vAlign w:val="bottom"/>
          </w:tcPr>
          <w:p w:rsidR="00A066D4" w:rsidRPr="005E2E1B" w:rsidRDefault="00A066D4">
            <w:pPr>
              <w:widowControl w:val="0"/>
              <w:ind w:right="144"/>
              <w:jc w:val="center"/>
              <w:rPr>
                <w:rFonts w:eastAsia="Times New Roman"/>
                <w:b/>
                <w:bCs/>
                <w:sz w:val="16"/>
                <w:szCs w:val="16"/>
                <w:lang w:val="es-ES"/>
              </w:rPr>
            </w:pPr>
            <w:r w:rsidRPr="005E2E1B">
              <w:rPr>
                <w:rFonts w:eastAsia="Times New Roman"/>
                <w:b/>
                <w:bCs/>
                <w:sz w:val="16"/>
                <w:szCs w:val="16"/>
                <w:lang w:val="es-ES"/>
              </w:rPr>
              <w:t>Total 2023-2024</w:t>
            </w:r>
          </w:p>
          <w:p w:rsidR="00A066D4" w:rsidRPr="005E2E1B" w:rsidRDefault="00A066D4">
            <w:pPr>
              <w:jc w:val="center"/>
              <w:rPr>
                <w:rFonts w:eastAsia="Times New Roman"/>
                <w:lang w:val="es-ES"/>
              </w:rPr>
            </w:pPr>
            <w:r w:rsidRPr="005E2E1B">
              <w:rPr>
                <w:rFonts w:eastAsia="Times New Roman"/>
                <w:b/>
                <w:bCs/>
                <w:sz w:val="16"/>
                <w:szCs w:val="16"/>
                <w:lang w:val="es-ES"/>
              </w:rPr>
              <w:t>(dólares de los EE.UU.)</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Afganistán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221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242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463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Albania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294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323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617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Alemania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6,111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9,558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224 819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246 590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471 409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Angola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Antigua y Barbuda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Arabia Saudita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1,184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1,852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43 558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47 776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91 335</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Argentina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0,719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1,125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26 451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29 013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55 464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Austria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0,679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1,062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24 980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27 399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52 379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Bahamas</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0,030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699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767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1 466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Bahrein</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0,054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0,084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1 987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2 179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4 166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Belarús</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0,041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0,064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1 508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1 654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3 163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Bélgica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0,828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1,295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30 461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33 411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63 873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Benin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184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386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Bhután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Bolivia (Estado Plurinacional de)</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0,030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699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767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1 466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Botswana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0,023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552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1 157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Brasil</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2,013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3,149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74 057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81 228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155 285</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Bulgaria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0,056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0,088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2 060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2 260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4 320</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Burkina Faso</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147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309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Burundi</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Camboya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Camerún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0,020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478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525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1 003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Chad</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231</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Chequia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0,340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0,532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12 508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13 720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26 228</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China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15,254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23,859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561 183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615 526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1 176 709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Comoras</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Congo</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184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386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Côte d’Ivoire</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0,022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0,034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809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888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1 697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Croacia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0,091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0,142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3 348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3 672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7 020</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Cuba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0,095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0,149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3 495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3 833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7 328</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Dinamarca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0,553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0,865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20 344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22 315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42 659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Djibouti</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Ecuador</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0,077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0,120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2 833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3 107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5 940</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Egipto</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0,139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0,217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5 114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5 609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10 723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Emiratos Árabes Unidos</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0,635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0,993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23 361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25 623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48 985</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Eritrea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Eslovaquia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0,155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0,242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5 702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6 255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11 957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España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2,134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3,338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78 508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86 111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164 619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Estonia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0,044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0,069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1 619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1 775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3 394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lastRenderedPageBreak/>
              <w:t>Eswatini</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Etiopía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Fiji</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147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309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Filipinas</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0,212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0,332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7 799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8 555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16 354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Finlandia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0,417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0,652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15 341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16 827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32 168</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Francia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4,318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6,754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158 856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174 239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333 095</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Gabón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0,020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478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525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1 003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Gambia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Ghana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0,024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0,038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883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968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1 851</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Grecia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0,325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0,508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11 957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13 114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25 071</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Guatemala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0,041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0,064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1 508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1 654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3 163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Guinea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231</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Guinea-Bissau</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Guyana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147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309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Honduras</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331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363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694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Hungría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0,228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0,357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8 388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9 200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17 588</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India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1,044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1,633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38 408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42 127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80 535</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Indonesia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0,549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0,859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20 197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22 153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42 350</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Islas Marshall</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Islas Salomón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Japón</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8,033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12,565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295 528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324 146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619 674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Jordania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0,022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0,034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809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888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1 697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K</w:t>
            </w:r>
            <w:r w:rsidRPr="005E2E1B">
              <w:rPr>
                <w:rFonts w:eastAsia="Times New Roman"/>
                <w:spacing w:val="-2"/>
                <w:sz w:val="18"/>
                <w:szCs w:val="18"/>
                <w:lang w:val="es-ES"/>
              </w:rPr>
              <w:t>a</w:t>
            </w:r>
            <w:r w:rsidRPr="005E2E1B">
              <w:rPr>
                <w:rFonts w:eastAsia="Times New Roman"/>
                <w:spacing w:val="-3"/>
                <w:sz w:val="18"/>
                <w:szCs w:val="18"/>
                <w:lang w:val="es-ES"/>
              </w:rPr>
              <w:t>z</w:t>
            </w:r>
            <w:r w:rsidRPr="005E2E1B">
              <w:rPr>
                <w:rFonts w:eastAsia="Times New Roman"/>
                <w:spacing w:val="-2"/>
                <w:sz w:val="18"/>
                <w:szCs w:val="18"/>
                <w:lang w:val="es-ES"/>
              </w:rPr>
              <w:t>ajs</w:t>
            </w:r>
            <w:r w:rsidRPr="005E2E1B">
              <w:rPr>
                <w:rFonts w:eastAsia="Times New Roman"/>
                <w:sz w:val="18"/>
                <w:szCs w:val="18"/>
                <w:lang w:val="es-ES"/>
              </w:rPr>
              <w:t>t</w:t>
            </w:r>
            <w:r w:rsidRPr="005E2E1B">
              <w:rPr>
                <w:rFonts w:eastAsia="Times New Roman"/>
                <w:spacing w:val="-2"/>
                <w:sz w:val="18"/>
                <w:szCs w:val="18"/>
                <w:lang w:val="es-ES"/>
              </w:rPr>
              <w:t>á</w:t>
            </w:r>
            <w:r w:rsidRPr="005E2E1B">
              <w:rPr>
                <w:rFonts w:eastAsia="Times New Roman"/>
                <w:sz w:val="18"/>
                <w:szCs w:val="18"/>
                <w:lang w:val="es-ES"/>
              </w:rPr>
              <w:t>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0,133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0,208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4 893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5 367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10 260</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Kenya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0,030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0,047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1 104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1 211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2 314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Kirguistán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Kiribati</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Kuwait</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0,234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0,366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8 609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9 442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18 051</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Lesotho</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Líbano</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0,036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0,056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1 324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1 453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2 777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Liberia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Luxemburgo</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0,068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0,106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2 502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2 744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5 246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Madagascar</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147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309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Malasia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0,348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0,544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12 803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14 042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26 845</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Malawi</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Maldivas</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147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309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Malí</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184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386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Malta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0,030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699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767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1 466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Marruecos</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0,055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0,086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2 023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2 219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4 243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Mauricio</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0,030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699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767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1 466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Mauritania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México</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1,221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1,910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44 920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49 269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94 189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hyperlink r:id="rId10" w:history="1">
              <w:r w:rsidRPr="005E2E1B">
                <w:rPr>
                  <w:rFonts w:eastAsia="Times New Roman"/>
                  <w:sz w:val="18"/>
                  <w:szCs w:val="18"/>
                  <w:lang w:val="es-ES"/>
                </w:rPr>
                <w:t>Micronesia (Estados Federados de)</w:t>
              </w:r>
            </w:hyperlink>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Mongolia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147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309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Montenegro</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147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309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Mozambique</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147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309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Myanmar</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lastRenderedPageBreak/>
              <w:t>Namibia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331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363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694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Nepal</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Nicaragua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184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386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Níger</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231</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Nigeria</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0,182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0,285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6 696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7 344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14 040</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Noruega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0,679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1,062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24 980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27 399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52 379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Omán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0,111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4 084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4 479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8 563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Países Bajos</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1,377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2,154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50 659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55 564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106 223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Pakistán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0,114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0,178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4 194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4 600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8 794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Palau</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Panamá</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0,090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0,141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3 311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3 632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6 943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Perú</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0,163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0,255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5 997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6 577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12 574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Portugal</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0,353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0,552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12 987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14 244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27 231</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Qatar</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0,269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0,421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9 896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10 855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20 751</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Reino Unido de Gran Bretaña e Irlanda del Norte</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4,375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6,843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160 953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176 539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337 492</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República Árabe Siria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331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363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694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República Centroafricana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República de Corea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4,026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94 696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103 865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198 561</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República de Moldova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184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386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República Democrática del Congo</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República Democrática Popular Lao</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República Dominicana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0,067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2 465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2 704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5 168</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República Popular Democrática de Corea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184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386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República Unida de Tanzanía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Rumania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0,312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0,488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11 478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12 590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24 068</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Rwanda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231</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hyperlink r:id="rId11" w:history="1">
              <w:r w:rsidRPr="005E2E1B">
                <w:rPr>
                  <w:rFonts w:eastAsia="Times New Roman"/>
                  <w:sz w:val="18"/>
                  <w:szCs w:val="18"/>
                  <w:lang w:val="es-ES"/>
                </w:rPr>
                <w:t>Saint Kitts y Nevis</w:t>
              </w:r>
            </w:hyperlink>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Samoa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Santa Lucía</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Santo Tomé y Príncipe</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Senegal</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Serbia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0,032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0,050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1 177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1 291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2 469</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Seychelles</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Sierra Leona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Sudáfrica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0,244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0,382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8 977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9 846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18 822</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Sudán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Suecia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0,871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1,362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32 043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35 146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67 190</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Suiza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1,134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1,774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41 719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45 759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87 478</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Tayikistán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231</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Togo</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81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154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Tonga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Túnez</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0,030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699</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767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1 466</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Turkmenistán</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0,034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0,053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1 251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1 372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2 623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Tuvalu</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Ucrania</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0,056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0,088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2 060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2 260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4 320</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lastRenderedPageBreak/>
              <w:t>Uganda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Unión Europea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lang w:val="es-ES"/>
              </w:rPr>
            </w:pPr>
            <w:r w:rsidRPr="005E2E1B">
              <w:rPr>
                <w:rFonts w:eastAsia="Times New Roman"/>
                <w:sz w:val="18"/>
                <w:szCs w:val="18"/>
                <w:lang w:val="es-ES"/>
              </w:rPr>
              <w:t> </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2,500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58 802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64 496</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123 298</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Uruguay</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0,092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0,144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3 385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3 712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7 097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Vanuatu</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77</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Venezuela (República Bolivariana de)</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0,175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0,274</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6 438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7 062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13 500</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Viet Nam</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0,093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0,145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3 421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3 753</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7 174</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Zambia</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0,010</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235</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493</w:t>
            </w:r>
          </w:p>
        </w:tc>
      </w:tr>
      <w:tr w:rsidR="00F57C45" w:rsidRPr="005E2E1B">
        <w:trPr>
          <w:cantSplit/>
          <w:trHeight w:val="245"/>
        </w:trPr>
        <w:tc>
          <w:tcPr>
            <w:tcW w:w="3599"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ind w:left="144" w:hanging="144"/>
              <w:jc w:val="left"/>
              <w:rPr>
                <w:rFonts w:eastAsia="Times New Roman"/>
                <w:lang w:val="es-ES"/>
              </w:rPr>
            </w:pPr>
            <w:r w:rsidRPr="005E2E1B">
              <w:rPr>
                <w:rFonts w:eastAsia="Times New Roman"/>
                <w:sz w:val="18"/>
                <w:szCs w:val="18"/>
                <w:lang w:val="es-ES"/>
              </w:rPr>
              <w:t>Zimbabwe</w:t>
            </w:r>
          </w:p>
        </w:tc>
        <w:tc>
          <w:tcPr>
            <w:tcW w:w="1181" w:type="dxa"/>
            <w:tcBorders>
              <w:top w:val="single" w:sz="4" w:space="0" w:color="auto"/>
              <w:left w:val="single" w:sz="4" w:space="0" w:color="auto"/>
              <w:bottom w:val="single" w:sz="4" w:space="0" w:color="auto"/>
              <w:right w:val="single" w:sz="4" w:space="0" w:color="auto"/>
            </w:tcBorders>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0,007</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0,011</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258</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282</w:t>
            </w:r>
          </w:p>
        </w:tc>
        <w:tc>
          <w:tcPr>
            <w:tcW w:w="1181" w:type="dxa"/>
            <w:tcBorders>
              <w:top w:val="single" w:sz="4" w:space="0" w:color="auto"/>
              <w:left w:val="single" w:sz="4" w:space="0" w:color="auto"/>
              <w:bottom w:val="single" w:sz="4" w:space="0" w:color="auto"/>
              <w:right w:val="single" w:sz="4" w:space="0" w:color="auto"/>
            </w:tcBorders>
            <w:noWrap/>
            <w:vAlign w:val="center"/>
          </w:tcPr>
          <w:p w:rsidR="00F57C45" w:rsidRPr="005E2E1B" w:rsidRDefault="00F57C45">
            <w:pPr>
              <w:jc w:val="right"/>
              <w:rPr>
                <w:rFonts w:eastAsia="Times New Roman"/>
                <w:sz w:val="18"/>
                <w:szCs w:val="18"/>
                <w:lang w:val="es-ES"/>
              </w:rPr>
            </w:pPr>
            <w:r w:rsidRPr="005E2E1B">
              <w:rPr>
                <w:rFonts w:eastAsia="Times New Roman"/>
                <w:sz w:val="18"/>
                <w:szCs w:val="18"/>
                <w:lang w:val="es-ES"/>
              </w:rPr>
              <w:t>540</w:t>
            </w:r>
          </w:p>
        </w:tc>
      </w:tr>
      <w:tr w:rsidR="00A066D4" w:rsidRPr="005E2E1B">
        <w:trPr>
          <w:cantSplit/>
          <w:trHeight w:val="245"/>
        </w:trPr>
        <w:tc>
          <w:tcPr>
            <w:tcW w:w="3599" w:type="dxa"/>
            <w:tcBorders>
              <w:top w:val="single" w:sz="4" w:space="0" w:color="auto"/>
              <w:left w:val="single" w:sz="4" w:space="0" w:color="auto"/>
              <w:bottom w:val="single" w:sz="4" w:space="0" w:color="auto"/>
              <w:right w:val="single" w:sz="4" w:space="0" w:color="auto"/>
            </w:tcBorders>
            <w:noWrap/>
            <w:vAlign w:val="center"/>
          </w:tcPr>
          <w:p w:rsidR="00A066D4" w:rsidRPr="005E2E1B" w:rsidRDefault="00A066D4">
            <w:pPr>
              <w:ind w:left="144" w:hanging="144"/>
              <w:jc w:val="left"/>
              <w:rPr>
                <w:rFonts w:eastAsia="Times New Roman"/>
                <w:lang w:val="es-ES"/>
              </w:rPr>
            </w:pPr>
            <w:r w:rsidRPr="005E2E1B">
              <w:rPr>
                <w:rFonts w:eastAsia="Times New Roman"/>
                <w:b/>
                <w:bCs/>
                <w:sz w:val="18"/>
                <w:szCs w:val="18"/>
                <w:lang w:val="es-ES"/>
              </w:rPr>
              <w:t>Total</w:t>
            </w:r>
          </w:p>
        </w:tc>
        <w:tc>
          <w:tcPr>
            <w:tcW w:w="1181" w:type="dxa"/>
            <w:tcBorders>
              <w:top w:val="single" w:sz="4" w:space="0" w:color="auto"/>
              <w:left w:val="single" w:sz="4" w:space="0" w:color="auto"/>
              <w:bottom w:val="single" w:sz="4" w:space="0" w:color="auto"/>
              <w:right w:val="single" w:sz="4" w:space="0" w:color="auto"/>
            </w:tcBorders>
            <w:noWrap/>
            <w:vAlign w:val="center"/>
          </w:tcPr>
          <w:p w:rsidR="00A066D4" w:rsidRPr="005E2E1B" w:rsidRDefault="00A066D4">
            <w:pPr>
              <w:jc w:val="right"/>
              <w:rPr>
                <w:rFonts w:eastAsia="Times New Roman"/>
                <w:b/>
                <w:bCs/>
                <w:sz w:val="18"/>
                <w:szCs w:val="18"/>
                <w:lang w:val="es-ES"/>
              </w:rPr>
            </w:pPr>
            <w:r w:rsidRPr="005E2E1B">
              <w:rPr>
                <w:rFonts w:eastAsia="Times New Roman"/>
                <w:b/>
                <w:bCs/>
                <w:sz w:val="18"/>
                <w:szCs w:val="18"/>
                <w:lang w:val="es-ES"/>
              </w:rPr>
              <w:t>62,368</w:t>
            </w:r>
          </w:p>
        </w:tc>
        <w:tc>
          <w:tcPr>
            <w:tcW w:w="1181" w:type="dxa"/>
            <w:tcBorders>
              <w:top w:val="single" w:sz="4" w:space="0" w:color="auto"/>
              <w:left w:val="single" w:sz="4" w:space="0" w:color="auto"/>
              <w:bottom w:val="single" w:sz="4" w:space="0" w:color="auto"/>
              <w:right w:val="single" w:sz="4" w:space="0" w:color="auto"/>
            </w:tcBorders>
            <w:noWrap/>
            <w:vAlign w:val="center"/>
          </w:tcPr>
          <w:p w:rsidR="00A066D4" w:rsidRPr="005E2E1B" w:rsidRDefault="00A066D4">
            <w:pPr>
              <w:jc w:val="right"/>
              <w:rPr>
                <w:rFonts w:eastAsia="Times New Roman"/>
                <w:b/>
                <w:bCs/>
                <w:sz w:val="18"/>
                <w:szCs w:val="18"/>
                <w:lang w:val="es-ES"/>
              </w:rPr>
            </w:pPr>
            <w:r w:rsidRPr="005E2E1B">
              <w:rPr>
                <w:rFonts w:eastAsia="Times New Roman"/>
                <w:b/>
                <w:bCs/>
                <w:sz w:val="18"/>
                <w:szCs w:val="18"/>
                <w:lang w:val="es-ES"/>
              </w:rPr>
              <w:t>100</w:t>
            </w:r>
          </w:p>
        </w:tc>
        <w:tc>
          <w:tcPr>
            <w:tcW w:w="1181" w:type="dxa"/>
            <w:tcBorders>
              <w:top w:val="single" w:sz="4" w:space="0" w:color="auto"/>
              <w:left w:val="single" w:sz="4" w:space="0" w:color="auto"/>
              <w:bottom w:val="single" w:sz="4" w:space="0" w:color="auto"/>
              <w:right w:val="single" w:sz="4" w:space="0" w:color="auto"/>
            </w:tcBorders>
            <w:noWrap/>
            <w:vAlign w:val="center"/>
          </w:tcPr>
          <w:p w:rsidR="00A066D4" w:rsidRPr="005E2E1B" w:rsidRDefault="00A066D4">
            <w:pPr>
              <w:jc w:val="right"/>
              <w:rPr>
                <w:rFonts w:eastAsia="Times New Roman"/>
                <w:b/>
                <w:bCs/>
                <w:sz w:val="18"/>
                <w:szCs w:val="18"/>
                <w:lang w:val="es-ES"/>
              </w:rPr>
            </w:pPr>
            <w:r w:rsidRPr="005E2E1B">
              <w:rPr>
                <w:rFonts w:eastAsia="Times New Roman"/>
                <w:b/>
                <w:bCs/>
                <w:sz w:val="18"/>
                <w:szCs w:val="18"/>
                <w:lang w:val="es-ES"/>
              </w:rPr>
              <w:t>2 352 086</w:t>
            </w:r>
          </w:p>
        </w:tc>
        <w:tc>
          <w:tcPr>
            <w:tcW w:w="1181" w:type="dxa"/>
            <w:tcBorders>
              <w:top w:val="single" w:sz="4" w:space="0" w:color="auto"/>
              <w:left w:val="single" w:sz="4" w:space="0" w:color="auto"/>
              <w:bottom w:val="single" w:sz="4" w:space="0" w:color="auto"/>
              <w:right w:val="single" w:sz="4" w:space="0" w:color="auto"/>
            </w:tcBorders>
            <w:noWrap/>
            <w:vAlign w:val="center"/>
          </w:tcPr>
          <w:p w:rsidR="00A066D4" w:rsidRPr="005E2E1B" w:rsidRDefault="00A066D4">
            <w:pPr>
              <w:jc w:val="right"/>
              <w:rPr>
                <w:rFonts w:eastAsia="Times New Roman"/>
                <w:b/>
                <w:bCs/>
                <w:sz w:val="18"/>
                <w:szCs w:val="18"/>
                <w:lang w:val="es-ES"/>
              </w:rPr>
            </w:pPr>
            <w:r w:rsidRPr="005E2E1B">
              <w:rPr>
                <w:rFonts w:eastAsia="Times New Roman"/>
                <w:b/>
                <w:bCs/>
                <w:sz w:val="18"/>
                <w:szCs w:val="18"/>
                <w:lang w:val="es-ES"/>
              </w:rPr>
              <w:t>2 579 852</w:t>
            </w:r>
          </w:p>
        </w:tc>
        <w:tc>
          <w:tcPr>
            <w:tcW w:w="1181" w:type="dxa"/>
            <w:tcBorders>
              <w:top w:val="single" w:sz="4" w:space="0" w:color="auto"/>
              <w:left w:val="single" w:sz="4" w:space="0" w:color="auto"/>
              <w:bottom w:val="single" w:sz="4" w:space="0" w:color="auto"/>
              <w:right w:val="single" w:sz="4" w:space="0" w:color="auto"/>
            </w:tcBorders>
            <w:noWrap/>
            <w:vAlign w:val="center"/>
          </w:tcPr>
          <w:p w:rsidR="00A066D4" w:rsidRPr="005E2E1B" w:rsidRDefault="00A066D4">
            <w:pPr>
              <w:jc w:val="right"/>
              <w:rPr>
                <w:rFonts w:eastAsia="Times New Roman"/>
                <w:b/>
                <w:bCs/>
                <w:sz w:val="18"/>
                <w:szCs w:val="18"/>
                <w:lang w:val="es-ES"/>
              </w:rPr>
            </w:pPr>
            <w:r w:rsidRPr="005E2E1B">
              <w:rPr>
                <w:rFonts w:eastAsia="Times New Roman"/>
                <w:b/>
                <w:bCs/>
                <w:sz w:val="18"/>
                <w:szCs w:val="18"/>
                <w:lang w:val="es-ES"/>
              </w:rPr>
              <w:t>4 931 938</w:t>
            </w:r>
          </w:p>
        </w:tc>
      </w:tr>
    </w:tbl>
    <w:p w:rsidR="00A066D4" w:rsidRPr="005E2E1B" w:rsidRDefault="00A066D4">
      <w:pPr>
        <w:kinsoku w:val="0"/>
        <w:overflowPunct w:val="0"/>
        <w:autoSpaceDE w:val="0"/>
        <w:autoSpaceDN w:val="0"/>
        <w:spacing w:before="120"/>
        <w:jc w:val="center"/>
        <w:rPr>
          <w:rFonts w:eastAsia="Times New Roman"/>
          <w:lang w:val="es-ES"/>
        </w:rPr>
      </w:pPr>
      <w:r w:rsidRPr="005E2E1B">
        <w:rPr>
          <w:rFonts w:eastAsia="Times New Roman"/>
          <w:lang w:val="es-ES"/>
        </w:rPr>
        <w:t>__________</w:t>
      </w:r>
    </w:p>
    <w:sectPr w:rsidR="00A066D4" w:rsidRPr="005E2E1B">
      <w:headerReference w:type="even" r:id="rId12"/>
      <w:headerReference w:type="default" r:id="rId13"/>
      <w:headerReference w:type="first" r:id="rId14"/>
      <w:pgSz w:w="12240" w:h="15840"/>
      <w:pgMar w:top="72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5BA" w:rsidRDefault="006825BA">
      <w:pPr>
        <w:rPr>
          <w:rFonts w:eastAsia="Times New Roman"/>
        </w:rPr>
      </w:pPr>
      <w:r>
        <w:rPr>
          <w:rFonts w:eastAsia="Times New Roman"/>
        </w:rPr>
        <w:separator/>
      </w:r>
    </w:p>
  </w:endnote>
  <w:endnote w:type="continuationSeparator" w:id="1">
    <w:p w:rsidR="006825BA" w:rsidRDefault="006825BA">
      <w:pPr>
        <w:rPr>
          <w:rFonts w:eastAsia="Times New Roman"/>
        </w:rPr>
      </w:pPr>
      <w:r>
        <w:rPr>
          <w:rFonts w:eastAsia="Times New Roman"/>
        </w:rPr>
        <w:continuationSeparator/>
      </w:r>
    </w:p>
  </w:endnote>
  <w:endnote w:type="continuationNotice" w:id="2">
    <w:p w:rsidR="006825BA" w:rsidRDefault="006825BA">
      <w:pPr>
        <w:rPr>
          <w:rFonts w:eastAsia="Times New Roman"/>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等?">
    <w:altName w:val="MS Mincho"/>
    <w:panose1 w:val="00000000000000000000"/>
    <w:charset w:val="80"/>
    <w:family w:val="roman"/>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5BA" w:rsidRDefault="006825BA">
      <w:pPr>
        <w:rPr>
          <w:rFonts w:eastAsia="Times New Roman"/>
        </w:rPr>
      </w:pPr>
      <w:r>
        <w:rPr>
          <w:rFonts w:eastAsia="Times New Roman"/>
        </w:rPr>
        <w:separator/>
      </w:r>
    </w:p>
  </w:footnote>
  <w:footnote w:type="continuationSeparator" w:id="1">
    <w:p w:rsidR="006825BA" w:rsidRDefault="006825BA">
      <w:pPr>
        <w:rPr>
          <w:rFonts w:eastAsia="Times New Roman"/>
        </w:rPr>
      </w:pPr>
      <w:r>
        <w:rPr>
          <w:rFonts w:eastAsia="Times New Roman"/>
        </w:rPr>
        <w:continuationSeparator/>
      </w:r>
    </w:p>
  </w:footnote>
  <w:footnote w:type="continuationNotice" w:id="2">
    <w:p w:rsidR="006825BA" w:rsidRDefault="006825BA">
      <w:pPr>
        <w:rPr>
          <w:rFonts w:eastAsia="Times New Roman"/>
        </w:rPr>
      </w:pPr>
    </w:p>
  </w:footnote>
  <w:footnote w:id="3">
    <w:p w:rsidR="00A066D4" w:rsidRPr="005E2E1B" w:rsidRDefault="00A066D4">
      <w:pPr>
        <w:pStyle w:val="FootnoteText"/>
        <w:rPr>
          <w:rFonts w:ascii="Times New Roman" w:eastAsia="Times New Roman" w:hAnsi="Times New Roman" w:cs="Times New Roman"/>
          <w:lang w:val="es-ES"/>
        </w:rPr>
      </w:pPr>
      <w:r w:rsidRPr="005E2E1B">
        <w:rPr>
          <w:rStyle w:val="FootnoteReference"/>
          <w:rFonts w:ascii="Times New Roman" w:eastAsia="Times New Roman" w:hAnsi="Times New Roman" w:cs="Times New Roman"/>
          <w:lang w:val="es-ES"/>
        </w:rPr>
        <w:footnoteRef/>
      </w:r>
      <w:r w:rsidRPr="005E2E1B">
        <w:rPr>
          <w:rFonts w:ascii="Times New Roman" w:eastAsia="Times New Roman" w:hAnsi="Times New Roman" w:cs="Times New Roman"/>
          <w:lang w:val="es-ES"/>
        </w:rPr>
        <w:t xml:space="preserve"> Conforme a la resolución 76/238 de la Asamblea General.</w:t>
      </w:r>
    </w:p>
  </w:footnote>
  <w:footnote w:id="4">
    <w:p w:rsidR="00A066D4" w:rsidRPr="005E2E1B" w:rsidRDefault="00A066D4">
      <w:pPr>
        <w:pStyle w:val="FootnoteText"/>
        <w:spacing w:after="60"/>
        <w:rPr>
          <w:rFonts w:ascii="Times New Roman" w:eastAsia="Times New Roman" w:hAnsi="Times New Roman" w:cs="Times New Roman"/>
          <w:lang w:val="es-ES"/>
        </w:rPr>
      </w:pPr>
      <w:r w:rsidRPr="005E2E1B">
        <w:rPr>
          <w:rStyle w:val="FootnoteReference"/>
          <w:rFonts w:ascii="Times New Roman" w:eastAsia="Times New Roman" w:hAnsi="Times New Roman" w:cs="Times New Roman"/>
          <w:sz w:val="18"/>
          <w:szCs w:val="18"/>
          <w:lang w:val="es-ES"/>
        </w:rPr>
        <w:footnoteRef/>
      </w:r>
      <w:r w:rsidRPr="005E2E1B">
        <w:rPr>
          <w:rFonts w:ascii="Times New Roman" w:eastAsia="Times New Roman" w:hAnsi="Times New Roman" w:cs="Times New Roman"/>
          <w:sz w:val="18"/>
          <w:szCs w:val="18"/>
          <w:lang w:val="es-ES"/>
        </w:rPr>
        <w:t xml:space="preserve"> </w:t>
      </w:r>
      <w:r w:rsidRPr="005E2E1B">
        <w:rPr>
          <w:rFonts w:ascii="Times New Roman" w:eastAsia="Times New Roman" w:hAnsi="Times New Roman" w:cs="Times New Roman"/>
          <w:lang w:val="es-ES"/>
        </w:rPr>
        <w:t>Véase la resolución 60/283, sec. IV, de la Asamblea General.</w:t>
      </w:r>
    </w:p>
  </w:footnote>
  <w:footnote w:id="5">
    <w:p w:rsidR="00A066D4" w:rsidRPr="005E2E1B" w:rsidRDefault="00A066D4">
      <w:pPr>
        <w:pStyle w:val="FootnoteText"/>
        <w:spacing w:after="60"/>
        <w:rPr>
          <w:rFonts w:ascii="Times New Roman" w:eastAsia="Times New Roman" w:hAnsi="Times New Roman" w:cs="Times New Roman"/>
          <w:lang w:val="es-ES"/>
        </w:rPr>
      </w:pPr>
      <w:r w:rsidRPr="005E2E1B">
        <w:rPr>
          <w:rStyle w:val="FootnoteReference"/>
          <w:rFonts w:ascii="Times New Roman" w:eastAsia="Times New Roman" w:hAnsi="Times New Roman" w:cs="Times New Roman"/>
          <w:sz w:val="18"/>
          <w:szCs w:val="18"/>
          <w:lang w:val="es-ES"/>
        </w:rPr>
        <w:footnoteRef/>
      </w:r>
      <w:r w:rsidRPr="005E2E1B">
        <w:rPr>
          <w:rFonts w:ascii="Times New Roman" w:eastAsia="Times New Roman" w:hAnsi="Times New Roman" w:cs="Times New Roman"/>
          <w:sz w:val="18"/>
          <w:szCs w:val="18"/>
          <w:lang w:val="es-ES"/>
        </w:rPr>
        <w:t xml:space="preserve"> </w:t>
      </w:r>
      <w:r w:rsidR="00B416B6">
        <w:rPr>
          <w:rFonts w:ascii="Times New Roman" w:eastAsia="Times New Roman" w:hAnsi="Times New Roman" w:cs="Times New Roman"/>
          <w:lang w:val="es-ES"/>
        </w:rPr>
        <w:t>De c</w:t>
      </w:r>
      <w:r w:rsidRPr="005E2E1B">
        <w:rPr>
          <w:rFonts w:ascii="Times New Roman" w:eastAsia="Times New Roman" w:hAnsi="Times New Roman" w:cs="Times New Roman"/>
          <w:lang w:val="es-ES"/>
        </w:rPr>
        <w:t>onform</w:t>
      </w:r>
      <w:r w:rsidR="00B416B6">
        <w:rPr>
          <w:rFonts w:ascii="Times New Roman" w:eastAsia="Times New Roman" w:hAnsi="Times New Roman" w:cs="Times New Roman"/>
          <w:lang w:val="es-ES"/>
        </w:rPr>
        <w:t>idad</w:t>
      </w:r>
      <w:r w:rsidRPr="005E2E1B">
        <w:rPr>
          <w:rFonts w:ascii="Times New Roman" w:eastAsia="Times New Roman" w:hAnsi="Times New Roman" w:cs="Times New Roman"/>
          <w:lang w:val="es-ES"/>
        </w:rPr>
        <w:t xml:space="preserve"> </w:t>
      </w:r>
      <w:r w:rsidR="00B416B6">
        <w:rPr>
          <w:rFonts w:ascii="Times New Roman" w:eastAsia="Times New Roman" w:hAnsi="Times New Roman" w:cs="Times New Roman"/>
          <w:lang w:val="es-ES"/>
        </w:rPr>
        <w:t>con</w:t>
      </w:r>
      <w:r w:rsidRPr="005E2E1B">
        <w:rPr>
          <w:rFonts w:ascii="Times New Roman" w:eastAsia="Times New Roman" w:hAnsi="Times New Roman" w:cs="Times New Roman"/>
          <w:lang w:val="es-ES"/>
        </w:rPr>
        <w:t xml:space="preserve"> la resolución 76/238 de la Asamblea General de Naciones Unidas.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6D4" w:rsidRPr="005E2E1B" w:rsidRDefault="00A066D4">
    <w:pPr>
      <w:pStyle w:val="Header"/>
      <w:rPr>
        <w:rFonts w:eastAsia="Times New Roman"/>
        <w:kern w:val="22"/>
        <w:lang w:val="es-ES"/>
      </w:rPr>
    </w:pPr>
    <w:r w:rsidRPr="005E2E1B">
      <w:rPr>
        <w:rFonts w:eastAsia="Times New Roman"/>
        <w:kern w:val="22"/>
        <w:lang w:val="es-ES"/>
      </w:rPr>
      <w:t>CBD/NP/MOP/DEC/4/12</w:t>
    </w:r>
  </w:p>
  <w:p w:rsidR="00A066D4" w:rsidRPr="005E2E1B" w:rsidRDefault="00A066D4">
    <w:pPr>
      <w:pStyle w:val="Header"/>
      <w:rPr>
        <w:rFonts w:eastAsia="Times New Roman"/>
        <w:kern w:val="22"/>
        <w:lang w:val="es-ES"/>
      </w:rPr>
    </w:pPr>
    <w:r w:rsidRPr="005E2E1B">
      <w:rPr>
        <w:rFonts w:eastAsia="Times New Roman"/>
        <w:kern w:val="22"/>
        <w:lang w:val="es-ES"/>
      </w:rPr>
      <w:t xml:space="preserve">Página </w:t>
    </w:r>
    <w:r w:rsidRPr="005E2E1B">
      <w:rPr>
        <w:rFonts w:eastAsia="Times New Roman"/>
        <w:kern w:val="22"/>
        <w:lang w:val="es-ES"/>
      </w:rPr>
      <w:fldChar w:fldCharType="begin"/>
    </w:r>
    <w:r w:rsidRPr="005E2E1B">
      <w:rPr>
        <w:rFonts w:eastAsia="Times New Roman"/>
        <w:kern w:val="22"/>
        <w:lang w:val="es-ES"/>
      </w:rPr>
      <w:instrText xml:space="preserve"> PAGE   \* MERGEFORMAT </w:instrText>
    </w:r>
    <w:r w:rsidRPr="005E2E1B">
      <w:rPr>
        <w:rFonts w:eastAsia="Times New Roman"/>
        <w:kern w:val="22"/>
        <w:lang w:val="es-ES"/>
      </w:rPr>
      <w:fldChar w:fldCharType="separate"/>
    </w:r>
    <w:r w:rsidR="0028784A">
      <w:rPr>
        <w:rFonts w:eastAsia="Times New Roman"/>
        <w:noProof/>
        <w:kern w:val="22"/>
        <w:lang w:val="es-ES"/>
      </w:rPr>
      <w:t>2</w:t>
    </w:r>
    <w:r w:rsidRPr="005E2E1B">
      <w:rPr>
        <w:rFonts w:eastAsia="Times New Roman"/>
        <w:kern w:val="22"/>
        <w:lang w:val="es-ES"/>
      </w:rPr>
      <w:fldChar w:fldCharType="end"/>
    </w:r>
  </w:p>
  <w:p w:rsidR="00A066D4" w:rsidRPr="005E2E1B" w:rsidRDefault="00A066D4">
    <w:pPr>
      <w:pStyle w:val="Header"/>
      <w:rPr>
        <w:rFonts w:eastAsia="Times New Roman"/>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6D4" w:rsidRPr="005E2E1B" w:rsidRDefault="00A066D4">
    <w:pPr>
      <w:pStyle w:val="Header"/>
      <w:jc w:val="right"/>
      <w:rPr>
        <w:rFonts w:eastAsia="Times New Roman"/>
        <w:kern w:val="22"/>
        <w:lang w:val="es-ES"/>
      </w:rPr>
    </w:pPr>
    <w:r w:rsidRPr="005E2E1B">
      <w:rPr>
        <w:rFonts w:eastAsia="Times New Roman"/>
        <w:kern w:val="22"/>
        <w:lang w:val="es-ES"/>
      </w:rPr>
      <w:t>CBD/NP/MOP/DEC/4/12</w:t>
    </w:r>
  </w:p>
  <w:p w:rsidR="00A066D4" w:rsidRPr="005E2E1B" w:rsidRDefault="00A066D4">
    <w:pPr>
      <w:pStyle w:val="Header"/>
      <w:jc w:val="right"/>
      <w:rPr>
        <w:rFonts w:eastAsia="Times New Roman"/>
        <w:lang w:val="es-ES"/>
      </w:rPr>
    </w:pPr>
    <w:r w:rsidRPr="005E2E1B">
      <w:rPr>
        <w:rFonts w:eastAsia="Times New Roman"/>
        <w:kern w:val="22"/>
        <w:lang w:val="es-ES"/>
      </w:rPr>
      <w:t xml:space="preserve">Página </w:t>
    </w:r>
    <w:r w:rsidRPr="005E2E1B">
      <w:rPr>
        <w:rFonts w:eastAsia="Times New Roman"/>
        <w:kern w:val="22"/>
        <w:lang w:val="es-ES"/>
      </w:rPr>
      <w:fldChar w:fldCharType="begin"/>
    </w:r>
    <w:r w:rsidRPr="005E2E1B">
      <w:rPr>
        <w:rFonts w:eastAsia="Times New Roman"/>
        <w:kern w:val="22"/>
        <w:lang w:val="es-ES"/>
      </w:rPr>
      <w:instrText xml:space="preserve"> PAGE   \* MERGEFORMAT </w:instrText>
    </w:r>
    <w:r w:rsidRPr="005E2E1B">
      <w:rPr>
        <w:rFonts w:eastAsia="Times New Roman"/>
        <w:kern w:val="22"/>
        <w:lang w:val="es-ES"/>
      </w:rPr>
      <w:fldChar w:fldCharType="separate"/>
    </w:r>
    <w:r w:rsidR="0028784A">
      <w:rPr>
        <w:rFonts w:eastAsia="Times New Roman"/>
        <w:noProof/>
        <w:kern w:val="22"/>
        <w:lang w:val="es-ES"/>
      </w:rPr>
      <w:t>3</w:t>
    </w:r>
    <w:r w:rsidRPr="005E2E1B">
      <w:rPr>
        <w:rFonts w:eastAsia="Times New Roman"/>
        <w:kern w:val="22"/>
        <w:lang w:val="es-ES"/>
      </w:rPr>
      <w:fldChar w:fldCharType="end"/>
    </w:r>
  </w:p>
  <w:p w:rsidR="00A066D4" w:rsidRPr="005E2E1B" w:rsidRDefault="00A066D4">
    <w:pPr>
      <w:pStyle w:val="Header"/>
      <w:jc w:val="right"/>
      <w:rPr>
        <w:rFonts w:eastAsia="Times New Roman"/>
        <w:lang w:val="es-E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6D4" w:rsidRDefault="00A066D4">
    <w:pPr>
      <w:pStyle w:val="Header"/>
      <w:jc w:val="center"/>
      <w:rPr>
        <w:rFonts w:eastAsia="Times New Roman"/>
        <w:b/>
        <w:bCs/>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1266C"/>
    <w:multiLevelType w:val="hybridMultilevel"/>
    <w:tmpl w:val="4E2C66AA"/>
    <w:lvl w:ilvl="0" w:tplc="0409000F">
      <w:start w:val="1"/>
      <w:numFmt w:val="decimal"/>
      <w:lvlText w:val="%1."/>
      <w:lvlJc w:val="left"/>
      <w:pPr>
        <w:ind w:left="2160" w:hanging="360"/>
      </w:pPr>
      <w:rPr>
        <w:b w:val="0"/>
        <w:bCs w:val="0"/>
      </w:rPr>
    </w:lvl>
    <w:lvl w:ilvl="1" w:tplc="4754B2D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nsid w:val="302B2C53"/>
    <w:multiLevelType w:val="hybridMultilevel"/>
    <w:tmpl w:val="C6869096"/>
    <w:lvl w:ilvl="0" w:tplc="4972149C">
      <w:start w:val="1"/>
      <w:numFmt w:val="decimal"/>
      <w:lvlText w:val="%1."/>
      <w:lvlJc w:val="left"/>
      <w:pPr>
        <w:ind w:left="1429" w:hanging="360"/>
      </w:pPr>
      <w:rPr>
        <w:sz w:val="22"/>
        <w:szCs w:val="22"/>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evenAndOddHeaders/>
  <w:characterSpacingControl w:val="doNotCompress"/>
  <w:doNotValidateAgainstSchema/>
  <w:doNotDemarcateInvalidXml/>
  <w:footnotePr>
    <w:footnote w:id="0"/>
    <w:footnote w:id="1"/>
    <w:footnote w:id="2"/>
  </w:footnotePr>
  <w:endnotePr>
    <w:endnote w:id="0"/>
    <w:endnote w:id="1"/>
    <w:endnote w:id="2"/>
  </w:endnotePr>
  <w:compat/>
  <w:rsids>
    <w:rsidRoot w:val="00655E23"/>
    <w:rsid w:val="000044A3"/>
    <w:rsid w:val="000050A5"/>
    <w:rsid w:val="00020F53"/>
    <w:rsid w:val="0002211E"/>
    <w:rsid w:val="00036D78"/>
    <w:rsid w:val="00046EE5"/>
    <w:rsid w:val="00055444"/>
    <w:rsid w:val="00061D0C"/>
    <w:rsid w:val="00062A92"/>
    <w:rsid w:val="00073EB6"/>
    <w:rsid w:val="000749B7"/>
    <w:rsid w:val="00082D4E"/>
    <w:rsid w:val="00085775"/>
    <w:rsid w:val="00090416"/>
    <w:rsid w:val="000957FD"/>
    <w:rsid w:val="000A5A02"/>
    <w:rsid w:val="000D5E43"/>
    <w:rsid w:val="000E2965"/>
    <w:rsid w:val="00115FA2"/>
    <w:rsid w:val="00116E3F"/>
    <w:rsid w:val="00127984"/>
    <w:rsid w:val="00134E91"/>
    <w:rsid w:val="00147602"/>
    <w:rsid w:val="0015783F"/>
    <w:rsid w:val="0017333C"/>
    <w:rsid w:val="00190D8B"/>
    <w:rsid w:val="00194CCF"/>
    <w:rsid w:val="00197FDE"/>
    <w:rsid w:val="001A089B"/>
    <w:rsid w:val="001A2015"/>
    <w:rsid w:val="001A2B84"/>
    <w:rsid w:val="001A3552"/>
    <w:rsid w:val="001A7F92"/>
    <w:rsid w:val="001B0849"/>
    <w:rsid w:val="001D1885"/>
    <w:rsid w:val="001D2368"/>
    <w:rsid w:val="001D27FF"/>
    <w:rsid w:val="001F33CB"/>
    <w:rsid w:val="002008F3"/>
    <w:rsid w:val="00205029"/>
    <w:rsid w:val="00210340"/>
    <w:rsid w:val="00212FFA"/>
    <w:rsid w:val="00221C88"/>
    <w:rsid w:val="00224CD4"/>
    <w:rsid w:val="00243A42"/>
    <w:rsid w:val="002447AF"/>
    <w:rsid w:val="0026138D"/>
    <w:rsid w:val="00273D5A"/>
    <w:rsid w:val="00280505"/>
    <w:rsid w:val="0028784A"/>
    <w:rsid w:val="0029069E"/>
    <w:rsid w:val="00295DC8"/>
    <w:rsid w:val="002A46C5"/>
    <w:rsid w:val="002B1FD8"/>
    <w:rsid w:val="002D1A49"/>
    <w:rsid w:val="002D613F"/>
    <w:rsid w:val="00300DF6"/>
    <w:rsid w:val="00302E74"/>
    <w:rsid w:val="0031098A"/>
    <w:rsid w:val="00312D83"/>
    <w:rsid w:val="0031440E"/>
    <w:rsid w:val="003258C5"/>
    <w:rsid w:val="00342883"/>
    <w:rsid w:val="0035020C"/>
    <w:rsid w:val="003542AB"/>
    <w:rsid w:val="003577C6"/>
    <w:rsid w:val="00364D2A"/>
    <w:rsid w:val="00375E8F"/>
    <w:rsid w:val="00380357"/>
    <w:rsid w:val="00386F73"/>
    <w:rsid w:val="003A2F85"/>
    <w:rsid w:val="003A5752"/>
    <w:rsid w:val="003A6310"/>
    <w:rsid w:val="003B4D11"/>
    <w:rsid w:val="003B79DC"/>
    <w:rsid w:val="003C5424"/>
    <w:rsid w:val="003D718D"/>
    <w:rsid w:val="003F0045"/>
    <w:rsid w:val="003F50AF"/>
    <w:rsid w:val="003F67EB"/>
    <w:rsid w:val="00400ED3"/>
    <w:rsid w:val="00401EBD"/>
    <w:rsid w:val="00413F16"/>
    <w:rsid w:val="00417BF5"/>
    <w:rsid w:val="0042240F"/>
    <w:rsid w:val="0042490F"/>
    <w:rsid w:val="0043727F"/>
    <w:rsid w:val="0045139F"/>
    <w:rsid w:val="004556DA"/>
    <w:rsid w:val="0046073E"/>
    <w:rsid w:val="00474F40"/>
    <w:rsid w:val="004775CF"/>
    <w:rsid w:val="0048124B"/>
    <w:rsid w:val="00484635"/>
    <w:rsid w:val="0049230A"/>
    <w:rsid w:val="004B2C2E"/>
    <w:rsid w:val="004B6C7C"/>
    <w:rsid w:val="004F4341"/>
    <w:rsid w:val="004F6B14"/>
    <w:rsid w:val="00510AAA"/>
    <w:rsid w:val="00521130"/>
    <w:rsid w:val="00521F95"/>
    <w:rsid w:val="00532612"/>
    <w:rsid w:val="0054415F"/>
    <w:rsid w:val="00553806"/>
    <w:rsid w:val="00566B54"/>
    <w:rsid w:val="00575CEF"/>
    <w:rsid w:val="00577BC2"/>
    <w:rsid w:val="00584341"/>
    <w:rsid w:val="005874F9"/>
    <w:rsid w:val="005A2401"/>
    <w:rsid w:val="005A4431"/>
    <w:rsid w:val="005B290F"/>
    <w:rsid w:val="005C3355"/>
    <w:rsid w:val="005C3FAE"/>
    <w:rsid w:val="005C587A"/>
    <w:rsid w:val="005D11F2"/>
    <w:rsid w:val="005D661D"/>
    <w:rsid w:val="005D79D9"/>
    <w:rsid w:val="005E1327"/>
    <w:rsid w:val="005E1432"/>
    <w:rsid w:val="005E1849"/>
    <w:rsid w:val="005E1F76"/>
    <w:rsid w:val="005E2E1B"/>
    <w:rsid w:val="005F464E"/>
    <w:rsid w:val="005F7881"/>
    <w:rsid w:val="00616799"/>
    <w:rsid w:val="00635885"/>
    <w:rsid w:val="006379F7"/>
    <w:rsid w:val="00655E23"/>
    <w:rsid w:val="0066572F"/>
    <w:rsid w:val="006825BA"/>
    <w:rsid w:val="006844CF"/>
    <w:rsid w:val="00696CA9"/>
    <w:rsid w:val="0069753F"/>
    <w:rsid w:val="006A707A"/>
    <w:rsid w:val="006B4232"/>
    <w:rsid w:val="006C10E0"/>
    <w:rsid w:val="006C4035"/>
    <w:rsid w:val="006D1033"/>
    <w:rsid w:val="006D2C07"/>
    <w:rsid w:val="006F6A50"/>
    <w:rsid w:val="00702925"/>
    <w:rsid w:val="00706C5B"/>
    <w:rsid w:val="00707A46"/>
    <w:rsid w:val="00714CB7"/>
    <w:rsid w:val="00721CE0"/>
    <w:rsid w:val="00726294"/>
    <w:rsid w:val="00734215"/>
    <w:rsid w:val="00736C4E"/>
    <w:rsid w:val="007479F6"/>
    <w:rsid w:val="0075782B"/>
    <w:rsid w:val="00766ADF"/>
    <w:rsid w:val="0077646A"/>
    <w:rsid w:val="00785F56"/>
    <w:rsid w:val="007862EC"/>
    <w:rsid w:val="00791CE8"/>
    <w:rsid w:val="00792333"/>
    <w:rsid w:val="007B1750"/>
    <w:rsid w:val="007B5E9C"/>
    <w:rsid w:val="007B5F48"/>
    <w:rsid w:val="007D69F6"/>
    <w:rsid w:val="007F3D57"/>
    <w:rsid w:val="00803638"/>
    <w:rsid w:val="00815D69"/>
    <w:rsid w:val="00823643"/>
    <w:rsid w:val="00827DA4"/>
    <w:rsid w:val="00830649"/>
    <w:rsid w:val="008458CF"/>
    <w:rsid w:val="008460A5"/>
    <w:rsid w:val="00851F36"/>
    <w:rsid w:val="008600B5"/>
    <w:rsid w:val="00872C83"/>
    <w:rsid w:val="00877899"/>
    <w:rsid w:val="0089768A"/>
    <w:rsid w:val="008B1041"/>
    <w:rsid w:val="008B48D1"/>
    <w:rsid w:val="008B4A52"/>
    <w:rsid w:val="008C4B9E"/>
    <w:rsid w:val="008F0920"/>
    <w:rsid w:val="0091164D"/>
    <w:rsid w:val="00916980"/>
    <w:rsid w:val="0092121B"/>
    <w:rsid w:val="009252EF"/>
    <w:rsid w:val="00926521"/>
    <w:rsid w:val="00930B79"/>
    <w:rsid w:val="00940562"/>
    <w:rsid w:val="00956B06"/>
    <w:rsid w:val="009842B0"/>
    <w:rsid w:val="0098699A"/>
    <w:rsid w:val="00990702"/>
    <w:rsid w:val="00995D49"/>
    <w:rsid w:val="009A23DE"/>
    <w:rsid w:val="009B3082"/>
    <w:rsid w:val="009E25ED"/>
    <w:rsid w:val="00A066D4"/>
    <w:rsid w:val="00A06FFE"/>
    <w:rsid w:val="00A109DF"/>
    <w:rsid w:val="00A27289"/>
    <w:rsid w:val="00A31655"/>
    <w:rsid w:val="00A41B63"/>
    <w:rsid w:val="00A422C7"/>
    <w:rsid w:val="00A56631"/>
    <w:rsid w:val="00A64D7C"/>
    <w:rsid w:val="00A929F3"/>
    <w:rsid w:val="00A94886"/>
    <w:rsid w:val="00AB3A65"/>
    <w:rsid w:val="00AB463A"/>
    <w:rsid w:val="00AC15E0"/>
    <w:rsid w:val="00AC2DF0"/>
    <w:rsid w:val="00AD1104"/>
    <w:rsid w:val="00AD31BB"/>
    <w:rsid w:val="00AD6993"/>
    <w:rsid w:val="00AD7A49"/>
    <w:rsid w:val="00AE1040"/>
    <w:rsid w:val="00AF4E33"/>
    <w:rsid w:val="00AF64F9"/>
    <w:rsid w:val="00B0057D"/>
    <w:rsid w:val="00B046ED"/>
    <w:rsid w:val="00B05776"/>
    <w:rsid w:val="00B06866"/>
    <w:rsid w:val="00B06D8B"/>
    <w:rsid w:val="00B12CA9"/>
    <w:rsid w:val="00B14FED"/>
    <w:rsid w:val="00B24FF0"/>
    <w:rsid w:val="00B34673"/>
    <w:rsid w:val="00B416B6"/>
    <w:rsid w:val="00B4227B"/>
    <w:rsid w:val="00B47DB5"/>
    <w:rsid w:val="00B50EFB"/>
    <w:rsid w:val="00B55718"/>
    <w:rsid w:val="00B575ED"/>
    <w:rsid w:val="00B77BD5"/>
    <w:rsid w:val="00B91E3B"/>
    <w:rsid w:val="00B94662"/>
    <w:rsid w:val="00BC6245"/>
    <w:rsid w:val="00BD6147"/>
    <w:rsid w:val="00BD7362"/>
    <w:rsid w:val="00BE1A3C"/>
    <w:rsid w:val="00BE3F20"/>
    <w:rsid w:val="00BE4091"/>
    <w:rsid w:val="00BE6655"/>
    <w:rsid w:val="00C04673"/>
    <w:rsid w:val="00C05FE1"/>
    <w:rsid w:val="00C3389D"/>
    <w:rsid w:val="00C42545"/>
    <w:rsid w:val="00C438FB"/>
    <w:rsid w:val="00C5381F"/>
    <w:rsid w:val="00C57406"/>
    <w:rsid w:val="00C61BAB"/>
    <w:rsid w:val="00C703AE"/>
    <w:rsid w:val="00C72481"/>
    <w:rsid w:val="00C910FB"/>
    <w:rsid w:val="00C918C0"/>
    <w:rsid w:val="00C92AD1"/>
    <w:rsid w:val="00CB45C3"/>
    <w:rsid w:val="00CD1EE4"/>
    <w:rsid w:val="00CD64ED"/>
    <w:rsid w:val="00CE3D8F"/>
    <w:rsid w:val="00CF0052"/>
    <w:rsid w:val="00CF18BC"/>
    <w:rsid w:val="00CF47E2"/>
    <w:rsid w:val="00CF5FF5"/>
    <w:rsid w:val="00D0531E"/>
    <w:rsid w:val="00D14510"/>
    <w:rsid w:val="00D37C5E"/>
    <w:rsid w:val="00D4472E"/>
    <w:rsid w:val="00D669DF"/>
    <w:rsid w:val="00D81BBF"/>
    <w:rsid w:val="00DD0AEB"/>
    <w:rsid w:val="00DD5D87"/>
    <w:rsid w:val="00E4261F"/>
    <w:rsid w:val="00E60771"/>
    <w:rsid w:val="00E65B17"/>
    <w:rsid w:val="00E66CC6"/>
    <w:rsid w:val="00E93E23"/>
    <w:rsid w:val="00E97E95"/>
    <w:rsid w:val="00EA154B"/>
    <w:rsid w:val="00EA4349"/>
    <w:rsid w:val="00EB0854"/>
    <w:rsid w:val="00EB30AC"/>
    <w:rsid w:val="00EB4565"/>
    <w:rsid w:val="00EC150D"/>
    <w:rsid w:val="00EC3B2F"/>
    <w:rsid w:val="00EF34D4"/>
    <w:rsid w:val="00EF6A51"/>
    <w:rsid w:val="00F00CE4"/>
    <w:rsid w:val="00F11B6E"/>
    <w:rsid w:val="00F25797"/>
    <w:rsid w:val="00F317E5"/>
    <w:rsid w:val="00F31AE5"/>
    <w:rsid w:val="00F35DE0"/>
    <w:rsid w:val="00F526A4"/>
    <w:rsid w:val="00F536D0"/>
    <w:rsid w:val="00F56F56"/>
    <w:rsid w:val="00F57C45"/>
    <w:rsid w:val="00F644E9"/>
    <w:rsid w:val="00F74E2C"/>
    <w:rsid w:val="00F7649E"/>
    <w:rsid w:val="00F93484"/>
    <w:rsid w:val="00F9756D"/>
    <w:rsid w:val="00FA6FBF"/>
    <w:rsid w:val="00FA7A17"/>
    <w:rsid w:val="00FB5A8A"/>
    <w:rsid w:val="00FC71FF"/>
    <w:rsid w:val="00FD4381"/>
    <w:rsid w:val="00FD4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FootnoteTextChar"/>
    <w:qFormat/>
    <w:pPr>
      <w:jc w:val="both"/>
    </w:pPr>
    <w:rPr>
      <w:rFonts w:eastAsia="等?" w:cs="Times New Roman"/>
      <w:snapToGrid w:val="0"/>
      <w:sz w:val="22"/>
      <w:szCs w:val="22"/>
      <w:lang w:val="en-GB"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pPr>
      <w:ind w:left="720"/>
    </w:pPr>
    <w:rPr>
      <w:rFonts w:eastAsia="Malgun Gothic"/>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ocked/>
    <w:rPr>
      <w:rFonts w:ascii="Times New Roman" w:eastAsia="Malgun Gothic" w:hAnsi="Times New Roman" w:cs="Times New Roman"/>
      <w:sz w:val="24"/>
      <w:szCs w:val="24"/>
      <w:lang w:val="en-GB"/>
    </w:rPr>
  </w:style>
  <w:style w:type="table" w:styleId="TableGrid">
    <w:name w:val="Table Grid"/>
    <w:basedOn w:val="TableNormal"/>
    <w:rPr>
      <w:rFonts w:ascii="Calibri" w:eastAsia="等?" w:hAnsi="Calibri" w:cs="Calibri"/>
      <w:snapToGrid w:val="0"/>
      <w:sz w:val="24"/>
      <w:szCs w:val="24"/>
      <w:lang w:val="fr-CA"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pacing w:before="100" w:beforeAutospacing="1" w:after="100" w:afterAutospacing="1"/>
      <w:jc w:val="left"/>
    </w:pPr>
    <w:rPr>
      <w:sz w:val="24"/>
      <w:szCs w:val="24"/>
      <w:lang w:val="en-US"/>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semiHidden/>
    <w:pPr>
      <w:jc w:val="left"/>
    </w:pPr>
    <w:rPr>
      <w:rFonts w:ascii="Calibri" w:hAnsi="Calibri" w:cs="Calibri"/>
      <w:sz w:val="20"/>
      <w:szCs w:val="20"/>
      <w:lang w:val="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
    <w:basedOn w:val="DefaultParagraphFont"/>
    <w:locked/>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semiHidden/>
    <w:locked/>
    <w:rPr>
      <w:vertAlign w:val="superscript"/>
    </w:rPr>
  </w:style>
  <w:style w:type="paragraph" w:styleId="Header">
    <w:name w:val="header"/>
    <w:basedOn w:val="Normal"/>
    <w:pPr>
      <w:tabs>
        <w:tab w:val="center" w:pos="4680"/>
        <w:tab w:val="right" w:pos="9360"/>
      </w:tabs>
    </w:pPr>
  </w:style>
  <w:style w:type="character" w:customStyle="1" w:styleId="HeaderChar">
    <w:name w:val="Header Char"/>
    <w:basedOn w:val="DefaultParagraphFont"/>
    <w:locked/>
    <w:rPr>
      <w:rFonts w:ascii="Times New Roman" w:hAnsi="Times New Roman" w:cs="Times New Roman"/>
      <w:sz w:val="24"/>
      <w:szCs w:val="24"/>
      <w:lang w:val="en-GB"/>
    </w:rPr>
  </w:style>
  <w:style w:type="paragraph" w:styleId="Footer">
    <w:name w:val="footer"/>
    <w:basedOn w:val="Normal"/>
    <w:pPr>
      <w:tabs>
        <w:tab w:val="center" w:pos="4680"/>
        <w:tab w:val="right" w:pos="9360"/>
      </w:tabs>
    </w:pPr>
  </w:style>
  <w:style w:type="character" w:customStyle="1" w:styleId="FooterChar">
    <w:name w:val="Footer Char"/>
    <w:basedOn w:val="DefaultParagraphFont"/>
    <w:locked/>
    <w:rPr>
      <w:rFonts w:ascii="Times New Roman" w:hAnsi="Times New Roman" w:cs="Times New Roman"/>
      <w:sz w:val="24"/>
      <w:szCs w:val="24"/>
      <w:lang w:val="en-GB"/>
    </w:rPr>
  </w:style>
  <w:style w:type="character" w:styleId="Hyperlink">
    <w:name w:val="Hyperlink"/>
    <w:basedOn w:val="DefaultParagraphFont"/>
    <w:rPr>
      <w:color w:val="auto"/>
      <w:u w:val="single"/>
    </w:rPr>
  </w:style>
  <w:style w:type="character" w:styleId="FollowedHyperlink">
    <w:name w:val="FollowedHyperlink"/>
    <w:basedOn w:val="DefaultParagraphFont"/>
    <w:semiHidden/>
    <w:rPr>
      <w:color w:val="auto"/>
      <w:u w:val="single"/>
    </w:rPr>
  </w:style>
  <w:style w:type="paragraph" w:customStyle="1" w:styleId="msonormal0">
    <w:name w:val="msonormal"/>
    <w:basedOn w:val="Normal"/>
    <w:pPr>
      <w:spacing w:before="100" w:beforeAutospacing="1" w:after="100" w:afterAutospacing="1"/>
      <w:jc w:val="left"/>
    </w:pPr>
    <w:rPr>
      <w:sz w:val="24"/>
      <w:szCs w:val="24"/>
      <w:lang w:val="en-U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rPr>
  </w:style>
  <w:style w:type="paragraph" w:customStyle="1" w:styleId="xl68">
    <w:name w:val="xl68"/>
    <w:basedOn w:val="Normal"/>
    <w:pPr>
      <w:spacing w:before="100" w:beforeAutospacing="1" w:after="100" w:afterAutospacing="1"/>
      <w:jc w:val="center"/>
      <w:textAlignment w:val="center"/>
    </w:pPr>
    <w:rPr>
      <w:sz w:val="16"/>
      <w:szCs w:val="16"/>
      <w:lang w:val="en-US"/>
    </w:rPr>
  </w:style>
  <w:style w:type="paragraph" w:customStyle="1" w:styleId="xl69">
    <w:name w:val="xl69"/>
    <w:basedOn w:val="Normal"/>
    <w:pPr>
      <w:spacing w:before="100" w:beforeAutospacing="1" w:after="100" w:afterAutospacing="1"/>
      <w:jc w:val="center"/>
      <w:textAlignment w:val="center"/>
    </w:pPr>
    <w:rPr>
      <w:sz w:val="18"/>
      <w:szCs w:val="18"/>
      <w:lang w:val="en-U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en-US"/>
    </w:rPr>
  </w:style>
  <w:style w:type="paragraph" w:customStyle="1" w:styleId="xl77">
    <w:name w:val="xl77"/>
    <w:basedOn w:val="Normal"/>
    <w:pPr>
      <w:spacing w:before="100" w:beforeAutospacing="1" w:after="100" w:afterAutospacing="1"/>
      <w:jc w:val="left"/>
      <w:textAlignment w:val="center"/>
    </w:pPr>
    <w:rPr>
      <w:sz w:val="18"/>
      <w:szCs w:val="18"/>
      <w:lang w:val="en-US"/>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rPr>
  </w:style>
  <w:style w:type="paragraph" w:customStyle="1" w:styleId="xl79">
    <w:name w:val="xl79"/>
    <w:basedOn w:val="Normal"/>
    <w:pPr>
      <w:spacing w:before="100" w:beforeAutospacing="1" w:after="100" w:afterAutospacing="1"/>
      <w:jc w:val="left"/>
      <w:textAlignment w:val="center"/>
    </w:pPr>
    <w:rPr>
      <w:b/>
      <w:bCs/>
      <w:sz w:val="18"/>
      <w:szCs w:val="18"/>
      <w:lang w:val="en-U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en-U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lang w:val="en-US"/>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lang w:val="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pPr>
      <w:spacing w:after="160" w:line="240" w:lineRule="exact"/>
    </w:pPr>
    <w:rPr>
      <w:rFonts w:ascii="Calibri" w:hAnsi="Calibri" w:cs="Calibri"/>
      <w:vertAlign w:val="superscript"/>
      <w:lang w:val="en-US"/>
    </w:rPr>
  </w:style>
  <w:style w:type="paragraph" w:customStyle="1" w:styleId="Cornernotation">
    <w:name w:val="Corner notation"/>
    <w:basedOn w:val="Normal"/>
    <w:pPr>
      <w:ind w:left="170" w:right="3119" w:hanging="170"/>
      <w:jc w:val="left"/>
    </w:pPr>
  </w:style>
  <w:style w:type="character" w:styleId="PlaceholderText">
    <w:name w:val="Placeholder Text"/>
    <w:basedOn w:val="DefaultParagraphFont"/>
    <w:rPr>
      <w:color w:val="808080"/>
    </w:rPr>
  </w:style>
  <w:style w:type="paragraph" w:styleId="Revision">
    <w:name w:val="Revision"/>
    <w:hidden/>
    <w:semiHidden/>
    <w:rPr>
      <w:rFonts w:eastAsia="等?" w:cs="Times New Roman"/>
      <w:snapToGrid w:val="0"/>
      <w:sz w:val="22"/>
      <w:szCs w:val="22"/>
      <w:lang w:val="en-GB" w:eastAsia="ko-KR"/>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locked/>
    <w:rPr>
      <w:rFonts w:ascii="Times New Roman" w:hAnsi="Times New Roman" w:cs="Times New Roman"/>
      <w:sz w:val="20"/>
      <w:szCs w:val="20"/>
      <w:lang w:val="en-GB"/>
    </w:rPr>
  </w:style>
  <w:style w:type="paragraph" w:styleId="CommentSubject">
    <w:name w:val="annotation subject"/>
    <w:basedOn w:val="CommentText"/>
    <w:next w:val="CommentText"/>
    <w:semiHidden/>
    <w:rPr>
      <w:b/>
      <w:bCs/>
    </w:rPr>
  </w:style>
  <w:style w:type="character" w:customStyle="1" w:styleId="CommentSubjectChar">
    <w:name w:val="Comment Subject Char"/>
    <w:basedOn w:val="CommentTextChar"/>
    <w:semiHidden/>
    <w:locked/>
    <w:rPr>
      <w:b/>
      <w:bCs/>
    </w:rPr>
  </w:style>
  <w:style w:type="character" w:customStyle="1" w:styleId="UnresolvedMention">
    <w:name w:val="Unresolved Mention"/>
    <w:basedOn w:val="DefaultParagraphFont"/>
    <w:semiHidden/>
    <w:rPr>
      <w:color w:val="auto"/>
      <w:shd w:val="clear" w:color="auto" w:fill="auto"/>
    </w:rPr>
  </w:style>
  <w:style w:type="paragraph" w:customStyle="1" w:styleId="xl85">
    <w:name w:val="xl85"/>
    <w:basedOn w:val="Normal"/>
    <w:pPr>
      <w:pBdr>
        <w:top w:val="single" w:sz="4" w:space="0" w:color="auto"/>
        <w:left w:val="single" w:sz="4" w:space="0" w:color="auto"/>
        <w:right w:val="single" w:sz="4" w:space="0" w:color="auto"/>
      </w:pBdr>
      <w:spacing w:before="100" w:beforeAutospacing="1" w:after="100" w:afterAutospacing="1"/>
      <w:jc w:val="left"/>
      <w:textAlignment w:val="center"/>
    </w:pPr>
    <w:rPr>
      <w:b/>
      <w:bCs/>
      <w:sz w:val="18"/>
      <w:szCs w:val="18"/>
      <w:lang w:val="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alloonText">
    <w:name w:val="Balloon Text"/>
    <w:basedOn w:val="Normal"/>
    <w:link w:val="BalloonTextChar"/>
    <w:rsid w:val="005E2E1B"/>
    <w:rPr>
      <w:rFonts w:ascii="Tahoma" w:hAnsi="Tahoma" w:cs="Tahoma"/>
      <w:sz w:val="16"/>
      <w:szCs w:val="16"/>
    </w:rPr>
  </w:style>
  <w:style w:type="character" w:customStyle="1" w:styleId="BalloonTextChar">
    <w:name w:val="Balloon Text Char"/>
    <w:basedOn w:val="DefaultParagraphFont"/>
    <w:link w:val="BalloonText"/>
    <w:rsid w:val="005E2E1B"/>
    <w:rPr>
      <w:rFonts w:ascii="Tahoma" w:eastAsia="等?" w:hAnsi="Tahoma" w:cs="Tahoma"/>
      <w:snapToGrid w:val="0"/>
      <w:sz w:val="16"/>
      <w:szCs w:val="16"/>
      <w:lang w:val="en-GB" w:eastAsia="ko-KR"/>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world/map.shtml?country=k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bd.int/world/map.shtml?country=f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2259</Words>
  <Characters>9852</Characters>
  <Application>Microsoft Office Word</Application>
  <DocSecurity>0</DocSecurity>
  <Lines>1231</Lines>
  <Paragraphs>1211</Paragraphs>
  <ScaleCrop>false</ScaleCrop>
  <HeadingPairs>
    <vt:vector size="2" baseType="variant">
      <vt:variant>
        <vt:lpstr>Title</vt:lpstr>
      </vt:variant>
      <vt:variant>
        <vt:i4>1</vt:i4>
      </vt:variant>
    </vt:vector>
  </HeadingPairs>
  <TitlesOfParts>
    <vt:vector size="1" baseType="lpstr">
      <vt:lpstr>NP-4/12.	Budget for the integrated programme of work of the Secretariat</vt:lpstr>
    </vt:vector>
  </TitlesOfParts>
  <Company>SCBD</Company>
  <LinksUpToDate>false</LinksUpToDate>
  <CharactersWithSpaces>10900</CharactersWithSpaces>
  <SharedDoc>false</SharedDoc>
  <HLinks>
    <vt:vector size="12" baseType="variant">
      <vt:variant>
        <vt:i4>3932221</vt:i4>
      </vt:variant>
      <vt:variant>
        <vt:i4>3</vt:i4>
      </vt:variant>
      <vt:variant>
        <vt:i4>0</vt:i4>
      </vt:variant>
      <vt:variant>
        <vt:i4>5</vt:i4>
      </vt:variant>
      <vt:variant>
        <vt:lpwstr>https://www.cbd.int/world/map.shtml?country=kn</vt:lpwstr>
      </vt:variant>
      <vt:variant>
        <vt:lpwstr/>
      </vt:variant>
      <vt:variant>
        <vt:i4>4128816</vt:i4>
      </vt:variant>
      <vt:variant>
        <vt:i4>0</vt:i4>
      </vt:variant>
      <vt:variant>
        <vt:i4>0</vt:i4>
      </vt:variant>
      <vt:variant>
        <vt:i4>5</vt:i4>
      </vt:variant>
      <vt:variant>
        <vt:lpwstr>https://www.cbd.int/world/map.shtml?country=fm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NP-4/12.	Budget for the integrated programme of work of the Secretariat</dc:title>
  <dc:subject>CBD/NP/MOP/DEC/4/12</dc:subject>
  <dc:creator>Secretariat of the Convention on Biological Diversity</dc:creator>
  <cp:keywords>Decision adopted by the Parties to the Nagoya Protocol on Access and Benefit-sharing</cp:keywords>
  <cp:lastModifiedBy>Laura Perez</cp:lastModifiedBy>
  <cp:revision>4</cp:revision>
  <dcterms:created xsi:type="dcterms:W3CDTF">2023-04-12T15:17:00Z</dcterms:created>
  <dcterms:modified xsi:type="dcterms:W3CDTF">2023-04-12T15:45:00Z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GrammarlyDocumentId">
    <vt:lpwstr>87b248ddefc86845695edb4b2e894b0fa51ded2f1518f522f1f399e9d8ed5dd1</vt:lpwstr>
  </property>
</Properties>
</file>