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11249B19" w14:textId="77777777" w:rsidTr="00454C2A">
        <w:trPr>
          <w:trHeight w:val="851"/>
        </w:trPr>
        <w:tc>
          <w:tcPr>
            <w:tcW w:w="465" w:type="pct"/>
            <w:tcBorders>
              <w:bottom w:val="single" w:sz="8" w:space="0" w:color="auto"/>
            </w:tcBorders>
            <w:vAlign w:val="bottom"/>
          </w:tcPr>
          <w:p w14:paraId="7BE82539" w14:textId="77777777" w:rsidR="00A96B21" w:rsidRPr="00550DCE" w:rsidRDefault="00A96B21" w:rsidP="00454C2A">
            <w:pPr>
              <w:spacing w:after="120"/>
              <w:jc w:val="left"/>
            </w:pPr>
            <w:bookmarkStart w:id="0" w:name="_Hlk137651738"/>
            <w:r w:rsidRPr="00550DCE">
              <w:rPr>
                <w:noProof/>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230F292E" w:rsidR="00A96B21" w:rsidRPr="00550DCE" w:rsidRDefault="00741BBB" w:rsidP="00454C2A">
            <w:pPr>
              <w:spacing w:after="120"/>
              <w:jc w:val="left"/>
            </w:pPr>
            <w:r w:rsidRPr="00741BBB">
              <w:rPr>
                <w:noProof/>
                <w:lang w:eastAsia="fr-FR"/>
              </w:rPr>
              <w:drawing>
                <wp:inline distT="0" distB="0" distL="0" distR="0" wp14:anchorId="17AB94A4" wp14:editId="2C7223A2">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3CACBDFA" w:rsidR="00A96B21" w:rsidRPr="00550DCE" w:rsidRDefault="00A96B21" w:rsidP="00F6660F">
            <w:pPr>
              <w:pStyle w:val="ABSymbol"/>
            </w:pPr>
            <w:r w:rsidRPr="00550DCE">
              <w:rPr>
                <w:sz w:val="40"/>
                <w:szCs w:val="40"/>
              </w:rPr>
              <w:t>CBD</w:t>
            </w:r>
            <w:r w:rsidRPr="00550DCE">
              <w:t>/</w:t>
            </w:r>
            <w:r w:rsidR="00D23F1E">
              <w:t>NP/MOP/</w:t>
            </w:r>
            <w:r w:rsidR="00676CA6">
              <w:t>DEC/</w:t>
            </w:r>
            <w:r w:rsidR="00D23F1E">
              <w:t>5</w:t>
            </w:r>
            <w:r w:rsidR="00F26D04">
              <w:t>/5</w:t>
            </w:r>
          </w:p>
        </w:tc>
      </w:tr>
      <w:tr w:rsidR="00A96B21" w:rsidRPr="00676CA6" w14:paraId="1819DB77" w14:textId="77777777" w:rsidTr="00454C2A">
        <w:tc>
          <w:tcPr>
            <w:tcW w:w="2297" w:type="pct"/>
            <w:gridSpan w:val="2"/>
            <w:tcBorders>
              <w:top w:val="single" w:sz="8" w:space="0" w:color="auto"/>
              <w:bottom w:val="single" w:sz="12" w:space="0" w:color="auto"/>
            </w:tcBorders>
          </w:tcPr>
          <w:p w14:paraId="445EC18F" w14:textId="0F1300D3" w:rsidR="00A96B21" w:rsidRPr="00741BBB" w:rsidRDefault="00741BBB" w:rsidP="00454C2A">
            <w:pPr>
              <w:pStyle w:val="Cornernotation"/>
              <w:suppressLineNumbers/>
              <w:suppressAutoHyphens/>
              <w:spacing w:before="120" w:after="120"/>
              <w:ind w:left="0" w:right="0" w:firstLine="0"/>
              <w:rPr>
                <w:lang w:val="fr-FR"/>
              </w:rPr>
            </w:pPr>
            <w:r w:rsidRPr="00084920">
              <w:rPr>
                <w:bCs/>
                <w:noProof/>
                <w:lang w:val="fr-FR" w:eastAsia="fr-FR"/>
              </w:rPr>
              <w:drawing>
                <wp:inline distT="0" distB="0" distL="0" distR="0" wp14:anchorId="67134C0F" wp14:editId="6A59B822">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2345CA0" w14:textId="24908C1C" w:rsidR="00A96B21" w:rsidRPr="00741BBB" w:rsidRDefault="00A96B21" w:rsidP="003C6F10">
            <w:pPr>
              <w:ind w:left="2584"/>
              <w:rPr>
                <w:sz w:val="22"/>
                <w:szCs w:val="22"/>
                <w:lang w:val="fr-FR"/>
              </w:rPr>
            </w:pPr>
            <w:r w:rsidRPr="00741BBB">
              <w:rPr>
                <w:sz w:val="22"/>
                <w:szCs w:val="22"/>
                <w:lang w:val="fr-FR"/>
              </w:rPr>
              <w:t>Distr.</w:t>
            </w:r>
            <w:r w:rsidR="00822295">
              <w:rPr>
                <w:sz w:val="22"/>
                <w:szCs w:val="22"/>
                <w:lang w:val="fr-FR"/>
              </w:rPr>
              <w:t> :</w:t>
            </w:r>
            <w:r w:rsidR="00741BBB" w:rsidRPr="00741BBB">
              <w:rPr>
                <w:sz w:val="22"/>
                <w:szCs w:val="22"/>
                <w:lang w:val="fr-FR"/>
              </w:rPr>
              <w:t xml:space="preserve"> </w:t>
            </w:r>
            <w:r w:rsidR="00822295">
              <w:rPr>
                <w:sz w:val="22"/>
                <w:szCs w:val="22"/>
                <w:lang w:val="fr-FR"/>
              </w:rPr>
              <w:t>Gén</w:t>
            </w:r>
            <w:r w:rsidR="00741BBB" w:rsidRPr="00741BBB">
              <w:rPr>
                <w:sz w:val="22"/>
                <w:szCs w:val="22"/>
                <w:lang w:val="fr-FR"/>
              </w:rPr>
              <w:t>é</w:t>
            </w:r>
            <w:r w:rsidR="00822295">
              <w:rPr>
                <w:sz w:val="22"/>
                <w:szCs w:val="22"/>
                <w:lang w:val="fr-FR"/>
              </w:rPr>
              <w:t>ral</w:t>
            </w:r>
            <w:r w:rsidR="00741BBB" w:rsidRPr="00741BBB">
              <w:rPr>
                <w:sz w:val="22"/>
                <w:szCs w:val="22"/>
                <w:lang w:val="fr-FR"/>
              </w:rPr>
              <w:t>e</w:t>
            </w:r>
          </w:p>
          <w:p w14:paraId="2DD21927" w14:textId="5555C9BE" w:rsidR="00A96B21" w:rsidRPr="00741BBB" w:rsidRDefault="00363AAE" w:rsidP="003C6F10">
            <w:pPr>
              <w:ind w:left="2584"/>
              <w:rPr>
                <w:sz w:val="22"/>
                <w:szCs w:val="22"/>
                <w:lang w:val="fr-FR"/>
              </w:rPr>
            </w:pPr>
            <w:r w:rsidRPr="00741BBB">
              <w:rPr>
                <w:sz w:val="22"/>
                <w:szCs w:val="22"/>
                <w:lang w:val="fr-FR"/>
              </w:rPr>
              <w:t>2</w:t>
            </w:r>
            <w:r w:rsidR="003471B8">
              <w:rPr>
                <w:sz w:val="22"/>
                <w:szCs w:val="22"/>
                <w:lang w:val="fr-FR"/>
              </w:rPr>
              <w:t xml:space="preserve">5 </w:t>
            </w:r>
            <w:r w:rsidR="00741BBB">
              <w:rPr>
                <w:sz w:val="22"/>
                <w:szCs w:val="22"/>
                <w:lang w:val="fr-FR"/>
              </w:rPr>
              <w:t>octobre </w:t>
            </w:r>
            <w:r w:rsidR="00A96B21" w:rsidRPr="00741BBB">
              <w:rPr>
                <w:sz w:val="22"/>
                <w:szCs w:val="22"/>
                <w:lang w:val="fr-FR"/>
              </w:rPr>
              <w:t>202</w:t>
            </w:r>
            <w:r w:rsidR="00D23F1E" w:rsidRPr="00741BBB">
              <w:rPr>
                <w:sz w:val="22"/>
                <w:szCs w:val="22"/>
                <w:lang w:val="fr-FR"/>
              </w:rPr>
              <w:t>4</w:t>
            </w:r>
          </w:p>
          <w:p w14:paraId="701BBB65" w14:textId="28841B95" w:rsidR="00A96B21" w:rsidRPr="00741BBB" w:rsidRDefault="00741BBB" w:rsidP="003C6F10">
            <w:pPr>
              <w:ind w:left="2584"/>
              <w:rPr>
                <w:sz w:val="22"/>
                <w:szCs w:val="22"/>
                <w:lang w:val="fr-FR"/>
              </w:rPr>
            </w:pPr>
            <w:r>
              <w:rPr>
                <w:sz w:val="22"/>
                <w:szCs w:val="22"/>
                <w:lang w:val="fr-FR"/>
              </w:rPr>
              <w:t>Français</w:t>
            </w:r>
          </w:p>
          <w:p w14:paraId="72F0F472" w14:textId="5AC88A88" w:rsidR="00A96B21" w:rsidRPr="00741BBB" w:rsidRDefault="00A96B21" w:rsidP="003C6F10">
            <w:pPr>
              <w:ind w:left="2584"/>
              <w:rPr>
                <w:sz w:val="22"/>
                <w:szCs w:val="22"/>
                <w:lang w:val="fr-FR"/>
              </w:rPr>
            </w:pPr>
            <w:r w:rsidRPr="00741BBB">
              <w:rPr>
                <w:sz w:val="22"/>
                <w:szCs w:val="22"/>
                <w:lang w:val="fr-FR"/>
              </w:rPr>
              <w:t>Original</w:t>
            </w:r>
            <w:r w:rsidR="00741BBB">
              <w:rPr>
                <w:sz w:val="22"/>
                <w:szCs w:val="22"/>
                <w:lang w:val="fr-FR"/>
              </w:rPr>
              <w:t> </w:t>
            </w:r>
            <w:r w:rsidRPr="00741BBB">
              <w:rPr>
                <w:sz w:val="22"/>
                <w:szCs w:val="22"/>
                <w:lang w:val="fr-FR"/>
              </w:rPr>
              <w:t xml:space="preserve">: </w:t>
            </w:r>
            <w:r w:rsidR="00822295">
              <w:rPr>
                <w:sz w:val="22"/>
                <w:szCs w:val="22"/>
                <w:lang w:val="fr-FR"/>
              </w:rPr>
              <w:t>A</w:t>
            </w:r>
            <w:r w:rsidR="00741BBB">
              <w:rPr>
                <w:sz w:val="22"/>
                <w:szCs w:val="22"/>
                <w:lang w:val="fr-FR"/>
              </w:rPr>
              <w:t>nglais</w:t>
            </w:r>
          </w:p>
          <w:p w14:paraId="20DEA2D7" w14:textId="77777777" w:rsidR="00A96B21" w:rsidRPr="00741BBB" w:rsidRDefault="00A96B21" w:rsidP="00454C2A">
            <w:pPr>
              <w:rPr>
                <w:lang w:val="fr-FR"/>
              </w:rPr>
            </w:pPr>
          </w:p>
        </w:tc>
      </w:tr>
    </w:tbl>
    <w:p w14:paraId="0F8EA8C6" w14:textId="77777777" w:rsidR="00E8611B" w:rsidRDefault="00E8611B" w:rsidP="00E8611B">
      <w:pPr>
        <w:pStyle w:val="AFCorNot12Bold"/>
        <w:rPr>
          <w:lang w:val="fr-FR"/>
        </w:rPr>
      </w:pPr>
      <w:bookmarkStart w:id="1" w:name="_Hlk175557954"/>
      <w:r>
        <w:rPr>
          <w:lang w:val="fr-FR"/>
        </w:rPr>
        <w:t>Conférence des Parties à la Convention</w:t>
      </w:r>
    </w:p>
    <w:p w14:paraId="6EED5F89" w14:textId="77777777" w:rsidR="00E8611B" w:rsidRDefault="00E8611B" w:rsidP="00E8611B">
      <w:pPr>
        <w:pStyle w:val="AFCorNot12Bold"/>
        <w:rPr>
          <w:lang w:val="fr-FR"/>
        </w:rPr>
      </w:pPr>
      <w:r>
        <w:rPr>
          <w:lang w:val="fr-FR"/>
        </w:rPr>
        <w:t xml:space="preserve">sur la diversité biologique siégeant en tant que </w:t>
      </w:r>
    </w:p>
    <w:p w14:paraId="23770009" w14:textId="77777777" w:rsidR="00E8611B" w:rsidRDefault="00E8611B" w:rsidP="00E8611B">
      <w:pPr>
        <w:pStyle w:val="AFCorNot12Bold"/>
        <w:rPr>
          <w:lang w:val="fr-FR"/>
        </w:rPr>
      </w:pPr>
      <w:r>
        <w:rPr>
          <w:lang w:val="fr-FR"/>
        </w:rPr>
        <w:t xml:space="preserve">réunion des Parties au Protocole de Nagoya </w:t>
      </w:r>
      <w:bookmarkStart w:id="2" w:name="_Hlk178504099"/>
      <w:r>
        <w:rPr>
          <w:lang w:val="fr-FR"/>
        </w:rPr>
        <w:t xml:space="preserve">sur </w:t>
      </w:r>
    </w:p>
    <w:p w14:paraId="27491716" w14:textId="77777777" w:rsidR="00E8611B" w:rsidRDefault="00E8611B" w:rsidP="00E8611B">
      <w:pPr>
        <w:pStyle w:val="AFCorNot12Bold"/>
        <w:rPr>
          <w:lang w:val="fr-FR"/>
        </w:rPr>
      </w:pPr>
      <w:r>
        <w:rPr>
          <w:lang w:val="fr-FR"/>
        </w:rPr>
        <w:t xml:space="preserve">l’accès aux ressources génétiques et le partage </w:t>
      </w:r>
    </w:p>
    <w:p w14:paraId="3A077B36" w14:textId="77777777" w:rsidR="00E8611B" w:rsidRDefault="00E8611B" w:rsidP="00E8611B">
      <w:pPr>
        <w:pStyle w:val="AFCorNot12Bold"/>
        <w:rPr>
          <w:lang w:val="fr-FR"/>
        </w:rPr>
      </w:pPr>
      <w:r>
        <w:rPr>
          <w:lang w:val="fr-FR"/>
        </w:rPr>
        <w:t xml:space="preserve">juste et équitable des avantages découlant de </w:t>
      </w:r>
    </w:p>
    <w:p w14:paraId="4C0EA6C0" w14:textId="77777777" w:rsidR="00E8611B" w:rsidRPr="00084920" w:rsidRDefault="00E8611B" w:rsidP="00E8611B">
      <w:pPr>
        <w:pStyle w:val="AFCorNot12Bold"/>
        <w:rPr>
          <w:lang w:val="fr-FR"/>
        </w:rPr>
      </w:pPr>
      <w:r>
        <w:rPr>
          <w:lang w:val="fr-FR"/>
        </w:rPr>
        <w:t>leur utilisation</w:t>
      </w:r>
    </w:p>
    <w:bookmarkEnd w:id="1"/>
    <w:bookmarkEnd w:id="2"/>
    <w:p w14:paraId="691FEF4F" w14:textId="77777777" w:rsidR="00E8611B" w:rsidRPr="00084920" w:rsidRDefault="00E8611B" w:rsidP="00E8611B">
      <w:pPr>
        <w:pStyle w:val="Cornernotation"/>
        <w:rPr>
          <w:bCs/>
          <w:sz w:val="22"/>
          <w:lang w:val="fr-FR"/>
        </w:rPr>
      </w:pPr>
      <w:r>
        <w:rPr>
          <w:bCs/>
          <w:sz w:val="22"/>
          <w:lang w:val="fr-FR"/>
        </w:rPr>
        <w:t>Cinquième réunion</w:t>
      </w:r>
      <w:r w:rsidRPr="00084920">
        <w:rPr>
          <w:bCs/>
          <w:sz w:val="22"/>
          <w:lang w:val="fr-FR"/>
        </w:rPr>
        <w:t xml:space="preserve"> </w:t>
      </w:r>
    </w:p>
    <w:p w14:paraId="092CA88E" w14:textId="1FCF80A0" w:rsidR="00E8611B" w:rsidRPr="00084920" w:rsidRDefault="00E8611B" w:rsidP="00E8611B">
      <w:pPr>
        <w:pStyle w:val="Venuedate"/>
        <w:rPr>
          <w:lang w:val="fr-FR"/>
        </w:rPr>
      </w:pPr>
      <w:r w:rsidRPr="00084920">
        <w:rPr>
          <w:lang w:val="fr-FR"/>
        </w:rPr>
        <w:t>Cali, Colombi</w:t>
      </w:r>
      <w:r>
        <w:rPr>
          <w:lang w:val="fr-FR"/>
        </w:rPr>
        <w:t>e</w:t>
      </w:r>
      <w:r w:rsidRPr="00084920">
        <w:rPr>
          <w:lang w:val="fr-FR"/>
        </w:rPr>
        <w:t>, 2</w:t>
      </w:r>
      <w:r>
        <w:rPr>
          <w:lang w:val="fr-FR"/>
        </w:rPr>
        <w:t>1 octobre</w:t>
      </w:r>
      <w:r w:rsidR="003E2A09">
        <w:rPr>
          <w:lang w:val="fr-FR"/>
        </w:rPr>
        <w:t xml:space="preserve"> </w:t>
      </w:r>
      <w:r w:rsidRPr="00084920">
        <w:rPr>
          <w:lang w:val="fr-FR"/>
        </w:rPr>
        <w:t>–1</w:t>
      </w:r>
      <w:r>
        <w:rPr>
          <w:vertAlign w:val="superscript"/>
          <w:lang w:val="fr-FR"/>
        </w:rPr>
        <w:t>er</w:t>
      </w:r>
      <w:r>
        <w:rPr>
          <w:lang w:val="fr-FR"/>
        </w:rPr>
        <w:t> novembre </w:t>
      </w:r>
      <w:r w:rsidRPr="00084920">
        <w:rPr>
          <w:lang w:val="fr-FR"/>
        </w:rPr>
        <w:t>2024</w:t>
      </w:r>
    </w:p>
    <w:p w14:paraId="30733817" w14:textId="155CFDFA" w:rsidR="00A96B21" w:rsidRPr="00741BBB" w:rsidRDefault="00E8611B" w:rsidP="00A96B21">
      <w:pPr>
        <w:pStyle w:val="Cornernotation-Item"/>
        <w:rPr>
          <w:b w:val="0"/>
          <w:bCs w:val="0"/>
          <w:lang w:val="fr-FR"/>
        </w:rPr>
      </w:pPr>
      <w:r>
        <w:rPr>
          <w:b w:val="0"/>
          <w:bCs w:val="0"/>
          <w:lang w:val="fr-FR"/>
        </w:rPr>
        <w:t>Point 10 de l’ordre du jour</w:t>
      </w:r>
      <w:r w:rsidR="00A96B21" w:rsidRPr="00741BBB">
        <w:rPr>
          <w:b w:val="0"/>
          <w:bCs w:val="0"/>
          <w:lang w:val="fr-FR"/>
        </w:rPr>
        <w:t xml:space="preserve"> </w:t>
      </w:r>
    </w:p>
    <w:p w14:paraId="4F3B9CA0" w14:textId="692752C1" w:rsidR="00A96B21" w:rsidRPr="00741BBB" w:rsidRDefault="00F26D04" w:rsidP="005E139E">
      <w:pPr>
        <w:pStyle w:val="AFCorNotBold"/>
        <w:jc w:val="left"/>
        <w:rPr>
          <w:lang w:val="fr-FR"/>
        </w:rPr>
      </w:pPr>
      <w:r>
        <w:rPr>
          <w:lang w:val="fr-FR"/>
        </w:rPr>
        <w:t>Évaluation et examen de l’efficacité du Protocole</w:t>
      </w:r>
    </w:p>
    <w:bookmarkEnd w:id="0"/>
    <w:p w14:paraId="3CF490E6" w14:textId="71BAE25A" w:rsidR="00A96B21" w:rsidRPr="000F6CB4" w:rsidRDefault="000441D8" w:rsidP="00C26407">
      <w:pPr>
        <w:pStyle w:val="CBDTitle"/>
        <w:ind w:right="288"/>
        <w:rPr>
          <w:sz w:val="24"/>
          <w:szCs w:val="20"/>
          <w:lang w:val="fr-FR"/>
        </w:rPr>
      </w:pPr>
      <w:sdt>
        <w:sdtPr>
          <w:rPr>
            <w:rFonts w:ascii="Times New Roman Bold" w:eastAsiaTheme="majorEastAsia" w:hAnsi="Times New Roman Bold"/>
            <w:bCs/>
            <w:spacing w:val="5"/>
            <w:kern w:val="28"/>
            <w:szCs w:val="28"/>
            <w:lang w:val="fr-FR"/>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Pr="000441D8">
            <w:rPr>
              <w:rFonts w:ascii="Times New Roman Bold" w:eastAsiaTheme="majorEastAsia" w:hAnsi="Times New Roman Bold"/>
              <w:bCs/>
              <w:spacing w:val="5"/>
              <w:kern w:val="28"/>
              <w:szCs w:val="28"/>
              <w:lang w:val="fr-FR"/>
            </w:rPr>
            <w:t xml:space="preserv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w:t>
          </w:r>
          <w:r w:rsidR="00091CE9">
            <w:rPr>
              <w:rFonts w:ascii="Times New Roman Bold" w:eastAsiaTheme="majorEastAsia" w:hAnsi="Times New Roman Bold"/>
              <w:bCs/>
              <w:spacing w:val="5"/>
              <w:kern w:val="28"/>
              <w:szCs w:val="28"/>
              <w:lang w:val="fr-FR"/>
            </w:rPr>
            <w:t>25</w:t>
          </w:r>
          <w:r w:rsidRPr="000441D8">
            <w:rPr>
              <w:rFonts w:ascii="Times New Roman Bold" w:eastAsiaTheme="majorEastAsia" w:hAnsi="Times New Roman Bold"/>
              <w:bCs/>
              <w:spacing w:val="5"/>
              <w:kern w:val="28"/>
              <w:szCs w:val="28"/>
              <w:lang w:val="fr-FR"/>
            </w:rPr>
            <w:t xml:space="preserve"> octobre 2024</w:t>
          </w:r>
        </w:sdtContent>
      </w:sdt>
    </w:p>
    <w:p w14:paraId="0D679B2E" w14:textId="07BD6BA6" w:rsidR="00A96B21" w:rsidRPr="0017499C" w:rsidRDefault="0017499C" w:rsidP="0017499C">
      <w:pPr>
        <w:pStyle w:val="CBDSubTitle"/>
        <w:ind w:left="1440" w:hanging="873"/>
        <w:rPr>
          <w:lang w:val="fr-FR"/>
        </w:rPr>
      </w:pPr>
      <w:r w:rsidRPr="002B1A23">
        <w:t>NP-5/5.</w:t>
      </w:r>
      <w:r w:rsidRPr="002B1A23">
        <w:tab/>
      </w:r>
      <w:r w:rsidRPr="0017499C">
        <w:rPr>
          <w:lang w:val="fr-FR"/>
        </w:rPr>
        <w:t>M</w:t>
      </w:r>
      <w:r w:rsidRPr="0017499C">
        <w:rPr>
          <w:lang w:val="fr-FR"/>
        </w:rPr>
        <w:t>é</w:t>
      </w:r>
      <w:r w:rsidRPr="0017499C">
        <w:rPr>
          <w:lang w:val="fr-FR"/>
        </w:rPr>
        <w:t>thodolog</w:t>
      </w:r>
      <w:r w:rsidRPr="0017499C">
        <w:rPr>
          <w:lang w:val="fr-FR"/>
        </w:rPr>
        <w:t>ie pour la deuxième évaluation et examen de l’efficacité du Protocole de</w:t>
      </w:r>
      <w:r w:rsidRPr="0017499C">
        <w:rPr>
          <w:lang w:val="fr-FR"/>
        </w:rPr>
        <w:t xml:space="preserve"> Nagoya </w:t>
      </w:r>
    </w:p>
    <w:p w14:paraId="7C57A64C" w14:textId="2C87E1E4" w:rsidR="00663BEC" w:rsidRPr="00663BEC" w:rsidRDefault="00663BEC" w:rsidP="00663BEC">
      <w:pPr>
        <w:tabs>
          <w:tab w:val="clear" w:pos="567"/>
          <w:tab w:val="clear" w:pos="1134"/>
          <w:tab w:val="clear" w:pos="2268"/>
        </w:tabs>
        <w:spacing w:before="120" w:after="120"/>
        <w:ind w:left="567" w:firstLine="567"/>
        <w:rPr>
          <w:rFonts w:eastAsia="Times New Roman"/>
          <w:i/>
          <w:iCs/>
          <w:szCs w:val="24"/>
          <w:lang w:val="fr-FR"/>
        </w:rPr>
      </w:pPr>
      <w:r w:rsidRPr="00663BEC">
        <w:rPr>
          <w:rFonts w:eastAsia="Times New Roman"/>
          <w:i/>
          <w:szCs w:val="24"/>
          <w:lang w:val="fr-FR" w:bidi="fr-FR"/>
        </w:rPr>
        <w:t>La Conférence des Parties siégeant en tant que réunion des Parties au Protocole de Nagoya,</w:t>
      </w:r>
    </w:p>
    <w:p w14:paraId="4993A2AD" w14:textId="6C596F44"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i/>
          <w:szCs w:val="24"/>
          <w:lang w:val="fr-FR" w:bidi="fr-FR"/>
        </w:rPr>
        <w:t>Rappelant</w:t>
      </w:r>
      <w:r w:rsidRPr="00663BEC">
        <w:rPr>
          <w:rFonts w:eastAsia="Times New Roman"/>
          <w:szCs w:val="24"/>
          <w:lang w:val="fr-FR" w:bidi="fr-FR"/>
        </w:rPr>
        <w:t xml:space="preserve"> </w:t>
      </w:r>
      <w:hyperlink r:id="rId14" w:history="1">
        <w:r w:rsidRPr="00663BEC">
          <w:rPr>
            <w:rFonts w:eastAsia="Times New Roman"/>
            <w:szCs w:val="24"/>
            <w:lang w:val="fr-FR" w:bidi="fr-FR"/>
          </w:rPr>
          <w:t>l’article 31</w:t>
        </w:r>
      </w:hyperlink>
      <w:r w:rsidRPr="00663BEC">
        <w:rPr>
          <w:rFonts w:eastAsia="Times New Roman"/>
          <w:szCs w:val="24"/>
          <w:lang w:val="fr-FR" w:bidi="fr-FR"/>
        </w:rPr>
        <w:t xml:space="preserve"> du Protocole de Nagoya sur l’accès aux ressources génétiques et le partage juste et équitable des avantages découlant de leur utilisation</w:t>
      </w:r>
      <w:r w:rsidRPr="00663BEC">
        <w:rPr>
          <w:rFonts w:eastAsia="Times New Roman"/>
          <w:szCs w:val="24"/>
          <w:vertAlign w:val="superscript"/>
          <w:lang w:val="fr-FR" w:bidi="fr-FR"/>
        </w:rPr>
        <w:footnoteReference w:id="2"/>
      </w:r>
      <w:r w:rsidRPr="00663BEC">
        <w:rPr>
          <w:rFonts w:eastAsia="Times New Roman"/>
          <w:szCs w:val="24"/>
          <w:lang w:val="fr-FR" w:bidi="fr-FR"/>
        </w:rPr>
        <w:t>,</w:t>
      </w:r>
    </w:p>
    <w:p w14:paraId="3FD4A46F" w14:textId="07EE1292" w:rsidR="00663BEC" w:rsidRPr="00663BEC" w:rsidRDefault="00663BEC" w:rsidP="00663BEC">
      <w:pPr>
        <w:tabs>
          <w:tab w:val="clear" w:pos="567"/>
          <w:tab w:val="clear" w:pos="1134"/>
          <w:tab w:val="clear" w:pos="2268"/>
        </w:tabs>
        <w:spacing w:before="120" w:after="120"/>
        <w:ind w:left="567" w:firstLine="567"/>
        <w:rPr>
          <w:rFonts w:eastAsia="Times New Roman"/>
          <w:iCs/>
          <w:szCs w:val="24"/>
          <w:lang w:val="fr-FR"/>
        </w:rPr>
      </w:pPr>
      <w:r w:rsidRPr="00663BEC">
        <w:rPr>
          <w:rFonts w:eastAsia="Times New Roman"/>
          <w:i/>
          <w:szCs w:val="24"/>
          <w:lang w:val="fr-FR" w:bidi="fr-FR"/>
        </w:rPr>
        <w:t xml:space="preserve">Rappelant également </w:t>
      </w:r>
      <w:r w:rsidR="00D05221">
        <w:rPr>
          <w:rFonts w:eastAsia="Times New Roman"/>
          <w:szCs w:val="24"/>
          <w:lang w:val="fr-FR" w:bidi="fr-FR"/>
        </w:rPr>
        <w:t>s</w:t>
      </w:r>
      <w:r w:rsidRPr="00663BEC">
        <w:rPr>
          <w:rFonts w:eastAsia="Times New Roman"/>
          <w:szCs w:val="24"/>
          <w:lang w:val="fr-FR" w:bidi="fr-FR"/>
        </w:rPr>
        <w:t>a décision</w:t>
      </w:r>
      <w:r w:rsidR="006D1149" w:rsidRPr="006D1149">
        <w:rPr>
          <w:iCs/>
          <w:lang w:val="fr-FR"/>
        </w:rPr>
        <w:t xml:space="preserve"> </w:t>
      </w:r>
      <w:hyperlink r:id="rId15" w:history="1">
        <w:r w:rsidR="006D1149" w:rsidRPr="006D1149">
          <w:rPr>
            <w:rStyle w:val="Hyperlink"/>
            <w:iCs/>
            <w:lang w:val="fr-FR"/>
          </w:rPr>
          <w:t>NP</w:t>
        </w:r>
        <w:r w:rsidR="006D1149" w:rsidRPr="006D1149">
          <w:rPr>
            <w:rStyle w:val="Hyperlink"/>
            <w:iCs/>
            <w:lang w:val="fr-FR"/>
          </w:rPr>
          <w:t>-</w:t>
        </w:r>
        <w:r w:rsidR="006D1149" w:rsidRPr="006D1149">
          <w:rPr>
            <w:rStyle w:val="Hyperlink"/>
            <w:iCs/>
            <w:lang w:val="fr-FR"/>
          </w:rPr>
          <w:t>2/4</w:t>
        </w:r>
      </w:hyperlink>
      <w:r w:rsidR="006D1149" w:rsidRPr="006D1149">
        <w:rPr>
          <w:lang w:val="fr-FR"/>
        </w:rPr>
        <w:t xml:space="preserve"> </w:t>
      </w:r>
      <w:r w:rsidRPr="00663BEC">
        <w:rPr>
          <w:rFonts w:eastAsia="Times New Roman"/>
          <w:szCs w:val="24"/>
          <w:lang w:val="fr-FR" w:bidi="fr-FR"/>
        </w:rPr>
        <w:t xml:space="preserve">du 17 décembre 2016, </w:t>
      </w:r>
      <w:r w:rsidR="00D05221">
        <w:rPr>
          <w:rFonts w:eastAsia="Times New Roman"/>
          <w:szCs w:val="24"/>
          <w:lang w:val="fr-FR" w:bidi="fr-FR"/>
        </w:rPr>
        <w:t>par</w:t>
      </w:r>
      <w:r w:rsidRPr="00663BEC">
        <w:rPr>
          <w:rFonts w:eastAsia="Times New Roman"/>
          <w:szCs w:val="24"/>
          <w:lang w:val="fr-FR" w:bidi="fr-FR"/>
        </w:rPr>
        <w:t xml:space="preserve"> laquelle </w:t>
      </w:r>
      <w:r w:rsidR="00A47A4E">
        <w:rPr>
          <w:rFonts w:eastAsia="Times New Roman"/>
          <w:szCs w:val="24"/>
          <w:lang w:val="fr-FR" w:bidi="fr-FR"/>
        </w:rPr>
        <w:t xml:space="preserve">elle </w:t>
      </w:r>
      <w:r w:rsidRPr="00663BEC">
        <w:rPr>
          <w:rFonts w:eastAsia="Times New Roman"/>
          <w:szCs w:val="24"/>
          <w:lang w:val="fr-FR" w:bidi="fr-FR"/>
        </w:rPr>
        <w:t>a décidé de procéder à la</w:t>
      </w:r>
      <w:r w:rsidR="00E035C6">
        <w:rPr>
          <w:rFonts w:eastAsia="Times New Roman"/>
          <w:szCs w:val="24"/>
          <w:lang w:val="fr-FR" w:bidi="fr-FR"/>
        </w:rPr>
        <w:t xml:space="preserve"> p</w:t>
      </w:r>
      <w:r w:rsidRPr="00663BEC">
        <w:rPr>
          <w:rFonts w:eastAsia="Times New Roman"/>
          <w:szCs w:val="24"/>
          <w:lang w:val="fr-FR" w:bidi="fr-FR"/>
        </w:rPr>
        <w:t>remière évaluation et examen du Protocole</w:t>
      </w:r>
      <w:r w:rsidR="00A47A4E">
        <w:rPr>
          <w:rFonts w:eastAsia="Times New Roman"/>
          <w:szCs w:val="24"/>
          <w:lang w:val="fr-FR" w:bidi="fr-FR"/>
        </w:rPr>
        <w:t xml:space="preserve"> de Nagoya,</w:t>
      </w:r>
      <w:r w:rsidRPr="00663BEC">
        <w:rPr>
          <w:rFonts w:eastAsia="Times New Roman"/>
          <w:szCs w:val="24"/>
          <w:lang w:val="fr-FR" w:bidi="fr-FR"/>
        </w:rPr>
        <w:t xml:space="preserve"> sur la base des éléments figurant dans l’annexe à cette décision, et l’importance de la continuité des approches pour assurer la comparabilité des résultats,</w:t>
      </w:r>
    </w:p>
    <w:p w14:paraId="5BB50B24" w14:textId="048CFBF3"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bidi="fr-FR"/>
        </w:rPr>
      </w:pPr>
      <w:r w:rsidRPr="00663BEC">
        <w:rPr>
          <w:rFonts w:eastAsia="Times New Roman"/>
          <w:i/>
          <w:szCs w:val="24"/>
          <w:lang w:val="fr-FR" w:bidi="fr-FR"/>
        </w:rPr>
        <w:t xml:space="preserve">Rappelant en outre </w:t>
      </w:r>
      <w:r w:rsidR="0037302A">
        <w:rPr>
          <w:rFonts w:eastAsia="Times New Roman"/>
          <w:szCs w:val="24"/>
          <w:lang w:val="fr-FR" w:bidi="fr-FR"/>
        </w:rPr>
        <w:t>s</w:t>
      </w:r>
      <w:r w:rsidRPr="00663BEC">
        <w:rPr>
          <w:rFonts w:eastAsia="Times New Roman"/>
          <w:szCs w:val="24"/>
          <w:lang w:val="fr-FR" w:bidi="fr-FR"/>
        </w:rPr>
        <w:t>a décision</w:t>
      </w:r>
      <w:r w:rsidR="0037302A" w:rsidRPr="0037302A">
        <w:rPr>
          <w:lang w:val="fr-FR"/>
        </w:rPr>
        <w:t xml:space="preserve"> </w:t>
      </w:r>
      <w:hyperlink r:id="rId16" w:history="1">
        <w:r w:rsidR="0037302A" w:rsidRPr="0037302A">
          <w:rPr>
            <w:rStyle w:val="Hyperlink"/>
            <w:lang w:val="fr-FR"/>
          </w:rPr>
          <w:t>NP-3/</w:t>
        </w:r>
        <w:r w:rsidR="0037302A" w:rsidRPr="0037302A">
          <w:rPr>
            <w:rStyle w:val="Hyperlink"/>
            <w:lang w:val="fr-FR"/>
          </w:rPr>
          <w:t>1</w:t>
        </w:r>
        <w:r w:rsidR="0037302A" w:rsidRPr="0037302A">
          <w:rPr>
            <w:rStyle w:val="Hyperlink"/>
            <w:lang w:val="fr-FR"/>
          </w:rPr>
          <w:t xml:space="preserve"> A</w:t>
        </w:r>
      </w:hyperlink>
      <w:r w:rsidRPr="00663BEC">
        <w:rPr>
          <w:rFonts w:eastAsia="Times New Roman"/>
          <w:szCs w:val="24"/>
          <w:lang w:val="fr-FR" w:bidi="fr-FR"/>
        </w:rPr>
        <w:t xml:space="preserve"> du 25 novembre 2018, </w:t>
      </w:r>
      <w:r w:rsidR="0037302A">
        <w:rPr>
          <w:rFonts w:eastAsia="Times New Roman"/>
          <w:szCs w:val="24"/>
          <w:lang w:val="fr-FR" w:bidi="fr-FR"/>
        </w:rPr>
        <w:t>par</w:t>
      </w:r>
      <w:r w:rsidRPr="00663BEC">
        <w:rPr>
          <w:rFonts w:eastAsia="Times New Roman"/>
          <w:szCs w:val="24"/>
          <w:lang w:val="fr-FR" w:bidi="fr-FR"/>
        </w:rPr>
        <w:t xml:space="preserve"> laquelle </w:t>
      </w:r>
      <w:r w:rsidR="00AA4BBE">
        <w:rPr>
          <w:rFonts w:eastAsia="Times New Roman"/>
          <w:szCs w:val="24"/>
          <w:lang w:val="fr-FR" w:bidi="fr-FR"/>
        </w:rPr>
        <w:t xml:space="preserve">elle </w:t>
      </w:r>
      <w:r w:rsidRPr="00663BEC">
        <w:rPr>
          <w:rFonts w:eastAsia="Times New Roman"/>
          <w:szCs w:val="24"/>
          <w:lang w:val="fr-FR" w:bidi="fr-FR"/>
        </w:rPr>
        <w:t xml:space="preserve">a défini des éléments supplémentaires à prendre en considération pour la deuxième évaluation et examen de l’efficacité du Protocole </w:t>
      </w:r>
      <w:r w:rsidR="005515A0">
        <w:rPr>
          <w:rFonts w:eastAsia="Times New Roman"/>
          <w:szCs w:val="24"/>
          <w:lang w:val="fr-FR" w:bidi="fr-FR"/>
        </w:rPr>
        <w:t xml:space="preserve">de Nagoya, </w:t>
      </w:r>
      <w:r w:rsidRPr="00663BEC">
        <w:rPr>
          <w:rFonts w:eastAsia="Times New Roman"/>
          <w:szCs w:val="24"/>
          <w:lang w:val="fr-FR" w:bidi="fr-FR"/>
        </w:rPr>
        <w:t xml:space="preserve">et </w:t>
      </w:r>
      <w:r w:rsidR="00D44C5C">
        <w:rPr>
          <w:rFonts w:eastAsia="Times New Roman"/>
          <w:szCs w:val="24"/>
          <w:lang w:val="fr-FR" w:bidi="fr-FR"/>
        </w:rPr>
        <w:t xml:space="preserve">prié </w:t>
      </w:r>
      <w:r w:rsidRPr="00663BEC">
        <w:rPr>
          <w:rFonts w:eastAsia="Times New Roman"/>
          <w:szCs w:val="24"/>
          <w:lang w:val="fr-FR" w:bidi="fr-FR"/>
        </w:rPr>
        <w:t xml:space="preserve">la Secrétaire exécutive de réaliser une enquête ciblée sur les difficultés liées à </w:t>
      </w:r>
      <w:r w:rsidR="007F7405">
        <w:rPr>
          <w:rFonts w:eastAsia="Times New Roman"/>
          <w:szCs w:val="24"/>
          <w:lang w:val="fr-FR" w:bidi="fr-FR"/>
        </w:rPr>
        <w:t>l’application</w:t>
      </w:r>
      <w:r w:rsidRPr="00663BEC">
        <w:rPr>
          <w:rFonts w:eastAsia="Times New Roman"/>
          <w:szCs w:val="24"/>
          <w:lang w:val="fr-FR" w:bidi="fr-FR"/>
        </w:rPr>
        <w:t xml:space="preserve"> du Protocole et </w:t>
      </w:r>
      <w:r w:rsidR="007B3887">
        <w:rPr>
          <w:rFonts w:eastAsia="Times New Roman"/>
          <w:szCs w:val="24"/>
          <w:lang w:val="fr-FR" w:bidi="fr-FR"/>
        </w:rPr>
        <w:t xml:space="preserve">de </w:t>
      </w:r>
      <w:r w:rsidRPr="00663BEC">
        <w:rPr>
          <w:rFonts w:eastAsia="Times New Roman"/>
          <w:szCs w:val="24"/>
          <w:lang w:val="fr-FR" w:bidi="fr-FR"/>
        </w:rPr>
        <w:t>demander</w:t>
      </w:r>
      <w:r w:rsidR="00C165DC">
        <w:rPr>
          <w:rFonts w:eastAsia="Times New Roman"/>
          <w:szCs w:val="24"/>
          <w:lang w:val="fr-FR" w:bidi="fr-FR"/>
        </w:rPr>
        <w:t xml:space="preserve"> </w:t>
      </w:r>
      <w:r w:rsidRPr="00663BEC">
        <w:rPr>
          <w:rFonts w:eastAsia="Times New Roman"/>
          <w:szCs w:val="24"/>
          <w:lang w:val="fr-FR" w:bidi="fr-FR"/>
        </w:rPr>
        <w:t>à tous les types d’utilisateurs du Centre d’échange sur l’accès et le partage des avantages de</w:t>
      </w:r>
      <w:r w:rsidR="007B3887">
        <w:rPr>
          <w:rFonts w:eastAsia="Times New Roman"/>
          <w:szCs w:val="24"/>
          <w:lang w:val="fr-FR" w:bidi="fr-FR"/>
        </w:rPr>
        <w:t>s retours d’information</w:t>
      </w:r>
      <w:r w:rsidRPr="00663BEC">
        <w:rPr>
          <w:rFonts w:eastAsia="Times New Roman"/>
          <w:szCs w:val="24"/>
          <w:lang w:val="fr-FR" w:bidi="fr-FR"/>
        </w:rPr>
        <w:t xml:space="preserve"> sur s</w:t>
      </w:r>
      <w:r w:rsidR="007B3887">
        <w:rPr>
          <w:rFonts w:eastAsia="Times New Roman"/>
          <w:szCs w:val="24"/>
          <w:lang w:val="fr-FR" w:bidi="fr-FR"/>
        </w:rPr>
        <w:t>a mise en œuvre</w:t>
      </w:r>
      <w:r w:rsidRPr="00663BEC">
        <w:rPr>
          <w:rFonts w:eastAsia="Times New Roman"/>
          <w:szCs w:val="24"/>
          <w:lang w:val="fr-FR" w:bidi="fr-FR"/>
        </w:rPr>
        <w:t xml:space="preserve"> et son fonctionnement,</w:t>
      </w:r>
    </w:p>
    <w:p w14:paraId="4B795598" w14:textId="20C8692B"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i/>
          <w:iCs/>
          <w:szCs w:val="24"/>
          <w:lang w:val="fr-FR"/>
        </w:rPr>
        <w:t xml:space="preserve">Rappelant </w:t>
      </w:r>
      <w:r w:rsidR="007F7405">
        <w:rPr>
          <w:rFonts w:eastAsia="Times New Roman"/>
          <w:szCs w:val="24"/>
          <w:lang w:val="fr-FR"/>
        </w:rPr>
        <w:t>s</w:t>
      </w:r>
      <w:r w:rsidRPr="00663BEC">
        <w:rPr>
          <w:rFonts w:eastAsia="Times New Roman"/>
          <w:szCs w:val="24"/>
          <w:lang w:val="fr-FR"/>
        </w:rPr>
        <w:t>a décision</w:t>
      </w:r>
      <w:r w:rsidR="003241C3" w:rsidRPr="003241C3">
        <w:rPr>
          <w:lang w:val="fr-FR"/>
        </w:rPr>
        <w:t xml:space="preserve"> </w:t>
      </w:r>
      <w:hyperlink r:id="rId17" w:history="1">
        <w:r w:rsidR="003241C3" w:rsidRPr="003241C3">
          <w:rPr>
            <w:rStyle w:val="Hyperlink"/>
            <w:lang w:val="fr-FR"/>
          </w:rPr>
          <w:t>NP</w:t>
        </w:r>
        <w:r w:rsidR="003241C3" w:rsidRPr="003241C3">
          <w:rPr>
            <w:rStyle w:val="Hyperlink"/>
            <w:lang w:val="fr-FR"/>
          </w:rPr>
          <w:t>-</w:t>
        </w:r>
        <w:r w:rsidR="003241C3" w:rsidRPr="003241C3">
          <w:rPr>
            <w:rStyle w:val="Hyperlink"/>
            <w:lang w:val="fr-FR"/>
          </w:rPr>
          <w:t>4/3</w:t>
        </w:r>
      </w:hyperlink>
      <w:r w:rsidR="003241C3" w:rsidRPr="003241C3">
        <w:rPr>
          <w:lang w:val="fr-FR"/>
        </w:rPr>
        <w:t xml:space="preserve"> </w:t>
      </w:r>
      <w:r w:rsidRPr="00663BEC">
        <w:rPr>
          <w:rFonts w:eastAsia="Times New Roman"/>
          <w:szCs w:val="24"/>
          <w:lang w:val="fr-FR"/>
        </w:rPr>
        <w:t xml:space="preserve">du 10 décembre 2022, </w:t>
      </w:r>
      <w:r w:rsidR="0006309B">
        <w:rPr>
          <w:rFonts w:eastAsia="Times New Roman"/>
          <w:szCs w:val="24"/>
          <w:lang w:val="fr-FR"/>
        </w:rPr>
        <w:t>par</w:t>
      </w:r>
      <w:r w:rsidRPr="00663BEC">
        <w:rPr>
          <w:rFonts w:eastAsia="Times New Roman"/>
          <w:szCs w:val="24"/>
          <w:lang w:val="fr-FR"/>
        </w:rPr>
        <w:t xml:space="preserve"> laquelle </w:t>
      </w:r>
      <w:r w:rsidR="00072C5F">
        <w:rPr>
          <w:rFonts w:eastAsia="Times New Roman"/>
          <w:szCs w:val="24"/>
          <w:lang w:val="fr-FR" w:bidi="fr-FR"/>
        </w:rPr>
        <w:t xml:space="preserve">elle </w:t>
      </w:r>
      <w:r w:rsidRPr="00663BEC">
        <w:rPr>
          <w:rFonts w:eastAsia="Times New Roman"/>
          <w:szCs w:val="24"/>
          <w:lang w:val="fr-FR"/>
        </w:rPr>
        <w:t xml:space="preserve">a adopté les lignes directrices et le modèle </w:t>
      </w:r>
      <w:r w:rsidR="00AF5659">
        <w:rPr>
          <w:rFonts w:eastAsia="Times New Roman"/>
          <w:szCs w:val="24"/>
          <w:lang w:val="fr-FR"/>
        </w:rPr>
        <w:t>pour le</w:t>
      </w:r>
      <w:r w:rsidRPr="00663BEC">
        <w:rPr>
          <w:rFonts w:eastAsia="Times New Roman"/>
          <w:szCs w:val="24"/>
          <w:lang w:val="fr-FR"/>
        </w:rPr>
        <w:t xml:space="preserve"> premier rapport national sur l</w:t>
      </w:r>
      <w:r w:rsidR="003D525E">
        <w:rPr>
          <w:rFonts w:eastAsia="Times New Roman"/>
          <w:szCs w:val="24"/>
          <w:lang w:val="fr-FR"/>
        </w:rPr>
        <w:t>’application</w:t>
      </w:r>
      <w:r w:rsidRPr="00663BEC">
        <w:rPr>
          <w:rFonts w:eastAsia="Times New Roman"/>
          <w:szCs w:val="24"/>
          <w:lang w:val="fr-FR"/>
        </w:rPr>
        <w:t xml:space="preserve"> du Protocole</w:t>
      </w:r>
      <w:r w:rsidR="00A208FC">
        <w:rPr>
          <w:rFonts w:eastAsia="Times New Roman"/>
          <w:szCs w:val="24"/>
          <w:lang w:val="fr-FR"/>
        </w:rPr>
        <w:t xml:space="preserve"> de Nagoya</w:t>
      </w:r>
      <w:r w:rsidRPr="00663BEC">
        <w:rPr>
          <w:rFonts w:eastAsia="Times New Roman"/>
          <w:szCs w:val="24"/>
          <w:lang w:val="fr-FR"/>
        </w:rPr>
        <w:t>,</w:t>
      </w:r>
    </w:p>
    <w:p w14:paraId="08D5892E" w14:textId="1F95681D"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i/>
          <w:szCs w:val="24"/>
          <w:lang w:val="fr-FR" w:bidi="fr-FR"/>
        </w:rPr>
        <w:lastRenderedPageBreak/>
        <w:t xml:space="preserve">Rappelant en outre </w:t>
      </w:r>
      <w:r w:rsidR="00AF5659">
        <w:rPr>
          <w:rFonts w:eastAsia="Times New Roman"/>
          <w:szCs w:val="24"/>
          <w:lang w:val="fr-FR" w:bidi="fr-FR"/>
        </w:rPr>
        <w:t xml:space="preserve">sa </w:t>
      </w:r>
      <w:r w:rsidRPr="00663BEC">
        <w:rPr>
          <w:rFonts w:eastAsia="Times New Roman"/>
          <w:szCs w:val="24"/>
          <w:lang w:val="fr-FR" w:bidi="fr-FR"/>
        </w:rPr>
        <w:t>décision</w:t>
      </w:r>
      <w:r w:rsidR="007D4F03" w:rsidRPr="007D4F03">
        <w:rPr>
          <w:lang w:val="fr-FR"/>
        </w:rPr>
        <w:t xml:space="preserve"> </w:t>
      </w:r>
      <w:hyperlink r:id="rId18" w:history="1">
        <w:r w:rsidR="007D4F03" w:rsidRPr="007D4F03">
          <w:rPr>
            <w:rStyle w:val="Hyperlink"/>
            <w:lang w:val="fr-FR"/>
          </w:rPr>
          <w:t>N</w:t>
        </w:r>
        <w:r w:rsidR="007D4F03" w:rsidRPr="007D4F03">
          <w:rPr>
            <w:rStyle w:val="Hyperlink"/>
            <w:lang w:val="fr-FR"/>
          </w:rPr>
          <w:t>P</w:t>
        </w:r>
        <w:r w:rsidR="007D4F03" w:rsidRPr="007D4F03">
          <w:rPr>
            <w:rStyle w:val="Hyperlink"/>
            <w:lang w:val="fr-FR"/>
          </w:rPr>
          <w:t>-4/6</w:t>
        </w:r>
      </w:hyperlink>
      <w:r w:rsidR="007D4F03" w:rsidRPr="007D4F03">
        <w:rPr>
          <w:lang w:val="fr-FR"/>
        </w:rPr>
        <w:t xml:space="preserve"> </w:t>
      </w:r>
      <w:r w:rsidR="00FC0CCC" w:rsidRPr="00663BEC">
        <w:rPr>
          <w:rFonts w:eastAsia="Times New Roman"/>
          <w:lang w:val="fr-FR"/>
        </w:rPr>
        <w:t>du 19 décembre 2022</w:t>
      </w:r>
      <w:r w:rsidR="00FC0CCC">
        <w:rPr>
          <w:rFonts w:eastAsia="Times New Roman"/>
          <w:lang w:val="fr-FR"/>
        </w:rPr>
        <w:t xml:space="preserve"> et la décision</w:t>
      </w:r>
      <w:r w:rsidR="005903B0" w:rsidRPr="005903B0">
        <w:rPr>
          <w:lang w:val="fr-FR"/>
        </w:rPr>
        <w:t xml:space="preserve"> </w:t>
      </w:r>
      <w:hyperlink r:id="rId19" w:history="1">
        <w:r w:rsidR="005903B0" w:rsidRPr="005903B0">
          <w:rPr>
            <w:rStyle w:val="Hyperlink"/>
            <w:lang w:val="fr-FR"/>
          </w:rPr>
          <w:t>1</w:t>
        </w:r>
        <w:r w:rsidR="005903B0" w:rsidRPr="005903B0">
          <w:rPr>
            <w:rStyle w:val="Hyperlink"/>
            <w:lang w:val="fr-FR"/>
          </w:rPr>
          <w:t>5</w:t>
        </w:r>
        <w:r w:rsidR="005903B0" w:rsidRPr="005903B0">
          <w:rPr>
            <w:rStyle w:val="Hyperlink"/>
            <w:lang w:val="fr-FR"/>
          </w:rPr>
          <w:t>/9</w:t>
        </w:r>
      </w:hyperlink>
      <w:r w:rsidR="00FC0CCC">
        <w:rPr>
          <w:rFonts w:eastAsia="Times New Roman"/>
          <w:lang w:val="fr-FR"/>
        </w:rPr>
        <w:t xml:space="preserve"> </w:t>
      </w:r>
      <w:r w:rsidRPr="00663BEC">
        <w:rPr>
          <w:rFonts w:eastAsia="Times New Roman"/>
          <w:szCs w:val="24"/>
          <w:lang w:val="fr-FR"/>
        </w:rPr>
        <w:t>du 19</w:t>
      </w:r>
      <w:r w:rsidR="005903B0">
        <w:rPr>
          <w:rFonts w:eastAsia="Times New Roman"/>
          <w:szCs w:val="24"/>
          <w:lang w:val="fr-FR"/>
        </w:rPr>
        <w:t> </w:t>
      </w:r>
      <w:r w:rsidRPr="00663BEC">
        <w:rPr>
          <w:rFonts w:eastAsia="Times New Roman"/>
          <w:szCs w:val="24"/>
          <w:lang w:val="fr-FR"/>
        </w:rPr>
        <w:t xml:space="preserve">décembre 2022 </w:t>
      </w:r>
      <w:r w:rsidRPr="00663BEC">
        <w:rPr>
          <w:rFonts w:eastAsia="Times New Roman"/>
          <w:lang w:val="fr-FR"/>
        </w:rPr>
        <w:t xml:space="preserve">de la </w:t>
      </w:r>
      <w:r w:rsidRPr="00663BEC">
        <w:rPr>
          <w:rFonts w:eastAsia="Times New Roman"/>
          <w:szCs w:val="24"/>
          <w:lang w:val="fr-FR" w:bidi="fr-FR"/>
        </w:rPr>
        <w:t>Conférence des Parties, qui port</w:t>
      </w:r>
      <w:r w:rsidR="00E627E9">
        <w:rPr>
          <w:rFonts w:eastAsia="Times New Roman"/>
          <w:szCs w:val="24"/>
          <w:lang w:val="fr-FR" w:bidi="fr-FR"/>
        </w:rPr>
        <w:t>ent</w:t>
      </w:r>
      <w:r w:rsidR="005903B0">
        <w:rPr>
          <w:rFonts w:eastAsia="Times New Roman"/>
          <w:szCs w:val="24"/>
          <w:lang w:val="fr-FR" w:bidi="fr-FR"/>
        </w:rPr>
        <w:t xml:space="preserve"> chacune</w:t>
      </w:r>
      <w:r w:rsidRPr="00663BEC">
        <w:rPr>
          <w:rFonts w:eastAsia="Times New Roman"/>
          <w:szCs w:val="24"/>
          <w:lang w:val="fr-FR" w:bidi="fr-FR"/>
        </w:rPr>
        <w:t xml:space="preserve"> sur </w:t>
      </w:r>
      <w:r w:rsidRPr="00663BEC">
        <w:rPr>
          <w:rFonts w:eastAsia="Times New Roman"/>
          <w:szCs w:val="24"/>
          <w:lang w:val="fr-FR"/>
        </w:rPr>
        <w:t>l’information de séquençage numérique sur les ressources génétiques</w:t>
      </w:r>
      <w:bookmarkStart w:id="3" w:name="_Hlk167636360"/>
      <w:r w:rsidRPr="00663BEC">
        <w:rPr>
          <w:rFonts w:eastAsia="Times New Roman"/>
          <w:szCs w:val="24"/>
          <w:lang w:val="fr-FR"/>
        </w:rPr>
        <w:t>,</w:t>
      </w:r>
      <w:bookmarkEnd w:id="3"/>
    </w:p>
    <w:p w14:paraId="26CF0944" w14:textId="0DC6E198" w:rsidR="00663BEC" w:rsidRPr="00663BEC" w:rsidRDefault="00663BEC" w:rsidP="007C02DD">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1.</w:t>
      </w:r>
      <w:r w:rsidRPr="00663BEC">
        <w:rPr>
          <w:rFonts w:eastAsia="Times New Roman"/>
          <w:szCs w:val="24"/>
          <w:lang w:val="fr-FR" w:bidi="fr-FR"/>
        </w:rPr>
        <w:tab/>
      </w:r>
      <w:r w:rsidRPr="00663BEC">
        <w:rPr>
          <w:rFonts w:eastAsia="Times New Roman"/>
          <w:i/>
          <w:szCs w:val="24"/>
          <w:lang w:val="fr-FR" w:bidi="fr-FR"/>
        </w:rPr>
        <w:t xml:space="preserve">Décide </w:t>
      </w:r>
      <w:r w:rsidRPr="00663BEC">
        <w:rPr>
          <w:rFonts w:eastAsia="Times New Roman"/>
          <w:szCs w:val="24"/>
          <w:lang w:val="fr-FR" w:bidi="fr-FR"/>
        </w:rPr>
        <w:t xml:space="preserve">de procéder à la deuxième évaluation et </w:t>
      </w:r>
      <w:r w:rsidR="005903B0">
        <w:rPr>
          <w:rFonts w:eastAsia="Times New Roman"/>
          <w:szCs w:val="24"/>
          <w:lang w:val="fr-FR" w:bidi="fr-FR"/>
        </w:rPr>
        <w:t xml:space="preserve">examen </w:t>
      </w:r>
      <w:r w:rsidRPr="00663BEC">
        <w:rPr>
          <w:rFonts w:eastAsia="Times New Roman"/>
          <w:szCs w:val="24"/>
          <w:lang w:val="fr-FR" w:bidi="fr-FR"/>
        </w:rPr>
        <w:t>de l’efficacité du Protocole de Nagoya sur l’accès aux ressources génétiques et le partage juste et équitable des avantages découlant de leur utilisation</w:t>
      </w:r>
      <w:r w:rsidR="00CE4FB6">
        <w:rPr>
          <w:rFonts w:eastAsia="Times New Roman"/>
          <w:szCs w:val="24"/>
          <w:lang w:val="fr-FR" w:bidi="fr-FR"/>
        </w:rPr>
        <w:t xml:space="preserve">, </w:t>
      </w:r>
      <w:r w:rsidRPr="00663BEC">
        <w:rPr>
          <w:rFonts w:eastAsia="Times New Roman"/>
          <w:szCs w:val="24"/>
          <w:lang w:val="fr-FR" w:bidi="fr-FR"/>
        </w:rPr>
        <w:t xml:space="preserve">sur la base des éléments figurant </w:t>
      </w:r>
      <w:r w:rsidR="00CE4FB6">
        <w:rPr>
          <w:rFonts w:eastAsia="Times New Roman"/>
          <w:szCs w:val="24"/>
          <w:lang w:val="fr-FR" w:bidi="fr-FR"/>
        </w:rPr>
        <w:t>dans</w:t>
      </w:r>
      <w:r w:rsidRPr="00663BEC">
        <w:rPr>
          <w:rFonts w:eastAsia="Times New Roman"/>
          <w:szCs w:val="24"/>
          <w:lang w:val="fr-FR" w:bidi="fr-FR"/>
        </w:rPr>
        <w:t xml:space="preserve"> l’annexe </w:t>
      </w:r>
      <w:r w:rsidR="00CE4FB6">
        <w:rPr>
          <w:rFonts w:eastAsia="Times New Roman"/>
          <w:szCs w:val="24"/>
          <w:lang w:val="fr-FR" w:bidi="fr-FR"/>
        </w:rPr>
        <w:t>à</w:t>
      </w:r>
      <w:r w:rsidRPr="00663BEC">
        <w:rPr>
          <w:rFonts w:eastAsia="Times New Roman"/>
          <w:szCs w:val="24"/>
          <w:lang w:val="fr-FR" w:bidi="fr-FR"/>
        </w:rPr>
        <w:t xml:space="preserve"> la présente décision; </w:t>
      </w:r>
    </w:p>
    <w:p w14:paraId="6FA34128" w14:textId="2B63856D" w:rsidR="00663BEC" w:rsidRPr="00663BEC" w:rsidRDefault="00663BEC" w:rsidP="007C02DD">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2.</w:t>
      </w:r>
      <w:r w:rsidRPr="00663BEC">
        <w:rPr>
          <w:rFonts w:eastAsia="Times New Roman"/>
          <w:szCs w:val="24"/>
          <w:lang w:val="fr-FR" w:bidi="fr-FR"/>
        </w:rPr>
        <w:tab/>
      </w:r>
      <w:r w:rsidRPr="00663BEC">
        <w:rPr>
          <w:rFonts w:eastAsia="Times New Roman"/>
          <w:i/>
          <w:szCs w:val="24"/>
          <w:lang w:val="fr-FR" w:bidi="fr-FR"/>
        </w:rPr>
        <w:t xml:space="preserve">Prie instamment </w:t>
      </w:r>
      <w:r w:rsidRPr="00663BEC">
        <w:rPr>
          <w:rFonts w:eastAsia="Times New Roman"/>
          <w:szCs w:val="24"/>
          <w:lang w:val="fr-FR" w:bidi="fr-FR"/>
        </w:rPr>
        <w:t xml:space="preserve">les Parties et encourage les autres gouvernements, les organisations compétentes, les peuples autochtones et communautés locales, et les représentants des femmes et des jeunes à publier des informations </w:t>
      </w:r>
      <w:r w:rsidR="007C02DD">
        <w:rPr>
          <w:rFonts w:eastAsia="Times New Roman"/>
          <w:szCs w:val="24"/>
          <w:lang w:val="fr-FR" w:bidi="fr-FR"/>
        </w:rPr>
        <w:t>dans</w:t>
      </w:r>
      <w:r w:rsidRPr="00663BEC">
        <w:rPr>
          <w:rFonts w:eastAsia="Times New Roman"/>
          <w:szCs w:val="24"/>
          <w:lang w:val="fr-FR" w:bidi="fr-FR"/>
        </w:rPr>
        <w:t xml:space="preserve"> le Centre d’échange sur l’accès et le partage des avantages</w:t>
      </w:r>
      <w:r w:rsidR="007C02DD">
        <w:rPr>
          <w:rFonts w:eastAsia="Times New Roman"/>
          <w:szCs w:val="24"/>
          <w:lang w:val="fr-FR" w:bidi="fr-FR"/>
        </w:rPr>
        <w:t>,</w:t>
      </w:r>
      <w:r w:rsidRPr="00663BEC">
        <w:rPr>
          <w:rFonts w:eastAsia="Times New Roman"/>
          <w:szCs w:val="24"/>
          <w:lang w:val="fr-FR" w:bidi="fr-FR"/>
        </w:rPr>
        <w:t xml:space="preserve"> afin qu’elles soient disponibles pour la deuxième évaluation et examen de l’efficacité du Protocole</w:t>
      </w:r>
      <w:r w:rsidR="001A4E66">
        <w:rPr>
          <w:rFonts w:eastAsia="Times New Roman"/>
          <w:szCs w:val="24"/>
          <w:lang w:val="fr-FR" w:bidi="fr-FR"/>
        </w:rPr>
        <w:t xml:space="preserve"> de Nagoya</w:t>
      </w:r>
      <w:r w:rsidRPr="00663BEC">
        <w:rPr>
          <w:rFonts w:eastAsia="Times New Roman"/>
          <w:szCs w:val="24"/>
          <w:lang w:val="fr-FR" w:bidi="fr-FR"/>
        </w:rPr>
        <w:t>;</w:t>
      </w:r>
    </w:p>
    <w:p w14:paraId="65078900" w14:textId="49F8BB42" w:rsidR="00663BEC" w:rsidRPr="00663BEC" w:rsidRDefault="00663BEC" w:rsidP="007C02DD">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3.</w:t>
      </w:r>
      <w:r w:rsidRPr="00663BEC">
        <w:rPr>
          <w:rFonts w:eastAsia="Times New Roman"/>
          <w:szCs w:val="24"/>
          <w:lang w:val="fr-FR" w:bidi="fr-FR"/>
        </w:rPr>
        <w:tab/>
      </w:r>
      <w:r w:rsidRPr="00663BEC">
        <w:rPr>
          <w:rFonts w:eastAsia="Times New Roman"/>
          <w:i/>
          <w:szCs w:val="24"/>
          <w:lang w:val="fr-FR" w:bidi="fr-FR"/>
        </w:rPr>
        <w:t>Souligne</w:t>
      </w:r>
      <w:r w:rsidRPr="00663BEC">
        <w:rPr>
          <w:rFonts w:eastAsia="Times New Roman"/>
          <w:szCs w:val="24"/>
          <w:lang w:val="fr-FR" w:bidi="fr-FR"/>
        </w:rPr>
        <w:t xml:space="preserve"> </w:t>
      </w:r>
      <w:r w:rsidR="00AB5088">
        <w:rPr>
          <w:rFonts w:eastAsia="Times New Roman"/>
          <w:szCs w:val="24"/>
          <w:lang w:val="fr-FR" w:bidi="fr-FR"/>
        </w:rPr>
        <w:t xml:space="preserve">le fait </w:t>
      </w:r>
      <w:r w:rsidRPr="00663BEC">
        <w:rPr>
          <w:rFonts w:eastAsia="Times New Roman"/>
          <w:szCs w:val="24"/>
          <w:lang w:val="fr-FR" w:bidi="fr-FR"/>
        </w:rPr>
        <w:t xml:space="preserve">que les Parties devraient </w:t>
      </w:r>
      <w:r w:rsidR="008E5D30">
        <w:rPr>
          <w:rFonts w:eastAsia="Times New Roman"/>
          <w:szCs w:val="24"/>
          <w:lang w:val="fr-FR" w:bidi="fr-FR"/>
        </w:rPr>
        <w:t>remettre</w:t>
      </w:r>
      <w:r w:rsidRPr="00663BEC">
        <w:rPr>
          <w:rFonts w:eastAsia="Times New Roman"/>
          <w:szCs w:val="24"/>
          <w:lang w:val="fr-FR" w:bidi="fr-FR"/>
        </w:rPr>
        <w:t xml:space="preserve"> leurs premiers rapports nationaux sur l</w:t>
      </w:r>
      <w:r w:rsidR="008E5D30">
        <w:rPr>
          <w:rFonts w:eastAsia="Times New Roman"/>
          <w:szCs w:val="24"/>
          <w:lang w:val="fr-FR" w:bidi="fr-FR"/>
        </w:rPr>
        <w:t>’application</w:t>
      </w:r>
      <w:r w:rsidRPr="00663BEC">
        <w:rPr>
          <w:rFonts w:eastAsia="Times New Roman"/>
          <w:szCs w:val="24"/>
          <w:lang w:val="fr-FR" w:bidi="fr-FR"/>
        </w:rPr>
        <w:t xml:space="preserve"> du Protocole </w:t>
      </w:r>
      <w:r w:rsidR="001A4E66">
        <w:rPr>
          <w:rFonts w:eastAsia="Times New Roman"/>
          <w:szCs w:val="24"/>
          <w:lang w:val="fr-FR" w:bidi="fr-FR"/>
        </w:rPr>
        <w:t xml:space="preserve">de Nagoya </w:t>
      </w:r>
      <w:r w:rsidRPr="00663BEC">
        <w:rPr>
          <w:rFonts w:eastAsia="Times New Roman"/>
          <w:szCs w:val="24"/>
          <w:lang w:val="fr-FR" w:bidi="fr-FR"/>
        </w:rPr>
        <w:t xml:space="preserve">au plus tard le </w:t>
      </w:r>
      <w:r w:rsidRPr="00663BEC">
        <w:rPr>
          <w:rFonts w:eastAsia="Times New Roman"/>
          <w:szCs w:val="24"/>
          <w:lang w:val="fr-FR"/>
        </w:rPr>
        <w:t>28 février 2026</w:t>
      </w:r>
      <w:r w:rsidR="008E5D30">
        <w:rPr>
          <w:rFonts w:eastAsia="Times New Roman"/>
          <w:szCs w:val="24"/>
          <w:lang w:val="fr-FR"/>
        </w:rPr>
        <w:t>,</w:t>
      </w:r>
      <w:r w:rsidR="00F26D04">
        <w:rPr>
          <w:rFonts w:eastAsia="Times New Roman"/>
          <w:szCs w:val="24"/>
          <w:lang w:val="fr-FR"/>
        </w:rPr>
        <w:t xml:space="preserve"> </w:t>
      </w:r>
      <w:r w:rsidRPr="00663BEC">
        <w:rPr>
          <w:rFonts w:eastAsia="Times New Roman"/>
          <w:szCs w:val="24"/>
          <w:lang w:val="fr-FR"/>
        </w:rPr>
        <w:t xml:space="preserve">afin de faciliter l’analyse </w:t>
      </w:r>
      <w:r w:rsidR="00810CB0">
        <w:rPr>
          <w:rFonts w:eastAsia="Times New Roman"/>
          <w:szCs w:val="24"/>
          <w:lang w:val="fr-FR"/>
        </w:rPr>
        <w:t>pour</w:t>
      </w:r>
      <w:r w:rsidRPr="00663BEC">
        <w:rPr>
          <w:rFonts w:eastAsia="Times New Roman"/>
          <w:szCs w:val="24"/>
          <w:lang w:val="fr-FR"/>
        </w:rPr>
        <w:t xml:space="preserve"> </w:t>
      </w:r>
      <w:r w:rsidRPr="00663BEC">
        <w:rPr>
          <w:rFonts w:eastAsia="Times New Roman"/>
          <w:szCs w:val="24"/>
          <w:lang w:val="fr-FR" w:bidi="fr-FR"/>
        </w:rPr>
        <w:t>la deuxième évaluation et examen de l’efficacité du Protocole</w:t>
      </w:r>
      <w:r w:rsidR="00E2167F">
        <w:rPr>
          <w:rFonts w:eastAsia="Times New Roman"/>
          <w:szCs w:val="24"/>
          <w:lang w:val="fr-FR" w:bidi="fr-FR"/>
        </w:rPr>
        <w:t xml:space="preserve"> de Nagoya</w:t>
      </w:r>
      <w:r w:rsidRPr="00663BEC">
        <w:rPr>
          <w:rFonts w:eastAsia="Times New Roman"/>
          <w:szCs w:val="24"/>
          <w:lang w:val="fr-FR" w:bidi="fr-FR"/>
        </w:rPr>
        <w:t>;</w:t>
      </w:r>
    </w:p>
    <w:p w14:paraId="6D1FAD5F" w14:textId="61ACC1B4" w:rsidR="00663BEC" w:rsidRPr="00663BEC" w:rsidRDefault="00663BEC" w:rsidP="00810CB0">
      <w:pPr>
        <w:tabs>
          <w:tab w:val="clear" w:pos="567"/>
          <w:tab w:val="clear" w:pos="1134"/>
          <w:tab w:val="clear" w:pos="2268"/>
        </w:tabs>
        <w:spacing w:before="120" w:after="120"/>
        <w:ind w:left="567" w:firstLine="567"/>
        <w:rPr>
          <w:rFonts w:eastAsia="Times New Roman"/>
          <w:szCs w:val="24"/>
          <w:vertAlign w:val="superscript"/>
          <w:lang w:val="fr-FR"/>
        </w:rPr>
      </w:pPr>
      <w:r w:rsidRPr="00663BEC">
        <w:rPr>
          <w:rFonts w:eastAsia="Times New Roman"/>
          <w:szCs w:val="24"/>
          <w:lang w:val="fr-FR" w:bidi="fr-FR"/>
        </w:rPr>
        <w:t>4.</w:t>
      </w:r>
      <w:r w:rsidRPr="00663BEC">
        <w:rPr>
          <w:rFonts w:eastAsia="Times New Roman"/>
          <w:szCs w:val="24"/>
          <w:lang w:val="fr-FR" w:bidi="fr-FR"/>
        </w:rPr>
        <w:tab/>
      </w:r>
      <w:r w:rsidRPr="00663BEC">
        <w:rPr>
          <w:rFonts w:eastAsia="Times New Roman"/>
          <w:i/>
          <w:szCs w:val="24"/>
          <w:lang w:val="fr-FR" w:bidi="fr-FR"/>
        </w:rPr>
        <w:t xml:space="preserve">Prie instamment </w:t>
      </w:r>
      <w:r w:rsidRPr="00663BEC">
        <w:rPr>
          <w:rFonts w:eastAsia="Times New Roman"/>
          <w:szCs w:val="24"/>
          <w:lang w:val="fr-FR" w:bidi="fr-FR"/>
        </w:rPr>
        <w:t xml:space="preserve">les Parties </w:t>
      </w:r>
      <w:r w:rsidR="00810CB0">
        <w:rPr>
          <w:rFonts w:eastAsia="Times New Roman"/>
          <w:szCs w:val="24"/>
          <w:lang w:val="fr-FR" w:bidi="fr-FR"/>
        </w:rPr>
        <w:t>admissibles</w:t>
      </w:r>
      <w:r w:rsidRPr="00663BEC">
        <w:rPr>
          <w:rFonts w:eastAsia="Times New Roman"/>
          <w:szCs w:val="24"/>
          <w:lang w:val="fr-FR" w:bidi="fr-FR"/>
        </w:rPr>
        <w:t xml:space="preserve"> de </w:t>
      </w:r>
      <w:r w:rsidR="00810CB0">
        <w:rPr>
          <w:rFonts w:eastAsia="Times New Roman"/>
          <w:szCs w:val="24"/>
          <w:lang w:val="fr-FR" w:bidi="fr-FR"/>
        </w:rPr>
        <w:t>re</w:t>
      </w:r>
      <w:r w:rsidRPr="00663BEC">
        <w:rPr>
          <w:rFonts w:eastAsia="Times New Roman"/>
          <w:szCs w:val="24"/>
          <w:lang w:val="fr-FR" w:bidi="fr-FR"/>
        </w:rPr>
        <w:t>mettre leurs lettres d’</w:t>
      </w:r>
      <w:r w:rsidR="007E31C4">
        <w:rPr>
          <w:rFonts w:eastAsia="Times New Roman"/>
          <w:szCs w:val="24"/>
          <w:lang w:val="fr-FR" w:bidi="fr-FR"/>
        </w:rPr>
        <w:t>approbation</w:t>
      </w:r>
      <w:r w:rsidRPr="00663BEC">
        <w:rPr>
          <w:rFonts w:eastAsia="Times New Roman"/>
          <w:szCs w:val="24"/>
          <w:lang w:val="fr-FR" w:bidi="fr-FR"/>
        </w:rPr>
        <w:t xml:space="preserve"> à l’organisme d’exécution en temps voulu</w:t>
      </w:r>
      <w:r w:rsidR="0007653C">
        <w:rPr>
          <w:rFonts w:eastAsia="Times New Roman"/>
          <w:szCs w:val="24"/>
          <w:lang w:val="fr-FR" w:bidi="fr-FR"/>
        </w:rPr>
        <w:t>,</w:t>
      </w:r>
      <w:r w:rsidRPr="00663BEC">
        <w:rPr>
          <w:rFonts w:eastAsia="Times New Roman"/>
          <w:szCs w:val="24"/>
          <w:lang w:val="fr-FR" w:bidi="fr-FR"/>
        </w:rPr>
        <w:t xml:space="preserve"> pour</w:t>
      </w:r>
      <w:r w:rsidR="006A750C">
        <w:rPr>
          <w:rFonts w:eastAsia="Times New Roman"/>
          <w:szCs w:val="24"/>
          <w:lang w:val="fr-FR" w:bidi="fr-FR"/>
        </w:rPr>
        <w:t xml:space="preserve"> faire en sorte</w:t>
      </w:r>
      <w:r w:rsidRPr="00663BEC">
        <w:rPr>
          <w:rFonts w:eastAsia="Times New Roman"/>
          <w:szCs w:val="24"/>
          <w:lang w:val="fr-FR" w:bidi="fr-FR"/>
        </w:rPr>
        <w:t xml:space="preserve"> que les projets visant à appuyer l’é</w:t>
      </w:r>
      <w:r w:rsidR="0007653C">
        <w:rPr>
          <w:rFonts w:eastAsia="Times New Roman"/>
          <w:szCs w:val="24"/>
          <w:lang w:val="fr-FR" w:bidi="fr-FR"/>
        </w:rPr>
        <w:t>tablissement</w:t>
      </w:r>
      <w:r w:rsidRPr="00663BEC">
        <w:rPr>
          <w:rFonts w:eastAsia="Times New Roman"/>
          <w:szCs w:val="24"/>
          <w:lang w:val="fr-FR" w:bidi="fr-FR"/>
        </w:rPr>
        <w:t xml:space="preserve"> de leurs premiers rapports nationaux soient </w:t>
      </w:r>
      <w:r w:rsidR="0007653C">
        <w:rPr>
          <w:rFonts w:eastAsia="Times New Roman"/>
          <w:szCs w:val="24"/>
          <w:lang w:val="fr-FR" w:bidi="fr-FR"/>
        </w:rPr>
        <w:t>transmi</w:t>
      </w:r>
      <w:r w:rsidRPr="00663BEC">
        <w:rPr>
          <w:rFonts w:eastAsia="Times New Roman"/>
          <w:szCs w:val="24"/>
          <w:lang w:val="fr-FR" w:bidi="fr-FR"/>
        </w:rPr>
        <w:t xml:space="preserve">s au Fonds pour l’environnement mondial pour approbation bien avant la date limite de </w:t>
      </w:r>
      <w:r w:rsidR="002D58E2">
        <w:rPr>
          <w:rFonts w:eastAsia="Times New Roman"/>
          <w:szCs w:val="24"/>
          <w:lang w:val="fr-FR" w:bidi="fr-FR"/>
        </w:rPr>
        <w:t>remise</w:t>
      </w:r>
      <w:r w:rsidRPr="00663BEC">
        <w:rPr>
          <w:rFonts w:eastAsia="Times New Roman"/>
          <w:szCs w:val="24"/>
          <w:lang w:val="fr-FR" w:bidi="fr-FR"/>
        </w:rPr>
        <w:t xml:space="preserve"> des rapports; </w:t>
      </w:r>
    </w:p>
    <w:p w14:paraId="734B16AF" w14:textId="5D12460C" w:rsidR="00663BEC" w:rsidRPr="00663BEC" w:rsidRDefault="00663BEC" w:rsidP="00810CB0">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5.</w:t>
      </w:r>
      <w:r w:rsidRPr="00663BEC">
        <w:rPr>
          <w:rFonts w:eastAsia="Times New Roman"/>
          <w:szCs w:val="24"/>
          <w:lang w:val="fr-FR" w:bidi="fr-FR"/>
        </w:rPr>
        <w:tab/>
      </w:r>
      <w:r w:rsidRPr="00663BEC">
        <w:rPr>
          <w:rFonts w:eastAsia="Times New Roman"/>
          <w:i/>
          <w:szCs w:val="24"/>
          <w:lang w:val="fr-FR" w:bidi="fr-FR"/>
        </w:rPr>
        <w:t xml:space="preserve">Prie </w:t>
      </w:r>
      <w:r w:rsidRPr="00663BEC">
        <w:rPr>
          <w:rFonts w:eastAsia="Times New Roman"/>
          <w:szCs w:val="24"/>
          <w:lang w:val="fr-FR" w:bidi="fr-FR"/>
        </w:rPr>
        <w:t>le Fonds pour l’environnement mondial et les organismes d’exécution de faciliter les processus pertinents en temps voulu</w:t>
      </w:r>
      <w:r w:rsidR="00B776B6">
        <w:rPr>
          <w:rFonts w:eastAsia="Times New Roman"/>
          <w:szCs w:val="24"/>
          <w:lang w:val="fr-FR" w:bidi="fr-FR"/>
        </w:rPr>
        <w:t>,</w:t>
      </w:r>
      <w:r w:rsidRPr="00663BEC">
        <w:rPr>
          <w:rFonts w:eastAsia="Times New Roman"/>
          <w:szCs w:val="24"/>
          <w:lang w:val="fr-FR" w:bidi="fr-FR"/>
        </w:rPr>
        <w:t xml:space="preserve"> </w:t>
      </w:r>
      <w:r w:rsidR="006A750C">
        <w:rPr>
          <w:rFonts w:eastAsia="Times New Roman"/>
          <w:szCs w:val="24"/>
          <w:lang w:val="fr-FR" w:bidi="fr-FR"/>
        </w:rPr>
        <w:t>pour faire en sorte</w:t>
      </w:r>
      <w:r w:rsidRPr="00663BEC">
        <w:rPr>
          <w:rFonts w:eastAsia="Times New Roman"/>
          <w:szCs w:val="24"/>
          <w:lang w:val="fr-FR" w:bidi="fr-FR"/>
        </w:rPr>
        <w:t xml:space="preserve"> qu</w:t>
      </w:r>
      <w:r w:rsidR="005D66F0">
        <w:rPr>
          <w:rFonts w:eastAsia="Times New Roman"/>
          <w:szCs w:val="24"/>
          <w:lang w:val="fr-FR" w:bidi="fr-FR"/>
        </w:rPr>
        <w:t>’un appui soit fourni aux</w:t>
      </w:r>
      <w:r w:rsidRPr="00663BEC">
        <w:rPr>
          <w:rFonts w:eastAsia="Times New Roman"/>
          <w:szCs w:val="24"/>
          <w:lang w:val="fr-FR" w:bidi="fr-FR"/>
        </w:rPr>
        <w:t xml:space="preserve"> Parties qui </w:t>
      </w:r>
      <w:r w:rsidR="00B776B6">
        <w:rPr>
          <w:rFonts w:eastAsia="Times New Roman"/>
          <w:szCs w:val="24"/>
          <w:lang w:val="fr-FR" w:bidi="fr-FR"/>
        </w:rPr>
        <w:t>remett</w:t>
      </w:r>
      <w:r w:rsidRPr="00663BEC">
        <w:rPr>
          <w:rFonts w:eastAsia="Times New Roman"/>
          <w:szCs w:val="24"/>
          <w:lang w:val="fr-FR" w:bidi="fr-FR"/>
        </w:rPr>
        <w:t>ent leurs lettres d’</w:t>
      </w:r>
      <w:r w:rsidR="00917F89">
        <w:rPr>
          <w:rFonts w:eastAsia="Times New Roman"/>
          <w:szCs w:val="24"/>
          <w:lang w:val="fr-FR" w:bidi="fr-FR"/>
        </w:rPr>
        <w:t>approbation</w:t>
      </w:r>
      <w:r w:rsidRPr="00663BEC">
        <w:rPr>
          <w:rFonts w:eastAsia="Times New Roman"/>
          <w:szCs w:val="24"/>
          <w:lang w:val="fr-FR" w:bidi="fr-FR"/>
        </w:rPr>
        <w:t>;</w:t>
      </w:r>
    </w:p>
    <w:p w14:paraId="22B23D79" w14:textId="54694EEC" w:rsidR="00663BEC" w:rsidRPr="00663BEC" w:rsidRDefault="00663BEC" w:rsidP="00810CB0">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6.</w:t>
      </w:r>
      <w:r w:rsidRPr="00663BEC">
        <w:rPr>
          <w:rFonts w:eastAsia="Times New Roman"/>
          <w:szCs w:val="24"/>
          <w:lang w:val="fr-FR" w:bidi="fr-FR"/>
        </w:rPr>
        <w:tab/>
      </w:r>
      <w:r w:rsidRPr="00663BEC">
        <w:rPr>
          <w:rFonts w:eastAsia="Times New Roman"/>
          <w:i/>
          <w:szCs w:val="24"/>
          <w:lang w:val="fr-FR" w:bidi="fr-FR"/>
        </w:rPr>
        <w:t xml:space="preserve">Invite </w:t>
      </w:r>
      <w:r w:rsidRPr="00663BEC">
        <w:rPr>
          <w:rFonts w:eastAsia="Times New Roman"/>
          <w:szCs w:val="24"/>
          <w:lang w:val="fr-FR" w:bidi="fr-FR"/>
        </w:rPr>
        <w:t>les Parties, les autres gouvernements, les peuples autochtones et communautés locales, les représentants des femmes et des jeunes ainsi que les parties prenantes et les autres organisations, à répondre aux enquêtes ciblées</w:t>
      </w:r>
      <w:r w:rsidR="00CB0697">
        <w:rPr>
          <w:rFonts w:eastAsia="Times New Roman"/>
          <w:szCs w:val="24"/>
          <w:lang w:val="fr-FR" w:bidi="fr-FR"/>
        </w:rPr>
        <w:t xml:space="preserve"> et aux actions</w:t>
      </w:r>
      <w:r w:rsidRPr="00663BEC">
        <w:rPr>
          <w:rFonts w:eastAsia="Times New Roman"/>
          <w:szCs w:val="24"/>
          <w:lang w:val="fr-FR" w:bidi="fr-FR"/>
        </w:rPr>
        <w:t xml:space="preserve"> qui seront menées par la Secrétaire exécutive </w:t>
      </w:r>
      <w:r w:rsidR="00F86764">
        <w:rPr>
          <w:rFonts w:eastAsia="Times New Roman"/>
          <w:szCs w:val="24"/>
          <w:lang w:val="fr-FR" w:bidi="fr-FR"/>
        </w:rPr>
        <w:t xml:space="preserve">de la Convention </w:t>
      </w:r>
      <w:r w:rsidRPr="00663BEC">
        <w:rPr>
          <w:rFonts w:eastAsia="Times New Roman"/>
          <w:szCs w:val="24"/>
          <w:lang w:val="fr-FR" w:bidi="fr-FR"/>
        </w:rPr>
        <w:t>en application des paragraphes 18 a) et 20</w:t>
      </w:r>
      <w:r w:rsidR="003E2A09">
        <w:rPr>
          <w:rFonts w:eastAsia="Times New Roman"/>
          <w:szCs w:val="24"/>
          <w:lang w:val="fr-FR" w:bidi="fr-FR"/>
        </w:rPr>
        <w:t> </w:t>
      </w:r>
      <w:r w:rsidRPr="00663BEC">
        <w:rPr>
          <w:rFonts w:eastAsia="Times New Roman"/>
          <w:szCs w:val="24"/>
          <w:lang w:val="fr-FR" w:bidi="fr-FR"/>
        </w:rPr>
        <w:t>c) de la décision</w:t>
      </w:r>
      <w:r w:rsidR="00AA308F" w:rsidRPr="00AA308F">
        <w:rPr>
          <w:lang w:val="fr-FR"/>
        </w:rPr>
        <w:t xml:space="preserve"> </w:t>
      </w:r>
      <w:hyperlink r:id="rId20" w:history="1">
        <w:r w:rsidR="00AA308F" w:rsidRPr="00AA308F">
          <w:rPr>
            <w:rStyle w:val="Hyperlink"/>
            <w:lang w:val="fr-FR"/>
          </w:rPr>
          <w:t>NP</w:t>
        </w:r>
        <w:r w:rsidR="00AA308F" w:rsidRPr="00AA308F">
          <w:rPr>
            <w:rStyle w:val="Hyperlink"/>
            <w:lang w:val="fr-FR"/>
          </w:rPr>
          <w:noBreakHyphen/>
        </w:r>
        <w:r w:rsidR="00AA308F" w:rsidRPr="00AA308F">
          <w:rPr>
            <w:rStyle w:val="Hyperlink"/>
            <w:lang w:val="fr-FR"/>
          </w:rPr>
          <w:t>3/1 A</w:t>
        </w:r>
      </w:hyperlink>
      <w:r w:rsidRPr="00663BEC">
        <w:rPr>
          <w:rFonts w:eastAsia="Times New Roman"/>
          <w:szCs w:val="24"/>
          <w:lang w:val="fr-FR" w:bidi="fr-FR"/>
        </w:rPr>
        <w:t xml:space="preserve">, et à </w:t>
      </w:r>
      <w:r w:rsidR="00F86764">
        <w:rPr>
          <w:rFonts w:eastAsia="Times New Roman"/>
          <w:szCs w:val="24"/>
          <w:lang w:val="fr-FR" w:bidi="fr-FR"/>
        </w:rPr>
        <w:t>communiquer</w:t>
      </w:r>
      <w:r w:rsidRPr="00663BEC">
        <w:rPr>
          <w:rFonts w:eastAsia="Times New Roman"/>
          <w:szCs w:val="24"/>
          <w:lang w:val="fr-FR" w:bidi="fr-FR"/>
        </w:rPr>
        <w:t xml:space="preserve"> leurs points de vue pour étayer un examen préliminaire des procédures et mécanismes de </w:t>
      </w:r>
      <w:r w:rsidR="00AD5796">
        <w:rPr>
          <w:rFonts w:eastAsia="Times New Roman"/>
          <w:szCs w:val="24"/>
          <w:lang w:val="fr-FR" w:bidi="fr-FR"/>
        </w:rPr>
        <w:t>respect des obligations</w:t>
      </w:r>
      <w:r w:rsidRPr="00663BEC">
        <w:rPr>
          <w:rFonts w:eastAsia="Times New Roman"/>
          <w:szCs w:val="24"/>
          <w:lang w:val="fr-FR" w:bidi="fr-FR"/>
        </w:rPr>
        <w:t xml:space="preserve"> </w:t>
      </w:r>
      <w:r w:rsidR="00AD5796">
        <w:rPr>
          <w:rFonts w:eastAsia="Times New Roman"/>
          <w:szCs w:val="24"/>
          <w:lang w:val="fr-FR" w:bidi="fr-FR"/>
        </w:rPr>
        <w:t xml:space="preserve">figurant dans </w:t>
      </w:r>
      <w:r w:rsidRPr="00663BEC">
        <w:rPr>
          <w:rFonts w:eastAsia="Times New Roman"/>
          <w:szCs w:val="24"/>
          <w:lang w:val="fr-FR" w:bidi="fr-FR"/>
        </w:rPr>
        <w:t xml:space="preserve">l’annexe </w:t>
      </w:r>
      <w:r w:rsidR="00AD5796">
        <w:rPr>
          <w:rFonts w:eastAsia="Times New Roman"/>
          <w:szCs w:val="24"/>
          <w:lang w:val="fr-FR" w:bidi="fr-FR"/>
        </w:rPr>
        <w:t>à</w:t>
      </w:r>
      <w:r w:rsidRPr="00663BEC">
        <w:rPr>
          <w:rFonts w:eastAsia="Times New Roman"/>
          <w:szCs w:val="24"/>
          <w:lang w:val="fr-FR" w:bidi="fr-FR"/>
        </w:rPr>
        <w:t xml:space="preserve"> la</w:t>
      </w:r>
      <w:r w:rsidR="0018060D">
        <w:rPr>
          <w:rFonts w:eastAsia="Times New Roman"/>
          <w:szCs w:val="24"/>
          <w:lang w:val="fr-FR" w:bidi="fr-FR"/>
        </w:rPr>
        <w:t xml:space="preserve"> décision</w:t>
      </w:r>
      <w:r w:rsidRPr="00663BEC">
        <w:rPr>
          <w:rFonts w:eastAsia="Times New Roman"/>
          <w:szCs w:val="24"/>
          <w:lang w:val="fr-FR" w:bidi="fr-FR"/>
        </w:rPr>
        <w:t> </w:t>
      </w:r>
      <w:hyperlink r:id="rId21" w:history="1">
        <w:r w:rsidR="009B1CD3" w:rsidRPr="009B1CD3">
          <w:rPr>
            <w:rStyle w:val="Hyperlink"/>
            <w:lang w:val="fr-FR"/>
          </w:rPr>
          <w:t>N</w:t>
        </w:r>
        <w:r w:rsidR="009B1CD3" w:rsidRPr="009B1CD3">
          <w:rPr>
            <w:rStyle w:val="Hyperlink"/>
            <w:lang w:val="fr-FR"/>
          </w:rPr>
          <w:t>P</w:t>
        </w:r>
        <w:r w:rsidR="009B1CD3" w:rsidRPr="009B1CD3">
          <w:rPr>
            <w:rStyle w:val="Hyperlink"/>
            <w:lang w:val="fr-FR"/>
          </w:rPr>
          <w:t>-1/4</w:t>
        </w:r>
      </w:hyperlink>
      <w:r w:rsidR="009B1CD3" w:rsidRPr="009B1CD3">
        <w:rPr>
          <w:lang w:val="fr-FR"/>
        </w:rPr>
        <w:t xml:space="preserve"> </w:t>
      </w:r>
      <w:r w:rsidRPr="00663BEC">
        <w:rPr>
          <w:rFonts w:eastAsia="Times New Roman"/>
          <w:szCs w:val="24"/>
          <w:lang w:val="fr-FR" w:bidi="fr-FR"/>
        </w:rPr>
        <w:t>du 17</w:t>
      </w:r>
      <w:r w:rsidR="009B1CD3">
        <w:rPr>
          <w:rFonts w:eastAsia="Times New Roman"/>
          <w:szCs w:val="24"/>
          <w:lang w:val="fr-FR" w:bidi="fr-FR"/>
        </w:rPr>
        <w:t> </w:t>
      </w:r>
      <w:r w:rsidRPr="00663BEC">
        <w:rPr>
          <w:rFonts w:eastAsia="Times New Roman"/>
          <w:szCs w:val="24"/>
          <w:lang w:val="fr-FR" w:bidi="fr-FR"/>
        </w:rPr>
        <w:t>octobre 2014;</w:t>
      </w:r>
    </w:p>
    <w:p w14:paraId="2AED1536" w14:textId="789DB517" w:rsidR="00663BEC" w:rsidRPr="00663BEC" w:rsidRDefault="00663BEC" w:rsidP="003441B1">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7.</w:t>
      </w:r>
      <w:r w:rsidRPr="00663BEC">
        <w:rPr>
          <w:rFonts w:eastAsia="Times New Roman"/>
          <w:szCs w:val="24"/>
          <w:lang w:val="fr-FR" w:bidi="fr-FR"/>
        </w:rPr>
        <w:tab/>
      </w:r>
      <w:r w:rsidRPr="00663BEC">
        <w:rPr>
          <w:rFonts w:eastAsia="Times New Roman"/>
          <w:i/>
          <w:szCs w:val="24"/>
          <w:lang w:val="fr-FR" w:bidi="fr-FR"/>
        </w:rPr>
        <w:t xml:space="preserve">Prie </w:t>
      </w:r>
      <w:r w:rsidRPr="00663BEC">
        <w:rPr>
          <w:rFonts w:eastAsia="Times New Roman"/>
          <w:szCs w:val="24"/>
          <w:lang w:val="fr-FR" w:bidi="fr-FR"/>
        </w:rPr>
        <w:t xml:space="preserve">la Secrétaire exécutive : </w:t>
      </w:r>
    </w:p>
    <w:p w14:paraId="645392AE" w14:textId="522BCF52" w:rsidR="00663BEC" w:rsidRPr="00663BEC" w:rsidRDefault="00663BEC" w:rsidP="007B11BA">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a)</w:t>
      </w:r>
      <w:r w:rsidRPr="00663BEC">
        <w:rPr>
          <w:rFonts w:eastAsia="Times New Roman"/>
          <w:szCs w:val="24"/>
          <w:lang w:val="fr-FR" w:bidi="fr-FR"/>
        </w:rPr>
        <w:tab/>
        <w:t xml:space="preserve">D’analyser et de </w:t>
      </w:r>
      <w:r w:rsidR="00A15DB3">
        <w:rPr>
          <w:rFonts w:eastAsia="Times New Roman"/>
          <w:szCs w:val="24"/>
          <w:lang w:val="fr-FR" w:bidi="fr-FR"/>
        </w:rPr>
        <w:t>faire la synthèse</w:t>
      </w:r>
      <w:r w:rsidRPr="00663BEC">
        <w:rPr>
          <w:rFonts w:eastAsia="Times New Roman"/>
          <w:szCs w:val="24"/>
          <w:lang w:val="fr-FR" w:bidi="fr-FR"/>
        </w:rPr>
        <w:t xml:space="preserve"> </w:t>
      </w:r>
      <w:r w:rsidR="00A15DB3">
        <w:rPr>
          <w:rFonts w:eastAsia="Times New Roman"/>
          <w:szCs w:val="24"/>
          <w:lang w:val="fr-FR" w:bidi="fr-FR"/>
        </w:rPr>
        <w:t>d</w:t>
      </w:r>
      <w:r w:rsidRPr="00663BEC">
        <w:rPr>
          <w:rFonts w:eastAsia="Times New Roman"/>
          <w:szCs w:val="24"/>
          <w:lang w:val="fr-FR" w:bidi="fr-FR"/>
        </w:rPr>
        <w:t>es informations sur l</w:t>
      </w:r>
      <w:r w:rsidR="00A15DB3">
        <w:rPr>
          <w:rFonts w:eastAsia="Times New Roman"/>
          <w:szCs w:val="24"/>
          <w:lang w:val="fr-FR" w:bidi="fr-FR"/>
        </w:rPr>
        <w:t xml:space="preserve">’application </w:t>
      </w:r>
      <w:r w:rsidRPr="00663BEC">
        <w:rPr>
          <w:rFonts w:eastAsia="Times New Roman"/>
          <w:szCs w:val="24"/>
          <w:lang w:val="fr-FR" w:bidi="fr-FR"/>
        </w:rPr>
        <w:t>du Protocole</w:t>
      </w:r>
      <w:r w:rsidR="001A4E66">
        <w:rPr>
          <w:rFonts w:eastAsia="Times New Roman"/>
          <w:szCs w:val="24"/>
          <w:lang w:val="fr-FR" w:bidi="fr-FR"/>
        </w:rPr>
        <w:t xml:space="preserve"> de Nagoya</w:t>
      </w:r>
      <w:r w:rsidRPr="00663BEC">
        <w:rPr>
          <w:rFonts w:eastAsia="Times New Roman"/>
          <w:szCs w:val="24"/>
          <w:lang w:val="fr-FR" w:bidi="fr-FR"/>
        </w:rPr>
        <w:t xml:space="preserve"> en utilisant les sources d’information énumérées dans l’annexe à la présente décision, de mesurer les indicateurs dans le cadre des indicateurs figurant dans l’annexe II </w:t>
      </w:r>
      <w:r w:rsidR="00AC104A">
        <w:rPr>
          <w:rFonts w:eastAsia="Times New Roman"/>
          <w:szCs w:val="24"/>
          <w:lang w:val="fr-FR" w:bidi="fr-FR"/>
        </w:rPr>
        <w:t>à</w:t>
      </w:r>
      <w:r w:rsidRPr="00663BEC">
        <w:rPr>
          <w:rFonts w:eastAsia="Times New Roman"/>
          <w:szCs w:val="24"/>
          <w:lang w:val="fr-FR" w:bidi="fr-FR"/>
        </w:rPr>
        <w:t xml:space="preserve"> la </w:t>
      </w:r>
      <w:r w:rsidRPr="00663BEC">
        <w:rPr>
          <w:rFonts w:eastAsia="Times New Roman"/>
          <w:szCs w:val="24"/>
          <w:lang w:val="fr-FR"/>
        </w:rPr>
        <w:t>décision</w:t>
      </w:r>
      <w:r w:rsidR="0018060D">
        <w:rPr>
          <w:rFonts w:eastAsia="Times New Roman"/>
          <w:szCs w:val="24"/>
          <w:lang w:val="fr-FR"/>
        </w:rPr>
        <w:t xml:space="preserve"> </w:t>
      </w:r>
      <w:hyperlink r:id="rId22" w:history="1">
        <w:r w:rsidR="0018060D" w:rsidRPr="00AA308F">
          <w:rPr>
            <w:rStyle w:val="Hyperlink"/>
            <w:lang w:val="fr-FR"/>
          </w:rPr>
          <w:t>NP</w:t>
        </w:r>
        <w:r w:rsidR="0018060D" w:rsidRPr="00AA308F">
          <w:rPr>
            <w:rStyle w:val="Hyperlink"/>
            <w:lang w:val="fr-FR"/>
          </w:rPr>
          <w:noBreakHyphen/>
          <w:t>3/1 A</w:t>
        </w:r>
      </w:hyperlink>
      <w:r w:rsidR="0018060D" w:rsidRPr="00663BEC">
        <w:rPr>
          <w:rFonts w:eastAsia="Times New Roman"/>
          <w:szCs w:val="24"/>
          <w:lang w:val="fr-FR" w:bidi="fr-FR"/>
        </w:rPr>
        <w:t>,</w:t>
      </w:r>
      <w:r w:rsidRPr="00663BEC">
        <w:rPr>
          <w:rFonts w:eastAsia="Times New Roman"/>
          <w:szCs w:val="24"/>
          <w:lang w:val="fr-FR"/>
        </w:rPr>
        <w:t xml:space="preserve"> </w:t>
      </w:r>
      <w:r w:rsidRPr="00663BEC">
        <w:rPr>
          <w:rFonts w:eastAsia="Times New Roman"/>
          <w:szCs w:val="24"/>
          <w:lang w:val="fr-FR" w:bidi="fr-FR"/>
        </w:rPr>
        <w:t>et de mettre ces informations à la disposition du Comité consultatif informel sur le renforcement des capacités pour l</w:t>
      </w:r>
      <w:r w:rsidR="00F13B6A">
        <w:rPr>
          <w:rFonts w:eastAsia="Times New Roman"/>
          <w:szCs w:val="24"/>
          <w:lang w:val="fr-FR" w:bidi="fr-FR"/>
        </w:rPr>
        <w:t>’application</w:t>
      </w:r>
      <w:r w:rsidRPr="00663BEC">
        <w:rPr>
          <w:rFonts w:eastAsia="Times New Roman"/>
          <w:szCs w:val="24"/>
          <w:lang w:val="fr-FR" w:bidi="fr-FR"/>
        </w:rPr>
        <w:t xml:space="preserve"> du Protocole de Nagoya, du Comité chargé du respect des </w:t>
      </w:r>
      <w:r w:rsidR="00754B8F">
        <w:rPr>
          <w:rFonts w:eastAsia="Times New Roman"/>
          <w:szCs w:val="24"/>
          <w:lang w:val="fr-FR" w:bidi="fr-FR"/>
        </w:rPr>
        <w:t>obliga</w:t>
      </w:r>
      <w:r w:rsidRPr="00663BEC">
        <w:rPr>
          <w:rFonts w:eastAsia="Times New Roman"/>
          <w:szCs w:val="24"/>
          <w:lang w:val="fr-FR" w:bidi="fr-FR"/>
        </w:rPr>
        <w:t xml:space="preserve">tions au titre du Protocole de Nagoya et de l’Organe subsidiaire chargé de l’application; </w:t>
      </w:r>
    </w:p>
    <w:p w14:paraId="752F03C9" w14:textId="2ACF0E81"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t>b)</w:t>
      </w:r>
      <w:r w:rsidRPr="00663BEC">
        <w:rPr>
          <w:rFonts w:eastAsia="Times New Roman"/>
          <w:szCs w:val="24"/>
          <w:lang w:val="fr-FR" w:bidi="fr-FR"/>
        </w:rPr>
        <w:tab/>
        <w:t xml:space="preserve">De commander une étude exploratoire, </w:t>
      </w:r>
      <w:r w:rsidR="00754B8F">
        <w:rPr>
          <w:rFonts w:eastAsia="Times New Roman"/>
          <w:szCs w:val="24"/>
          <w:lang w:val="fr-FR" w:bidi="fr-FR"/>
        </w:rPr>
        <w:t>dans la limite</w:t>
      </w:r>
      <w:r w:rsidRPr="00663BEC">
        <w:rPr>
          <w:rFonts w:eastAsia="Times New Roman"/>
          <w:szCs w:val="24"/>
          <w:lang w:val="fr-FR" w:bidi="fr-FR"/>
        </w:rPr>
        <w:t xml:space="preserve"> des ressources</w:t>
      </w:r>
      <w:r w:rsidR="00754B8F">
        <w:rPr>
          <w:rFonts w:eastAsia="Times New Roman"/>
          <w:szCs w:val="24"/>
          <w:lang w:val="fr-FR" w:bidi="fr-FR"/>
        </w:rPr>
        <w:t xml:space="preserve"> disponibles</w:t>
      </w:r>
      <w:r w:rsidRPr="00663BEC">
        <w:rPr>
          <w:rFonts w:eastAsia="Times New Roman"/>
          <w:szCs w:val="24"/>
          <w:lang w:val="fr-FR" w:bidi="fr-FR"/>
        </w:rPr>
        <w:t xml:space="preserve">, </w:t>
      </w:r>
      <w:r w:rsidR="00754B8F">
        <w:rPr>
          <w:rFonts w:eastAsia="Times New Roman"/>
          <w:szCs w:val="24"/>
          <w:lang w:val="fr-FR" w:bidi="fr-FR"/>
        </w:rPr>
        <w:t xml:space="preserve">portant </w:t>
      </w:r>
      <w:r w:rsidRPr="00663BEC">
        <w:rPr>
          <w:rFonts w:eastAsia="Times New Roman"/>
          <w:szCs w:val="24"/>
          <w:lang w:val="fr-FR" w:bidi="fr-FR"/>
        </w:rPr>
        <w:t xml:space="preserve">sur les raisons </w:t>
      </w:r>
      <w:r w:rsidR="0085483C">
        <w:rPr>
          <w:rFonts w:eastAsia="Times New Roman"/>
          <w:szCs w:val="24"/>
          <w:lang w:val="fr-FR" w:bidi="fr-FR"/>
        </w:rPr>
        <w:t>éventuelle</w:t>
      </w:r>
      <w:r w:rsidRPr="00663BEC">
        <w:rPr>
          <w:rFonts w:eastAsia="Times New Roman"/>
          <w:szCs w:val="24"/>
          <w:lang w:val="fr-FR" w:bidi="fr-FR"/>
        </w:rPr>
        <w:t xml:space="preserve">s et les causes profondes sous-jacentes des difficultés rencontrées dans </w:t>
      </w:r>
      <w:r w:rsidR="00A25F63">
        <w:rPr>
          <w:rFonts w:eastAsia="Times New Roman"/>
          <w:szCs w:val="24"/>
          <w:lang w:val="fr-FR" w:bidi="fr-FR"/>
        </w:rPr>
        <w:t>l’application efficace</w:t>
      </w:r>
      <w:r w:rsidRPr="00663BEC">
        <w:rPr>
          <w:rFonts w:eastAsia="Times New Roman"/>
          <w:szCs w:val="24"/>
          <w:lang w:val="fr-FR" w:bidi="fr-FR"/>
        </w:rPr>
        <w:t xml:space="preserve"> et l</w:t>
      </w:r>
      <w:r w:rsidR="00A25F63">
        <w:rPr>
          <w:rFonts w:eastAsia="Times New Roman"/>
          <w:szCs w:val="24"/>
          <w:lang w:val="fr-FR" w:bidi="fr-FR"/>
        </w:rPr>
        <w:t>e respect des obligations,</w:t>
      </w:r>
      <w:r w:rsidRPr="00663BEC">
        <w:rPr>
          <w:rFonts w:eastAsia="Times New Roman"/>
          <w:szCs w:val="24"/>
          <w:lang w:val="fr-FR" w:bidi="fr-FR"/>
        </w:rPr>
        <w:t xml:space="preserve"> et sur </w:t>
      </w:r>
      <w:r w:rsidR="004368C4">
        <w:rPr>
          <w:rFonts w:eastAsia="Times New Roman"/>
          <w:szCs w:val="24"/>
          <w:lang w:val="fr-FR" w:bidi="fr-FR"/>
        </w:rPr>
        <w:t>d</w:t>
      </w:r>
      <w:r w:rsidR="00147C41">
        <w:rPr>
          <w:rFonts w:eastAsia="Times New Roman"/>
          <w:szCs w:val="24"/>
          <w:lang w:val="fr-FR" w:bidi="fr-FR"/>
        </w:rPr>
        <w:t>es m</w:t>
      </w:r>
      <w:r w:rsidR="004368C4">
        <w:rPr>
          <w:rFonts w:eastAsia="Times New Roman"/>
          <w:szCs w:val="24"/>
          <w:lang w:val="fr-FR" w:bidi="fr-FR"/>
        </w:rPr>
        <w:t>oyen</w:t>
      </w:r>
      <w:r w:rsidR="00147C41">
        <w:rPr>
          <w:rFonts w:eastAsia="Times New Roman"/>
          <w:szCs w:val="24"/>
          <w:lang w:val="fr-FR" w:bidi="fr-FR"/>
        </w:rPr>
        <w:t>s éventuels</w:t>
      </w:r>
      <w:r w:rsidRPr="00663BEC">
        <w:rPr>
          <w:rFonts w:eastAsia="Times New Roman"/>
          <w:szCs w:val="24"/>
          <w:lang w:val="fr-FR" w:bidi="fr-FR"/>
        </w:rPr>
        <w:t xml:space="preserve"> pour améliorer l</w:t>
      </w:r>
      <w:r w:rsidR="00147C41">
        <w:rPr>
          <w:rFonts w:eastAsia="Times New Roman"/>
          <w:szCs w:val="24"/>
          <w:lang w:val="fr-FR" w:bidi="fr-FR"/>
        </w:rPr>
        <w:t>’application</w:t>
      </w:r>
      <w:r w:rsidRPr="00663BEC">
        <w:rPr>
          <w:rFonts w:eastAsia="Times New Roman"/>
          <w:szCs w:val="24"/>
          <w:lang w:val="fr-FR"/>
        </w:rPr>
        <w:t>, à la lumière des difficultés particulières rencontrées par les pays en développement Parties, y compris</w:t>
      </w:r>
      <w:r w:rsidR="004368C4">
        <w:rPr>
          <w:rFonts w:eastAsia="Times New Roman"/>
          <w:szCs w:val="24"/>
          <w:lang w:val="fr-FR"/>
        </w:rPr>
        <w:t xml:space="preserve"> les difficultés</w:t>
      </w:r>
      <w:r w:rsidRPr="00663BEC">
        <w:rPr>
          <w:rFonts w:eastAsia="Times New Roman"/>
          <w:szCs w:val="24"/>
          <w:lang w:val="fr-FR"/>
        </w:rPr>
        <w:t xml:space="preserve"> </w:t>
      </w:r>
      <w:r w:rsidR="004368C4">
        <w:rPr>
          <w:rFonts w:eastAsia="Times New Roman"/>
          <w:szCs w:val="24"/>
          <w:lang w:val="fr-FR"/>
        </w:rPr>
        <w:t>concernant les</w:t>
      </w:r>
      <w:r w:rsidRPr="00663BEC">
        <w:rPr>
          <w:rFonts w:eastAsia="Times New Roman"/>
          <w:szCs w:val="24"/>
          <w:lang w:val="fr-FR"/>
        </w:rPr>
        <w:t xml:space="preserve"> mo</w:t>
      </w:r>
      <w:r w:rsidR="002D31E3">
        <w:rPr>
          <w:rFonts w:eastAsia="Times New Roman"/>
          <w:szCs w:val="24"/>
          <w:lang w:val="fr-FR"/>
        </w:rPr>
        <w:t>yens de mise en œuvre</w:t>
      </w:r>
      <w:r w:rsidRPr="00663BEC">
        <w:rPr>
          <w:rFonts w:eastAsia="Times New Roman"/>
          <w:szCs w:val="24"/>
          <w:lang w:val="fr-FR"/>
        </w:rPr>
        <w:t xml:space="preserve">; </w:t>
      </w:r>
    </w:p>
    <w:p w14:paraId="27B12969" w14:textId="44E5B9E0" w:rsidR="00663BEC" w:rsidRPr="00663BEC" w:rsidRDefault="00663BEC" w:rsidP="00663BEC">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rPr>
        <w:t>c)</w:t>
      </w:r>
      <w:r w:rsidRPr="00663BEC">
        <w:rPr>
          <w:rFonts w:eastAsia="Times New Roman"/>
          <w:szCs w:val="24"/>
          <w:lang w:val="fr-FR"/>
        </w:rPr>
        <w:tab/>
        <w:t xml:space="preserve">D’inclure les principales conclusions de l’étude dans le contexte des éléments </w:t>
      </w:r>
      <w:r w:rsidR="002D1F0D">
        <w:rPr>
          <w:rFonts w:eastAsia="Times New Roman"/>
          <w:szCs w:val="24"/>
          <w:lang w:val="fr-FR"/>
        </w:rPr>
        <w:t>pour</w:t>
      </w:r>
      <w:r w:rsidRPr="00663BEC">
        <w:rPr>
          <w:rFonts w:eastAsia="Times New Roman"/>
          <w:szCs w:val="24"/>
          <w:lang w:val="fr-FR"/>
        </w:rPr>
        <w:t xml:space="preserve"> la deuxième évaluation et examen de l’efficacité du Protocole </w:t>
      </w:r>
      <w:r w:rsidR="001A4E66">
        <w:rPr>
          <w:rFonts w:eastAsia="Times New Roman"/>
          <w:szCs w:val="24"/>
          <w:lang w:val="fr-FR"/>
        </w:rPr>
        <w:t xml:space="preserve">de Nagoya </w:t>
      </w:r>
      <w:r w:rsidRPr="00663BEC">
        <w:rPr>
          <w:rFonts w:eastAsia="Times New Roman"/>
          <w:szCs w:val="24"/>
          <w:lang w:val="fr-FR"/>
        </w:rPr>
        <w:t>en tant que source d’information complémentaire, le cas échéant;</w:t>
      </w:r>
    </w:p>
    <w:p w14:paraId="3D7E7953" w14:textId="5348BC6B" w:rsidR="00663BEC" w:rsidRPr="00663BEC" w:rsidRDefault="00663BEC" w:rsidP="003441B1">
      <w:pPr>
        <w:tabs>
          <w:tab w:val="clear" w:pos="567"/>
          <w:tab w:val="clear" w:pos="1134"/>
          <w:tab w:val="clear" w:pos="2268"/>
        </w:tabs>
        <w:spacing w:before="120" w:after="120"/>
        <w:ind w:left="567" w:firstLine="567"/>
        <w:rPr>
          <w:rFonts w:eastAsia="Times New Roman"/>
          <w:szCs w:val="24"/>
          <w:lang w:val="fr-FR"/>
        </w:rPr>
      </w:pPr>
      <w:r w:rsidRPr="00663BEC">
        <w:rPr>
          <w:rFonts w:eastAsia="Times New Roman"/>
          <w:szCs w:val="24"/>
          <w:lang w:val="fr-FR" w:bidi="fr-FR"/>
        </w:rPr>
        <w:lastRenderedPageBreak/>
        <w:t xml:space="preserve">8. </w:t>
      </w:r>
      <w:r w:rsidRPr="00663BEC">
        <w:rPr>
          <w:rFonts w:eastAsia="Times New Roman"/>
          <w:szCs w:val="24"/>
          <w:lang w:val="fr-FR" w:bidi="fr-FR"/>
        </w:rPr>
        <w:tab/>
      </w:r>
      <w:r w:rsidRPr="00663BEC">
        <w:rPr>
          <w:rFonts w:eastAsia="Times New Roman"/>
          <w:i/>
          <w:iCs/>
          <w:szCs w:val="24"/>
          <w:lang w:val="fr-FR" w:bidi="fr-FR"/>
        </w:rPr>
        <w:t>Prie</w:t>
      </w:r>
      <w:r w:rsidRPr="00663BEC">
        <w:rPr>
          <w:rFonts w:eastAsia="Times New Roman"/>
          <w:i/>
          <w:szCs w:val="24"/>
          <w:lang w:val="fr-FR" w:bidi="fr-FR"/>
        </w:rPr>
        <w:t xml:space="preserve"> </w:t>
      </w:r>
      <w:r w:rsidRPr="00663BEC">
        <w:rPr>
          <w:rFonts w:eastAsia="Times New Roman"/>
          <w:iCs/>
          <w:szCs w:val="24"/>
          <w:lang w:val="fr-FR" w:bidi="fr-FR"/>
        </w:rPr>
        <w:t xml:space="preserve">le </w:t>
      </w:r>
      <w:r w:rsidRPr="00663BEC">
        <w:rPr>
          <w:rFonts w:eastAsia="Times New Roman"/>
          <w:szCs w:val="24"/>
          <w:lang w:val="fr-FR" w:bidi="fr-FR"/>
        </w:rPr>
        <w:t>Comité consultatif informel sur le renforcement des capacités pour l</w:t>
      </w:r>
      <w:r w:rsidR="003441B1">
        <w:rPr>
          <w:rFonts w:eastAsia="Times New Roman"/>
          <w:szCs w:val="24"/>
          <w:lang w:val="fr-FR" w:bidi="fr-FR"/>
        </w:rPr>
        <w:t>’application</w:t>
      </w:r>
      <w:r w:rsidRPr="00663BEC">
        <w:rPr>
          <w:rFonts w:eastAsia="Times New Roman"/>
          <w:szCs w:val="24"/>
          <w:lang w:val="fr-FR" w:bidi="fr-FR"/>
        </w:rPr>
        <w:t xml:space="preserve"> du Protocole de Nagoya</w:t>
      </w:r>
      <w:r w:rsidRPr="00663BEC">
        <w:rPr>
          <w:rFonts w:eastAsia="Times New Roman"/>
          <w:szCs w:val="24"/>
          <w:vertAlign w:val="superscript"/>
          <w:lang w:val="fr-FR" w:bidi="fr-FR"/>
        </w:rPr>
        <w:footnoteReference w:id="3"/>
      </w:r>
      <w:r w:rsidRPr="00663BEC">
        <w:rPr>
          <w:rFonts w:eastAsia="Times New Roman"/>
          <w:szCs w:val="24"/>
          <w:lang w:val="fr-FR" w:bidi="fr-FR"/>
        </w:rPr>
        <w:t xml:space="preserve"> et le Comité chargé du respect des </w:t>
      </w:r>
      <w:r w:rsidR="003441B1">
        <w:rPr>
          <w:rFonts w:eastAsia="Times New Roman"/>
          <w:szCs w:val="24"/>
          <w:lang w:val="fr-FR" w:bidi="fr-FR"/>
        </w:rPr>
        <w:t>obliga</w:t>
      </w:r>
      <w:r w:rsidRPr="00663BEC">
        <w:rPr>
          <w:rFonts w:eastAsia="Times New Roman"/>
          <w:szCs w:val="24"/>
          <w:lang w:val="fr-FR" w:bidi="fr-FR"/>
        </w:rPr>
        <w:t xml:space="preserve">tions </w:t>
      </w:r>
      <w:r w:rsidR="003441B1">
        <w:rPr>
          <w:rFonts w:eastAsia="Times New Roman"/>
          <w:szCs w:val="24"/>
          <w:lang w:val="fr-FR" w:bidi="fr-FR"/>
        </w:rPr>
        <w:t xml:space="preserve">au titre </w:t>
      </w:r>
      <w:r w:rsidRPr="00663BEC">
        <w:rPr>
          <w:rFonts w:eastAsia="Times New Roman"/>
          <w:szCs w:val="24"/>
          <w:lang w:val="fr-FR" w:bidi="fr-FR"/>
        </w:rPr>
        <w:t>du Protocole de Nagoya, travaillant</w:t>
      </w:r>
      <w:r w:rsidR="00AB1E8A">
        <w:rPr>
          <w:rFonts w:eastAsia="Times New Roman"/>
          <w:szCs w:val="24"/>
          <w:lang w:val="fr-FR" w:bidi="fr-FR"/>
        </w:rPr>
        <w:t xml:space="preserve"> d</w:t>
      </w:r>
      <w:r w:rsidR="002730C5">
        <w:rPr>
          <w:rFonts w:eastAsia="Times New Roman"/>
          <w:szCs w:val="24"/>
          <w:lang w:val="fr-FR" w:bidi="fr-FR"/>
        </w:rPr>
        <w:t>’une</w:t>
      </w:r>
      <w:r w:rsidR="00AB1E8A">
        <w:rPr>
          <w:rFonts w:eastAsia="Times New Roman"/>
          <w:szCs w:val="24"/>
          <w:lang w:val="fr-FR" w:bidi="fr-FR"/>
        </w:rPr>
        <w:t xml:space="preserve"> </w:t>
      </w:r>
      <w:r w:rsidR="00292714">
        <w:rPr>
          <w:rFonts w:eastAsia="Times New Roman"/>
          <w:szCs w:val="24"/>
          <w:lang w:val="fr-FR" w:bidi="fr-FR"/>
        </w:rPr>
        <w:t>manière</w:t>
      </w:r>
      <w:r w:rsidR="00AB1E8A">
        <w:rPr>
          <w:rFonts w:eastAsia="Times New Roman"/>
          <w:szCs w:val="24"/>
          <w:lang w:val="fr-FR" w:bidi="fr-FR"/>
        </w:rPr>
        <w:t xml:space="preserve"> complémentaire</w:t>
      </w:r>
      <w:r w:rsidRPr="00663BEC">
        <w:rPr>
          <w:rFonts w:eastAsia="Times New Roman"/>
          <w:szCs w:val="24"/>
          <w:lang w:val="fr-FR" w:bidi="fr-FR"/>
        </w:rPr>
        <w:t xml:space="preserve"> et </w:t>
      </w:r>
      <w:r w:rsidR="00AB1E8A">
        <w:rPr>
          <w:rFonts w:eastAsia="Times New Roman"/>
          <w:szCs w:val="24"/>
          <w:lang w:val="fr-FR" w:bidi="fr-FR"/>
        </w:rPr>
        <w:t>en évitant les</w:t>
      </w:r>
      <w:r w:rsidRPr="00663BEC">
        <w:rPr>
          <w:rFonts w:eastAsia="Times New Roman"/>
          <w:szCs w:val="24"/>
          <w:lang w:val="fr-FR" w:bidi="fr-FR"/>
        </w:rPr>
        <w:t xml:space="preserve"> double</w:t>
      </w:r>
      <w:r w:rsidR="00AB1E8A">
        <w:rPr>
          <w:rFonts w:eastAsia="Times New Roman"/>
          <w:szCs w:val="24"/>
          <w:lang w:val="fr-FR" w:bidi="fr-FR"/>
        </w:rPr>
        <w:t>s</w:t>
      </w:r>
      <w:r w:rsidRPr="00663BEC">
        <w:rPr>
          <w:rFonts w:eastAsia="Times New Roman"/>
          <w:szCs w:val="24"/>
          <w:lang w:val="fr-FR" w:bidi="fr-FR"/>
        </w:rPr>
        <w:t xml:space="preserve"> emploi</w:t>
      </w:r>
      <w:r w:rsidR="00AB1E8A">
        <w:rPr>
          <w:rFonts w:eastAsia="Times New Roman"/>
          <w:szCs w:val="24"/>
          <w:lang w:val="fr-FR" w:bidi="fr-FR"/>
        </w:rPr>
        <w:t>s</w:t>
      </w:r>
      <w:r w:rsidRPr="00663BEC">
        <w:rPr>
          <w:rFonts w:eastAsia="Times New Roman"/>
          <w:szCs w:val="24"/>
          <w:lang w:val="fr-FR" w:bidi="fr-FR"/>
        </w:rPr>
        <w:t>, de contribuer à la deuxième évaluation et examen de l’efficacité du Protocole</w:t>
      </w:r>
      <w:r w:rsidR="00292714">
        <w:rPr>
          <w:rFonts w:eastAsia="Times New Roman"/>
          <w:szCs w:val="24"/>
          <w:lang w:val="fr-FR" w:bidi="fr-FR"/>
        </w:rPr>
        <w:t>,</w:t>
      </w:r>
      <w:r w:rsidRPr="00663BEC">
        <w:rPr>
          <w:rFonts w:eastAsia="Times New Roman"/>
          <w:szCs w:val="24"/>
          <w:lang w:val="fr-FR" w:bidi="fr-FR"/>
        </w:rPr>
        <w:t xml:space="preserve"> et de </w:t>
      </w:r>
      <w:r w:rsidR="00292714">
        <w:rPr>
          <w:rFonts w:eastAsia="Times New Roman"/>
          <w:szCs w:val="24"/>
          <w:lang w:val="fr-FR" w:bidi="fr-FR"/>
        </w:rPr>
        <w:t>transm</w:t>
      </w:r>
      <w:r w:rsidRPr="00663BEC">
        <w:rPr>
          <w:rFonts w:eastAsia="Times New Roman"/>
          <w:szCs w:val="24"/>
          <w:lang w:val="fr-FR" w:bidi="fr-FR"/>
        </w:rPr>
        <w:t xml:space="preserve">ettre leurs conclusions </w:t>
      </w:r>
      <w:r w:rsidR="00292714">
        <w:rPr>
          <w:rFonts w:eastAsia="Times New Roman"/>
          <w:szCs w:val="24"/>
          <w:lang w:val="fr-FR" w:bidi="fr-FR"/>
        </w:rPr>
        <w:t>pour</w:t>
      </w:r>
      <w:r w:rsidRPr="00663BEC">
        <w:rPr>
          <w:rFonts w:eastAsia="Times New Roman"/>
          <w:szCs w:val="24"/>
          <w:lang w:val="fr-FR" w:bidi="fr-FR"/>
        </w:rPr>
        <w:t xml:space="preserve"> examen </w:t>
      </w:r>
      <w:r w:rsidR="00292714">
        <w:rPr>
          <w:rFonts w:eastAsia="Times New Roman"/>
          <w:szCs w:val="24"/>
          <w:lang w:val="fr-FR" w:bidi="fr-FR"/>
        </w:rPr>
        <w:t>par</w:t>
      </w:r>
      <w:r w:rsidRPr="00663BEC">
        <w:rPr>
          <w:rFonts w:eastAsia="Times New Roman"/>
          <w:szCs w:val="24"/>
          <w:lang w:val="fr-FR" w:bidi="fr-FR"/>
        </w:rPr>
        <w:t xml:space="preserve"> l’Organe subsidiaire chargé de l’application</w:t>
      </w:r>
      <w:r w:rsidR="00292714">
        <w:rPr>
          <w:rFonts w:eastAsia="Times New Roman"/>
          <w:szCs w:val="24"/>
          <w:lang w:val="fr-FR" w:bidi="fr-FR"/>
        </w:rPr>
        <w:t xml:space="preserve"> à </w:t>
      </w:r>
      <w:r w:rsidRPr="00663BEC">
        <w:rPr>
          <w:rFonts w:eastAsia="Times New Roman"/>
          <w:szCs w:val="24"/>
          <w:lang w:val="fr-FR" w:bidi="fr-FR"/>
        </w:rPr>
        <w:t>sa sixième réunion.</w:t>
      </w:r>
    </w:p>
    <w:p w14:paraId="5B7BA180" w14:textId="77777777" w:rsidR="001A74EB" w:rsidRDefault="00663BEC" w:rsidP="002730C5">
      <w:pPr>
        <w:tabs>
          <w:tab w:val="clear" w:pos="567"/>
          <w:tab w:val="clear" w:pos="1134"/>
          <w:tab w:val="clear" w:pos="1701"/>
          <w:tab w:val="clear" w:pos="2268"/>
        </w:tabs>
        <w:spacing w:before="240" w:after="120"/>
        <w:ind w:left="567"/>
        <w:jc w:val="left"/>
        <w:rPr>
          <w:rFonts w:ascii="Times New Roman Bold" w:eastAsia="Malgun Gothic" w:hAnsi="Times New Roman Bold"/>
          <w:sz w:val="24"/>
          <w:szCs w:val="24"/>
          <w:lang w:val="fr-FR"/>
        </w:rPr>
      </w:pPr>
      <w:r w:rsidRPr="00663BEC">
        <w:rPr>
          <w:rFonts w:ascii="Times New Roman Bold" w:eastAsia="Malgun Gothic" w:hAnsi="Times New Roman Bold"/>
          <w:sz w:val="24"/>
          <w:szCs w:val="24"/>
          <w:lang w:val="fr-FR" w:bidi="fr-FR"/>
        </w:rPr>
        <w:t>Annexe</w:t>
      </w:r>
    </w:p>
    <w:p w14:paraId="2302A623" w14:textId="5EEB4BEF" w:rsidR="00663BEC" w:rsidRPr="00663BEC" w:rsidRDefault="00663BEC" w:rsidP="001A74EB">
      <w:pPr>
        <w:tabs>
          <w:tab w:val="clear" w:pos="567"/>
          <w:tab w:val="clear" w:pos="1134"/>
          <w:tab w:val="clear" w:pos="1701"/>
          <w:tab w:val="clear" w:pos="2268"/>
        </w:tabs>
        <w:spacing w:before="120" w:after="120"/>
        <w:ind w:left="567"/>
        <w:jc w:val="left"/>
        <w:rPr>
          <w:rFonts w:ascii="Times New Roman Bold" w:eastAsia="Malgun Gothic" w:hAnsi="Times New Roman Bold"/>
          <w:sz w:val="24"/>
          <w:szCs w:val="24"/>
          <w:lang w:val="fr-FR"/>
        </w:rPr>
      </w:pPr>
      <w:r w:rsidRPr="00663BEC">
        <w:rPr>
          <w:rFonts w:ascii="Times New Roman Bold" w:eastAsiaTheme="majorEastAsia" w:hAnsi="Times New Roman Bold"/>
          <w:bCs/>
          <w:spacing w:val="5"/>
          <w:kern w:val="28"/>
          <w:sz w:val="24"/>
          <w:szCs w:val="24"/>
          <w:lang w:val="fr-FR" w:bidi="fr-FR"/>
          <w14:ligatures w14:val="standardContextual"/>
        </w:rPr>
        <w:t>Éléments et sources d’information pour la deuxième évaluation et examen de l’efficacité du Protocole de Nagoya</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482"/>
      </w:tblGrid>
      <w:tr w:rsidR="00663BEC" w:rsidRPr="00663BEC" w14:paraId="653CB53B" w14:textId="77777777" w:rsidTr="00837589">
        <w:trPr>
          <w:cantSplit/>
          <w:tblHeader/>
          <w:jc w:val="right"/>
        </w:trPr>
        <w:tc>
          <w:tcPr>
            <w:tcW w:w="4673" w:type="dxa"/>
            <w:tcBorders>
              <w:top w:val="single" w:sz="4" w:space="0" w:color="auto"/>
              <w:left w:val="single" w:sz="4" w:space="0" w:color="auto"/>
              <w:bottom w:val="single" w:sz="4" w:space="0" w:color="auto"/>
              <w:right w:val="single" w:sz="4" w:space="0" w:color="auto"/>
            </w:tcBorders>
            <w:hideMark/>
          </w:tcPr>
          <w:p w14:paraId="37AC52C6" w14:textId="03CCF13C" w:rsidR="00663BEC" w:rsidRPr="00663BEC" w:rsidRDefault="00663BEC" w:rsidP="00663BEC">
            <w:pPr>
              <w:tabs>
                <w:tab w:val="clear" w:pos="567"/>
                <w:tab w:val="clear" w:pos="1134"/>
                <w:tab w:val="clear" w:pos="1701"/>
                <w:tab w:val="clear" w:pos="2268"/>
              </w:tabs>
              <w:spacing w:before="40" w:after="40"/>
              <w:ind w:left="40" w:right="40"/>
              <w:jc w:val="left"/>
              <w:rPr>
                <w:rFonts w:eastAsia="Times New Roman"/>
                <w:i/>
                <w:iCs/>
                <w:snapToGrid w:val="0"/>
                <w:kern w:val="22"/>
                <w:sz w:val="20"/>
                <w:szCs w:val="20"/>
                <w:lang w:val="fr-FR"/>
              </w:rPr>
            </w:pPr>
            <w:r w:rsidRPr="00663BEC">
              <w:rPr>
                <w:rFonts w:eastAsia="Times New Roman"/>
                <w:i/>
                <w:snapToGrid w:val="0"/>
                <w:kern w:val="22"/>
                <w:sz w:val="20"/>
                <w:szCs w:val="20"/>
                <w:lang w:val="fr-FR" w:bidi="fr-FR"/>
              </w:rPr>
              <w:t>Élément</w:t>
            </w:r>
          </w:p>
        </w:tc>
        <w:tc>
          <w:tcPr>
            <w:tcW w:w="4482" w:type="dxa"/>
            <w:tcBorders>
              <w:top w:val="single" w:sz="4" w:space="0" w:color="auto"/>
              <w:left w:val="single" w:sz="4" w:space="0" w:color="auto"/>
              <w:bottom w:val="single" w:sz="4" w:space="0" w:color="auto"/>
              <w:right w:val="single" w:sz="4" w:space="0" w:color="auto"/>
            </w:tcBorders>
            <w:hideMark/>
          </w:tcPr>
          <w:p w14:paraId="68F04966" w14:textId="10F8F312" w:rsidR="00663BEC" w:rsidRPr="00663BEC" w:rsidRDefault="00663BEC" w:rsidP="00663BEC">
            <w:pPr>
              <w:tabs>
                <w:tab w:val="clear" w:pos="567"/>
                <w:tab w:val="clear" w:pos="1134"/>
                <w:tab w:val="clear" w:pos="1701"/>
                <w:tab w:val="clear" w:pos="2268"/>
              </w:tabs>
              <w:spacing w:before="40" w:after="40"/>
              <w:ind w:left="40" w:right="40"/>
              <w:jc w:val="left"/>
              <w:rPr>
                <w:rFonts w:eastAsia="Times New Roman"/>
                <w:i/>
                <w:iCs/>
                <w:snapToGrid w:val="0"/>
                <w:kern w:val="22"/>
                <w:sz w:val="20"/>
                <w:szCs w:val="20"/>
                <w:lang w:val="fr-FR"/>
              </w:rPr>
            </w:pPr>
            <w:r w:rsidRPr="00663BEC">
              <w:rPr>
                <w:rFonts w:eastAsia="Times New Roman"/>
                <w:i/>
                <w:snapToGrid w:val="0"/>
                <w:kern w:val="22"/>
                <w:sz w:val="20"/>
                <w:szCs w:val="20"/>
                <w:lang w:val="fr-FR" w:bidi="fr-FR"/>
              </w:rPr>
              <w:t>Sources d’information</w:t>
            </w:r>
          </w:p>
        </w:tc>
      </w:tr>
      <w:tr w:rsidR="00663BEC" w:rsidRPr="00676CA6" w14:paraId="4ADA9FC7"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650176D7" w14:textId="24028097" w:rsidR="00663BEC" w:rsidRPr="00663BEC" w:rsidRDefault="000F6CB4" w:rsidP="008D58B9">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a) </w:t>
            </w:r>
            <w:r w:rsidR="00663BEC" w:rsidRPr="00663BEC">
              <w:rPr>
                <w:rFonts w:eastAsia="Times New Roman"/>
                <w:snapToGrid w:val="0"/>
                <w:kern w:val="22"/>
                <w:sz w:val="20"/>
                <w:szCs w:val="20"/>
                <w:lang w:val="fr-FR" w:eastAsia="ja-JP" w:bidi="fr-FR"/>
              </w:rPr>
              <w:t>Degré d’application des dispositions du Protocole de Nagoya et de</w:t>
            </w:r>
            <w:r w:rsidR="00816757">
              <w:rPr>
                <w:rFonts w:eastAsia="Times New Roman"/>
                <w:snapToGrid w:val="0"/>
                <w:kern w:val="22"/>
                <w:sz w:val="20"/>
                <w:szCs w:val="20"/>
                <w:lang w:val="fr-FR" w:eastAsia="ja-JP" w:bidi="fr-FR"/>
              </w:rPr>
              <w:t xml:space="preserve"> respect d</w:t>
            </w:r>
            <w:r w:rsidR="00152517">
              <w:rPr>
                <w:rFonts w:eastAsia="Times New Roman"/>
                <w:snapToGrid w:val="0"/>
                <w:kern w:val="22"/>
                <w:sz w:val="20"/>
                <w:szCs w:val="20"/>
                <w:lang w:val="fr-FR" w:eastAsia="ja-JP" w:bidi="fr-FR"/>
              </w:rPr>
              <w:t>e</w:t>
            </w:r>
            <w:r w:rsidR="00663BEC" w:rsidRPr="00663BEC">
              <w:rPr>
                <w:rFonts w:eastAsia="Times New Roman"/>
                <w:snapToGrid w:val="0"/>
                <w:kern w:val="22"/>
                <w:sz w:val="20"/>
                <w:szCs w:val="20"/>
                <w:lang w:val="fr-FR" w:eastAsia="ja-JP" w:bidi="fr-FR"/>
              </w:rPr>
              <w:t>s obligations connexes des Parties, y compris l’évaluation des progrès accomplis par les Parties dans la mise en place de structures institutionnelles et des mesures d’accès et de partage des avantages en vue de l’application du Protocole (cela comprend les a</w:t>
            </w:r>
            <w:r w:rsidR="00663BEC" w:rsidRPr="00663BEC">
              <w:rPr>
                <w:rFonts w:eastAsia="Times New Roman"/>
                <w:sz w:val="20"/>
                <w:szCs w:val="20"/>
                <w:lang w:val="fr-FR" w:eastAsia="ja-JP"/>
              </w:rPr>
              <w:t>rticles 4 à 8, 11 à 13, 15, 17 et 21)</w:t>
            </w:r>
            <w:r w:rsidR="00644D6D">
              <w:rPr>
                <w:rFonts w:eastAsia="Times New Roman"/>
                <w:i/>
                <w:iCs/>
                <w:snapToGrid w:val="0"/>
                <w:kern w:val="22"/>
                <w:sz w:val="20"/>
                <w:szCs w:val="20"/>
                <w:vertAlign w:val="superscript"/>
                <w:lang w:val="fr-FR" w:eastAsia="ja-JP"/>
              </w:rPr>
              <w:t>a</w:t>
            </w:r>
            <w:r w:rsidR="00663BEC" w:rsidRPr="00663BEC">
              <w:rPr>
                <w:rFonts w:eastAsia="Times New Roman"/>
                <w:snapToGrid w:val="0"/>
                <w:kern w:val="22"/>
                <w:sz w:val="20"/>
                <w:szCs w:val="20"/>
                <w:lang w:val="fr-FR" w:eastAsia="ja-JP" w:bidi="fr-FR"/>
              </w:rPr>
              <w:t xml:space="preserve"> </w:t>
            </w:r>
          </w:p>
        </w:tc>
        <w:tc>
          <w:tcPr>
            <w:tcW w:w="4482" w:type="dxa"/>
            <w:tcBorders>
              <w:top w:val="single" w:sz="4" w:space="0" w:color="auto"/>
              <w:left w:val="single" w:sz="4" w:space="0" w:color="auto"/>
              <w:bottom w:val="single" w:sz="4" w:space="0" w:color="auto"/>
              <w:right w:val="single" w:sz="4" w:space="0" w:color="auto"/>
            </w:tcBorders>
            <w:hideMark/>
          </w:tcPr>
          <w:p w14:paraId="04391137" w14:textId="48CEDFC4"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w:t>
            </w:r>
            <w:r w:rsidR="00644D6D">
              <w:rPr>
                <w:rFonts w:eastAsia="Times New Roman"/>
                <w:i/>
                <w:snapToGrid w:val="0"/>
                <w:kern w:val="22"/>
                <w:sz w:val="20"/>
                <w:szCs w:val="20"/>
                <w:vertAlign w:val="superscript"/>
                <w:lang w:val="fr-FR" w:eastAsia="ja-JP" w:bidi="fr-FR"/>
              </w:rPr>
              <w:t>b</w:t>
            </w:r>
          </w:p>
          <w:p w14:paraId="1C562F2B"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Centre d’échange sur l’accès et le partage des</w:t>
            </w:r>
          </w:p>
          <w:p w14:paraId="315C4356"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      avantages</w:t>
            </w:r>
          </w:p>
          <w:p w14:paraId="3B90155B" w14:textId="536875FC"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Rapports nationaux </w:t>
            </w:r>
            <w:r w:rsidR="00816757">
              <w:rPr>
                <w:rFonts w:eastAsia="Times New Roman"/>
                <w:snapToGrid w:val="0"/>
                <w:kern w:val="22"/>
                <w:sz w:val="20"/>
                <w:szCs w:val="20"/>
                <w:lang w:val="fr-FR" w:eastAsia="ja-JP" w:bidi="fr-FR"/>
              </w:rPr>
              <w:t>établis</w:t>
            </w:r>
            <w:r w:rsidRPr="00663BEC">
              <w:rPr>
                <w:rFonts w:eastAsia="Times New Roman"/>
                <w:snapToGrid w:val="0"/>
                <w:kern w:val="22"/>
                <w:sz w:val="20"/>
                <w:szCs w:val="20"/>
                <w:lang w:val="fr-FR" w:eastAsia="ja-JP" w:bidi="fr-FR"/>
              </w:rPr>
              <w:t xml:space="preserve"> au titre de la</w:t>
            </w:r>
          </w:p>
          <w:p w14:paraId="2190191B"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      Convention</w:t>
            </w:r>
          </w:p>
          <w:p w14:paraId="301FDA81"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Stratégies et plans d’action nationaux pour</w:t>
            </w:r>
          </w:p>
          <w:p w14:paraId="510E5B75"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      la diversité biologique</w:t>
            </w:r>
          </w:p>
          <w:p w14:paraId="2ED7741E"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r w:rsidRPr="00663BEC">
              <w:rPr>
                <w:rFonts w:eastAsia="Times New Roman"/>
                <w:i/>
                <w:iCs/>
                <w:snapToGrid w:val="0"/>
                <w:kern w:val="22"/>
                <w:sz w:val="20"/>
                <w:szCs w:val="20"/>
                <w:vertAlign w:val="superscript"/>
                <w:lang w:val="fr-FR" w:eastAsia="ja-JP"/>
              </w:rPr>
              <w:t>c</w:t>
            </w:r>
          </w:p>
          <w:p w14:paraId="1A8E69DC" w14:textId="6BBB9AD2"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Documents pertinents</w:t>
            </w:r>
            <w:r w:rsidR="007F0918">
              <w:rPr>
                <w:rFonts w:eastAsia="Times New Roman"/>
                <w:snapToGrid w:val="0"/>
                <w:kern w:val="22"/>
                <w:sz w:val="20"/>
                <w:szCs w:val="20"/>
                <w:lang w:val="fr-FR" w:eastAsia="ja-JP"/>
              </w:rPr>
              <w:t xml:space="preserve"> sur</w:t>
            </w:r>
            <w:r w:rsidRPr="00663BEC">
              <w:rPr>
                <w:rFonts w:eastAsia="Times New Roman"/>
                <w:snapToGrid w:val="0"/>
                <w:kern w:val="22"/>
                <w:sz w:val="20"/>
                <w:szCs w:val="20"/>
                <w:lang w:val="fr-FR" w:eastAsia="ja-JP"/>
              </w:rPr>
              <w:t xml:space="preserve"> la coopération avec </w:t>
            </w:r>
          </w:p>
          <w:p w14:paraId="647FD0EC"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 xml:space="preserve">      d’autres conventions, organisations</w:t>
            </w:r>
          </w:p>
          <w:p w14:paraId="167EC9D3" w14:textId="3B62F84A"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 xml:space="preserve">      internationales et initiatives</w:t>
            </w:r>
            <w:r w:rsidR="007F0918">
              <w:rPr>
                <w:rFonts w:eastAsia="Times New Roman"/>
                <w:snapToGrid w:val="0"/>
                <w:kern w:val="22"/>
                <w:sz w:val="20"/>
                <w:szCs w:val="20"/>
                <w:lang w:val="fr-FR" w:eastAsia="ja-JP"/>
              </w:rPr>
              <w:t>, trans</w:t>
            </w:r>
            <w:r w:rsidRPr="00663BEC">
              <w:rPr>
                <w:rFonts w:eastAsia="Times New Roman"/>
                <w:snapToGrid w:val="0"/>
                <w:kern w:val="22"/>
                <w:sz w:val="20"/>
                <w:szCs w:val="20"/>
                <w:lang w:val="fr-FR" w:eastAsia="ja-JP"/>
              </w:rPr>
              <w:t>mis à la</w:t>
            </w:r>
          </w:p>
          <w:p w14:paraId="19116032"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 xml:space="preserve">      Conférence des Parties siégeant en tant que</w:t>
            </w:r>
          </w:p>
          <w:p w14:paraId="4AA42F03" w14:textId="6E59DD58"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 xml:space="preserve">      réunion des Parties au Protocole </w:t>
            </w:r>
            <w:r w:rsidR="001A4E66">
              <w:rPr>
                <w:rFonts w:eastAsia="Times New Roman"/>
                <w:snapToGrid w:val="0"/>
                <w:kern w:val="22"/>
                <w:sz w:val="20"/>
                <w:szCs w:val="20"/>
                <w:lang w:val="fr-FR" w:eastAsia="ja-JP"/>
              </w:rPr>
              <w:t>de Nagoya</w:t>
            </w:r>
          </w:p>
          <w:p w14:paraId="17AC5F8F" w14:textId="77777777" w:rsidR="00663BEC" w:rsidRPr="00663BEC" w:rsidRDefault="00663BEC" w:rsidP="00663BEC">
            <w:pPr>
              <w:tabs>
                <w:tab w:val="clear" w:pos="567"/>
                <w:tab w:val="clear" w:pos="1134"/>
                <w:tab w:val="clear" w:pos="1701"/>
                <w:tab w:val="clear" w:pos="2268"/>
                <w:tab w:val="left" w:pos="329"/>
              </w:tabs>
              <w:spacing w:before="40" w:after="40"/>
              <w:ind w:left="34" w:right="40"/>
              <w:contextualSpacing/>
              <w:jc w:val="left"/>
              <w:rPr>
                <w:rFonts w:eastAsia="Times New Roman"/>
                <w:snapToGrid w:val="0"/>
                <w:kern w:val="22"/>
                <w:sz w:val="20"/>
                <w:szCs w:val="20"/>
                <w:lang w:val="fr-FR" w:eastAsia="ja-JP"/>
              </w:rPr>
            </w:pPr>
          </w:p>
        </w:tc>
      </w:tr>
      <w:tr w:rsidR="00663BEC" w:rsidRPr="00676CA6" w14:paraId="1A62FD30"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4030834A" w14:textId="3FFD3427" w:rsidR="00663BEC" w:rsidRPr="009F1754" w:rsidRDefault="009F1754" w:rsidP="008D58B9">
            <w:pPr>
              <w:tabs>
                <w:tab w:val="clear" w:pos="567"/>
                <w:tab w:val="clear" w:pos="1134"/>
                <w:tab w:val="clear" w:pos="1701"/>
                <w:tab w:val="clear" w:pos="2268"/>
              </w:tabs>
              <w:spacing w:before="40" w:after="40"/>
              <w:ind w:right="40"/>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b) </w:t>
            </w:r>
            <w:r w:rsidR="00663BEC" w:rsidRPr="009F1754">
              <w:rPr>
                <w:rFonts w:eastAsia="Times New Roman"/>
                <w:snapToGrid w:val="0"/>
                <w:kern w:val="22"/>
                <w:sz w:val="20"/>
                <w:szCs w:val="20"/>
                <w:lang w:val="fr-FR" w:eastAsia="ja-JP" w:bidi="fr-FR"/>
              </w:rPr>
              <w:t>Évaluation de l’efficacité (cela comprend l’article 9)</w:t>
            </w:r>
          </w:p>
        </w:tc>
        <w:tc>
          <w:tcPr>
            <w:tcW w:w="4482" w:type="dxa"/>
            <w:tcBorders>
              <w:top w:val="single" w:sz="4" w:space="0" w:color="auto"/>
              <w:left w:val="single" w:sz="4" w:space="0" w:color="auto"/>
              <w:bottom w:val="single" w:sz="4" w:space="0" w:color="auto"/>
              <w:right w:val="single" w:sz="4" w:space="0" w:color="auto"/>
            </w:tcBorders>
            <w:hideMark/>
          </w:tcPr>
          <w:p w14:paraId="20297A3D" w14:textId="443A9E07" w:rsidR="00663BEC" w:rsidRPr="00663BEC" w:rsidRDefault="00663BEC" w:rsidP="00663BEC">
            <w:pPr>
              <w:numPr>
                <w:ilvl w:val="0"/>
                <w:numId w:val="33"/>
              </w:numPr>
              <w:tabs>
                <w:tab w:val="clear" w:pos="567"/>
                <w:tab w:val="clear" w:pos="1134"/>
                <w:tab w:val="clear" w:pos="1701"/>
                <w:tab w:val="clear" w:pos="2268"/>
                <w:tab w:val="left" w:pos="310"/>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Premiers rapports nationaux (questions 10, 12, 19, 30 à 32 et 43 à 45 du </w:t>
            </w:r>
            <w:r w:rsidR="0084580E">
              <w:rPr>
                <w:rFonts w:eastAsia="Times New Roman"/>
                <w:snapToGrid w:val="0"/>
                <w:kern w:val="22"/>
                <w:sz w:val="20"/>
                <w:szCs w:val="20"/>
                <w:lang w:val="fr-FR" w:eastAsia="ja-JP" w:bidi="fr-FR"/>
              </w:rPr>
              <w:t>modèle de rapport</w:t>
            </w:r>
            <w:r w:rsidRPr="00663BEC">
              <w:rPr>
                <w:rFonts w:eastAsia="Times New Roman"/>
                <w:snapToGrid w:val="0"/>
                <w:kern w:val="22"/>
                <w:sz w:val="20"/>
                <w:szCs w:val="20"/>
                <w:lang w:val="fr-FR" w:eastAsia="ja-JP" w:bidi="fr-FR"/>
              </w:rPr>
              <w:t>)</w:t>
            </w:r>
          </w:p>
          <w:p w14:paraId="72432D28" w14:textId="77777777" w:rsidR="00663BEC" w:rsidRPr="00663BEC" w:rsidRDefault="00663BEC" w:rsidP="00663BEC">
            <w:pPr>
              <w:numPr>
                <w:ilvl w:val="0"/>
                <w:numId w:val="33"/>
              </w:numPr>
              <w:tabs>
                <w:tab w:val="clear" w:pos="567"/>
                <w:tab w:val="clear" w:pos="1134"/>
                <w:tab w:val="clear" w:pos="1701"/>
                <w:tab w:val="clear" w:pos="2268"/>
                <w:tab w:val="left" w:pos="310"/>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Centre d’échange sur l’accès et le partage des avantages</w:t>
            </w:r>
          </w:p>
          <w:p w14:paraId="16283DD0" w14:textId="77777777" w:rsidR="00663BEC" w:rsidRPr="00663BEC" w:rsidRDefault="00663BEC" w:rsidP="00663BEC">
            <w:pPr>
              <w:numPr>
                <w:ilvl w:val="0"/>
                <w:numId w:val="33"/>
              </w:numPr>
              <w:tabs>
                <w:tab w:val="clear" w:pos="567"/>
                <w:tab w:val="clear" w:pos="1134"/>
                <w:tab w:val="clear" w:pos="1701"/>
                <w:tab w:val="clear" w:pos="2268"/>
                <w:tab w:val="left" w:pos="310"/>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p>
          <w:p w14:paraId="20D805CB" w14:textId="6D2343CD" w:rsidR="00663BEC" w:rsidRPr="00663BEC" w:rsidRDefault="00663BEC" w:rsidP="00663BEC">
            <w:pPr>
              <w:numPr>
                <w:ilvl w:val="0"/>
                <w:numId w:val="33"/>
              </w:numPr>
              <w:tabs>
                <w:tab w:val="clear" w:pos="567"/>
                <w:tab w:val="clear" w:pos="1134"/>
                <w:tab w:val="clear" w:pos="1701"/>
                <w:tab w:val="clear" w:pos="2268"/>
                <w:tab w:val="left" w:pos="310"/>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rPr>
              <w:t xml:space="preserve">Rapports nationaux </w:t>
            </w:r>
            <w:r w:rsidR="00510366">
              <w:rPr>
                <w:rFonts w:eastAsia="Times New Roman"/>
                <w:snapToGrid w:val="0"/>
                <w:kern w:val="22"/>
                <w:sz w:val="20"/>
                <w:szCs w:val="20"/>
                <w:lang w:val="fr-FR" w:eastAsia="ja-JP"/>
              </w:rPr>
              <w:t>établi</w:t>
            </w:r>
            <w:r w:rsidRPr="00663BEC">
              <w:rPr>
                <w:rFonts w:eastAsia="Times New Roman"/>
                <w:snapToGrid w:val="0"/>
                <w:kern w:val="22"/>
                <w:sz w:val="20"/>
                <w:szCs w:val="20"/>
                <w:lang w:val="fr-FR" w:eastAsia="ja-JP"/>
              </w:rPr>
              <w:t>s au titre de la Convention, en lien avec l’objectif C et la cible 13 du Cadre mondial de la biodiversité de Kunming-Montréal</w:t>
            </w:r>
            <w:r w:rsidRPr="00663BEC">
              <w:rPr>
                <w:rFonts w:eastAsia="Times New Roman"/>
                <w:i/>
                <w:snapToGrid w:val="0"/>
                <w:kern w:val="22"/>
                <w:sz w:val="20"/>
                <w:szCs w:val="20"/>
                <w:vertAlign w:val="superscript"/>
                <w:lang w:val="fr-FR" w:eastAsia="ja-JP"/>
              </w:rPr>
              <w:t>d</w:t>
            </w:r>
            <w:r w:rsidR="00F26D04">
              <w:rPr>
                <w:rFonts w:eastAsia="Times New Roman"/>
                <w:i/>
                <w:snapToGrid w:val="0"/>
                <w:kern w:val="22"/>
                <w:sz w:val="20"/>
                <w:szCs w:val="20"/>
                <w:vertAlign w:val="superscript"/>
                <w:lang w:val="fr-FR" w:eastAsia="ja-JP"/>
              </w:rPr>
              <w:t xml:space="preserve"> </w:t>
            </w:r>
            <w:r w:rsidR="00F26D04">
              <w:rPr>
                <w:rFonts w:eastAsia="Times New Roman"/>
                <w:iCs/>
                <w:snapToGrid w:val="0"/>
                <w:kern w:val="22"/>
                <w:sz w:val="20"/>
                <w:szCs w:val="20"/>
                <w:lang w:val="fr-FR" w:eastAsia="ja-JP"/>
              </w:rPr>
              <w:t>et l</w:t>
            </w:r>
            <w:r w:rsidR="00510366">
              <w:rPr>
                <w:rFonts w:eastAsia="Times New Roman"/>
                <w:iCs/>
                <w:snapToGrid w:val="0"/>
                <w:kern w:val="22"/>
                <w:sz w:val="20"/>
                <w:szCs w:val="20"/>
                <w:lang w:val="fr-FR" w:eastAsia="ja-JP"/>
              </w:rPr>
              <w:t>’application</w:t>
            </w:r>
            <w:r w:rsidR="00F26D04">
              <w:rPr>
                <w:rFonts w:eastAsia="Times New Roman"/>
                <w:iCs/>
                <w:snapToGrid w:val="0"/>
                <w:kern w:val="22"/>
                <w:sz w:val="20"/>
                <w:szCs w:val="20"/>
                <w:lang w:val="fr-FR" w:eastAsia="ja-JP"/>
              </w:rPr>
              <w:t xml:space="preserve"> du Protocole de Nagoya</w:t>
            </w:r>
          </w:p>
        </w:tc>
      </w:tr>
      <w:tr w:rsidR="00663BEC" w:rsidRPr="00663BEC" w14:paraId="7794126C"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6297D601" w14:textId="51B0E4F1" w:rsidR="00663BEC" w:rsidRPr="00663BEC" w:rsidRDefault="009F1754" w:rsidP="007E12F7">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c) </w:t>
            </w:r>
            <w:r w:rsidR="00663BEC" w:rsidRPr="00663BEC">
              <w:rPr>
                <w:rFonts w:eastAsia="Times New Roman"/>
                <w:snapToGrid w:val="0"/>
                <w:kern w:val="22"/>
                <w:sz w:val="20"/>
                <w:szCs w:val="20"/>
                <w:lang w:val="fr-FR" w:eastAsia="ja-JP" w:bidi="fr-FR"/>
              </w:rPr>
              <w:t>Évaluation de l’appui disponible pour la mise en œuvre (articles 22 et 25)</w:t>
            </w:r>
          </w:p>
        </w:tc>
        <w:tc>
          <w:tcPr>
            <w:tcW w:w="4482" w:type="dxa"/>
            <w:tcBorders>
              <w:top w:val="single" w:sz="4" w:space="0" w:color="auto"/>
              <w:left w:val="single" w:sz="4" w:space="0" w:color="auto"/>
              <w:bottom w:val="single" w:sz="4" w:space="0" w:color="auto"/>
              <w:right w:val="single" w:sz="4" w:space="0" w:color="auto"/>
            </w:tcBorders>
            <w:hideMark/>
          </w:tcPr>
          <w:p w14:paraId="75F9CDB6"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(questions 54, 55 et 59 à 64)</w:t>
            </w:r>
          </w:p>
          <w:p w14:paraId="0B55A7CC"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Centre d’échange sur l’accès et le partage des avantages</w:t>
            </w:r>
          </w:p>
          <w:p w14:paraId="7012E724" w14:textId="13A6C296"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Informations sur le</w:t>
            </w:r>
            <w:r w:rsidR="001E4035">
              <w:rPr>
                <w:rFonts w:eastAsia="Times New Roman"/>
                <w:snapToGrid w:val="0"/>
                <w:kern w:val="22"/>
                <w:sz w:val="20"/>
                <w:szCs w:val="20"/>
                <w:lang w:val="fr-FR" w:eastAsia="ja-JP" w:bidi="fr-FR"/>
              </w:rPr>
              <w:t>s projets et les ressources pour un</w:t>
            </w:r>
            <w:r w:rsidRPr="00663BEC">
              <w:rPr>
                <w:rFonts w:eastAsia="Times New Roman"/>
                <w:snapToGrid w:val="0"/>
                <w:kern w:val="22"/>
                <w:sz w:val="20"/>
                <w:szCs w:val="20"/>
                <w:lang w:val="fr-FR" w:eastAsia="ja-JP" w:bidi="fr-FR"/>
              </w:rPr>
              <w:t xml:space="preserve"> renforcement des capacités</w:t>
            </w:r>
          </w:p>
          <w:p w14:paraId="203A4C76"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p>
        </w:tc>
      </w:tr>
      <w:tr w:rsidR="00663BEC" w:rsidRPr="00663BEC" w14:paraId="4F6AA737"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0693A4FC" w14:textId="61E2C3F1" w:rsidR="00663BEC" w:rsidRPr="00663BEC" w:rsidRDefault="009F1754" w:rsidP="007E12F7">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d) </w:t>
            </w:r>
            <w:r w:rsidR="00663BEC" w:rsidRPr="00663BEC">
              <w:rPr>
                <w:rFonts w:eastAsia="Times New Roman"/>
                <w:snapToGrid w:val="0"/>
                <w:kern w:val="22"/>
                <w:sz w:val="20"/>
                <w:szCs w:val="20"/>
                <w:lang w:val="fr-FR" w:eastAsia="ja-JP" w:bidi="fr-FR"/>
              </w:rPr>
              <w:t>Évaluation de l’efficacité de l’article 18 (étendue de la mise en œuvre)</w:t>
            </w:r>
          </w:p>
        </w:tc>
        <w:tc>
          <w:tcPr>
            <w:tcW w:w="4482" w:type="dxa"/>
            <w:tcBorders>
              <w:top w:val="single" w:sz="4" w:space="0" w:color="auto"/>
              <w:left w:val="single" w:sz="4" w:space="0" w:color="auto"/>
              <w:bottom w:val="single" w:sz="4" w:space="0" w:color="auto"/>
              <w:right w:val="single" w:sz="4" w:space="0" w:color="auto"/>
            </w:tcBorders>
            <w:hideMark/>
          </w:tcPr>
          <w:p w14:paraId="692D12D0" w14:textId="77777777" w:rsidR="00663BEC" w:rsidRPr="00663BEC" w:rsidRDefault="00663BEC" w:rsidP="00663BEC">
            <w:pPr>
              <w:numPr>
                <w:ilvl w:val="0"/>
                <w:numId w:val="33"/>
              </w:numPr>
              <w:tabs>
                <w:tab w:val="clear" w:pos="567"/>
                <w:tab w:val="clear" w:pos="1134"/>
                <w:tab w:val="clear" w:pos="1701"/>
                <w:tab w:val="clear" w:pos="2268"/>
                <w:tab w:val="left" w:pos="310"/>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(questions 25 à 28)</w:t>
            </w:r>
          </w:p>
          <w:p w14:paraId="0137A968"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p>
        </w:tc>
      </w:tr>
      <w:tr w:rsidR="00663BEC" w:rsidRPr="00676CA6" w14:paraId="74CF552A"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499DB7CE" w14:textId="5BA44210" w:rsidR="00663BEC" w:rsidRPr="00663BEC" w:rsidRDefault="009F1754" w:rsidP="007E12F7">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e) </w:t>
            </w:r>
            <w:r w:rsidR="00663BEC" w:rsidRPr="00663BEC">
              <w:rPr>
                <w:rFonts w:eastAsia="Times New Roman"/>
                <w:snapToGrid w:val="0"/>
                <w:kern w:val="22"/>
                <w:sz w:val="20"/>
                <w:szCs w:val="20"/>
                <w:lang w:val="fr-FR" w:eastAsia="ja-JP" w:bidi="fr-FR"/>
              </w:rPr>
              <w:t xml:space="preserve">Évaluation de l’application de l’article 16 à la lumière des </w:t>
            </w:r>
            <w:r w:rsidR="004315B6">
              <w:rPr>
                <w:rFonts w:eastAsia="Times New Roman"/>
                <w:snapToGrid w:val="0"/>
                <w:kern w:val="22"/>
                <w:sz w:val="20"/>
                <w:szCs w:val="20"/>
                <w:lang w:val="fr-FR" w:eastAsia="ja-JP" w:bidi="fr-FR"/>
              </w:rPr>
              <w:t>nouveaux développements</w:t>
            </w:r>
            <w:r w:rsidR="00663BEC" w:rsidRPr="00663BEC">
              <w:rPr>
                <w:rFonts w:eastAsia="Times New Roman"/>
                <w:snapToGrid w:val="0"/>
                <w:kern w:val="22"/>
                <w:sz w:val="20"/>
                <w:szCs w:val="20"/>
                <w:lang w:val="fr-FR" w:eastAsia="ja-JP" w:bidi="fr-FR"/>
              </w:rPr>
              <w:t xml:space="preserve"> dans d’autres organisations internationales pertinentes, y compris l’Organisation mondiale de la propriété intellectuelle </w:t>
            </w:r>
          </w:p>
        </w:tc>
        <w:tc>
          <w:tcPr>
            <w:tcW w:w="4482" w:type="dxa"/>
            <w:tcBorders>
              <w:top w:val="single" w:sz="4" w:space="0" w:color="auto"/>
              <w:left w:val="single" w:sz="4" w:space="0" w:color="auto"/>
              <w:bottom w:val="single" w:sz="4" w:space="0" w:color="auto"/>
              <w:right w:val="single" w:sz="4" w:space="0" w:color="auto"/>
            </w:tcBorders>
            <w:hideMark/>
          </w:tcPr>
          <w:p w14:paraId="42A14270"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 20)</w:t>
            </w:r>
          </w:p>
          <w:p w14:paraId="3F7E8C0B" w14:textId="4E417726"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Rapports, entre autres, du Comité intergouvernemental sur la propriété intellectuelle et les ressources génétiques, les savoirs traditionnels et le folklore </w:t>
            </w:r>
            <w:r w:rsidR="00F06EDD">
              <w:rPr>
                <w:rFonts w:eastAsia="Times New Roman"/>
                <w:snapToGrid w:val="0"/>
                <w:kern w:val="22"/>
                <w:sz w:val="20"/>
                <w:szCs w:val="20"/>
                <w:lang w:val="fr-FR" w:eastAsia="ja-JP" w:bidi="fr-FR"/>
              </w:rPr>
              <w:t>au sein de</w:t>
            </w:r>
            <w:r w:rsidRPr="00663BEC">
              <w:rPr>
                <w:rFonts w:eastAsia="Times New Roman"/>
                <w:snapToGrid w:val="0"/>
                <w:kern w:val="22"/>
                <w:sz w:val="20"/>
                <w:szCs w:val="20"/>
                <w:lang w:val="fr-FR" w:eastAsia="ja-JP" w:bidi="fr-FR"/>
              </w:rPr>
              <w:t xml:space="preserve"> l’Organisation mondiale de la propriété intellectuelle</w:t>
            </w:r>
          </w:p>
        </w:tc>
      </w:tr>
      <w:tr w:rsidR="00663BEC" w:rsidRPr="00663BEC" w14:paraId="61F82FA6"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51031DEC" w14:textId="165AF632" w:rsidR="00663BEC" w:rsidRPr="00663BEC" w:rsidRDefault="009F1754" w:rsidP="00442602">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lastRenderedPageBreak/>
              <w:t xml:space="preserve">f) </w:t>
            </w:r>
            <w:r w:rsidR="00663BEC" w:rsidRPr="00663BEC">
              <w:rPr>
                <w:rFonts w:eastAsia="Times New Roman"/>
                <w:snapToGrid w:val="0"/>
                <w:kern w:val="22"/>
                <w:sz w:val="20"/>
                <w:szCs w:val="20"/>
                <w:lang w:val="fr-FR" w:eastAsia="ja-JP" w:bidi="fr-FR"/>
              </w:rPr>
              <w:t xml:space="preserve">Bilan de l’utilisation des clauses contractuelles types, des codes de conduite, des lignes directrices, des </w:t>
            </w:r>
            <w:r w:rsidR="007F6590">
              <w:rPr>
                <w:rFonts w:eastAsia="Times New Roman"/>
                <w:snapToGrid w:val="0"/>
                <w:kern w:val="22"/>
                <w:sz w:val="20"/>
                <w:szCs w:val="20"/>
                <w:lang w:val="fr-FR" w:eastAsia="ja-JP" w:bidi="fr-FR"/>
              </w:rPr>
              <w:t xml:space="preserve">bonnes </w:t>
            </w:r>
            <w:r w:rsidR="00663BEC" w:rsidRPr="00663BEC">
              <w:rPr>
                <w:rFonts w:eastAsia="Times New Roman"/>
                <w:snapToGrid w:val="0"/>
                <w:kern w:val="22"/>
                <w:sz w:val="20"/>
                <w:szCs w:val="20"/>
                <w:lang w:val="fr-FR" w:eastAsia="ja-JP" w:bidi="fr-FR"/>
              </w:rPr>
              <w:t xml:space="preserve">pratiques et des normes, </w:t>
            </w:r>
            <w:r w:rsidR="006A50F6">
              <w:rPr>
                <w:rFonts w:eastAsia="Times New Roman"/>
                <w:snapToGrid w:val="0"/>
                <w:kern w:val="22"/>
                <w:sz w:val="20"/>
                <w:szCs w:val="20"/>
                <w:lang w:val="fr-FR" w:eastAsia="ja-JP" w:bidi="fr-FR"/>
              </w:rPr>
              <w:t xml:space="preserve">ainsi que </w:t>
            </w:r>
            <w:r w:rsidR="00663BEC" w:rsidRPr="00663BEC">
              <w:rPr>
                <w:rFonts w:eastAsia="Times New Roman"/>
                <w:snapToGrid w:val="0"/>
                <w:kern w:val="22"/>
                <w:sz w:val="20"/>
                <w:szCs w:val="20"/>
                <w:lang w:val="fr-FR" w:eastAsia="ja-JP" w:bidi="fr-FR"/>
              </w:rPr>
              <w:t>du droit coutumier</w:t>
            </w:r>
            <w:r w:rsidR="00442602">
              <w:rPr>
                <w:rFonts w:eastAsia="Times New Roman"/>
                <w:snapToGrid w:val="0"/>
                <w:kern w:val="22"/>
                <w:sz w:val="20"/>
                <w:szCs w:val="20"/>
                <w:lang w:val="fr-FR" w:eastAsia="ja-JP" w:bidi="fr-FR"/>
              </w:rPr>
              <w:t>,</w:t>
            </w:r>
            <w:r w:rsidR="00663BEC" w:rsidRPr="00663BEC">
              <w:rPr>
                <w:rFonts w:eastAsia="Times New Roman"/>
                <w:snapToGrid w:val="0"/>
                <w:kern w:val="22"/>
                <w:sz w:val="20"/>
                <w:szCs w:val="20"/>
                <w:lang w:val="fr-FR" w:eastAsia="ja-JP" w:bidi="fr-FR"/>
              </w:rPr>
              <w:t xml:space="preserve"> des protocoles </w:t>
            </w:r>
            <w:r w:rsidR="00442602">
              <w:rPr>
                <w:rFonts w:eastAsia="Times New Roman"/>
                <w:snapToGrid w:val="0"/>
                <w:kern w:val="22"/>
                <w:sz w:val="20"/>
                <w:szCs w:val="20"/>
                <w:lang w:val="fr-FR" w:eastAsia="ja-JP" w:bidi="fr-FR"/>
              </w:rPr>
              <w:t xml:space="preserve">communautaires </w:t>
            </w:r>
            <w:r w:rsidR="00663BEC" w:rsidRPr="00663BEC">
              <w:rPr>
                <w:rFonts w:eastAsia="Times New Roman"/>
                <w:snapToGrid w:val="0"/>
                <w:kern w:val="22"/>
                <w:sz w:val="20"/>
                <w:szCs w:val="20"/>
                <w:lang w:val="fr-FR" w:eastAsia="ja-JP" w:bidi="fr-FR"/>
              </w:rPr>
              <w:t>et des procédures des peuples autochtones et communautés locales (articles 12, 19 et 20)</w:t>
            </w:r>
          </w:p>
        </w:tc>
        <w:tc>
          <w:tcPr>
            <w:tcW w:w="4482" w:type="dxa"/>
            <w:tcBorders>
              <w:top w:val="single" w:sz="4" w:space="0" w:color="auto"/>
              <w:left w:val="single" w:sz="4" w:space="0" w:color="auto"/>
              <w:bottom w:val="single" w:sz="4" w:space="0" w:color="auto"/>
              <w:right w:val="single" w:sz="4" w:space="0" w:color="auto"/>
            </w:tcBorders>
            <w:hideMark/>
          </w:tcPr>
          <w:p w14:paraId="7F9FD5B3" w14:textId="77777777" w:rsidR="00663BEC" w:rsidRPr="00663BEC" w:rsidRDefault="00663BEC" w:rsidP="00442602">
            <w:pPr>
              <w:numPr>
                <w:ilvl w:val="0"/>
                <w:numId w:val="33"/>
              </w:numPr>
              <w:tabs>
                <w:tab w:val="clear" w:pos="567"/>
                <w:tab w:val="clear" w:pos="1134"/>
                <w:tab w:val="clear" w:pos="1701"/>
                <w:tab w:val="clear" w:pos="2268"/>
                <w:tab w:val="left" w:pos="329"/>
              </w:tabs>
              <w:spacing w:before="40" w:after="40"/>
              <w:ind w:left="319" w:right="40" w:hanging="283"/>
              <w:contextualSpacing/>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(questions 39, 50 et 51)</w:t>
            </w:r>
          </w:p>
          <w:p w14:paraId="31D6349B" w14:textId="77777777" w:rsidR="00663BEC" w:rsidRPr="00663BEC" w:rsidRDefault="00663BEC" w:rsidP="00442602">
            <w:pPr>
              <w:numPr>
                <w:ilvl w:val="0"/>
                <w:numId w:val="33"/>
              </w:numPr>
              <w:tabs>
                <w:tab w:val="clear" w:pos="567"/>
                <w:tab w:val="clear" w:pos="1134"/>
                <w:tab w:val="clear" w:pos="1701"/>
                <w:tab w:val="clear" w:pos="2268"/>
                <w:tab w:val="left" w:pos="329"/>
              </w:tabs>
              <w:spacing w:before="40" w:after="40"/>
              <w:ind w:left="319" w:right="40" w:hanging="285"/>
              <w:contextualSpacing/>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Centre d’échange sur l’accès et le partage des avantages</w:t>
            </w:r>
          </w:p>
          <w:p w14:paraId="01ACEC77" w14:textId="77777777" w:rsidR="00663BEC" w:rsidRPr="00663BEC" w:rsidRDefault="00663BEC" w:rsidP="00442602">
            <w:pPr>
              <w:numPr>
                <w:ilvl w:val="0"/>
                <w:numId w:val="33"/>
              </w:numPr>
              <w:tabs>
                <w:tab w:val="clear" w:pos="567"/>
                <w:tab w:val="clear" w:pos="1134"/>
                <w:tab w:val="clear" w:pos="1701"/>
                <w:tab w:val="clear" w:pos="2268"/>
                <w:tab w:val="left" w:pos="329"/>
              </w:tabs>
              <w:spacing w:before="40" w:after="40"/>
              <w:ind w:left="34" w:right="40" w:firstLine="0"/>
              <w:contextualSpacing/>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p>
        </w:tc>
      </w:tr>
      <w:tr w:rsidR="00663BEC" w:rsidRPr="00676CA6" w14:paraId="2EFDE47C"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0948E9C6" w14:textId="56EFD08C" w:rsidR="00663BEC" w:rsidRPr="00663BEC" w:rsidRDefault="009F1754" w:rsidP="00442602">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g) </w:t>
            </w:r>
            <w:r w:rsidR="00663BEC" w:rsidRPr="00663BEC">
              <w:rPr>
                <w:rFonts w:eastAsia="Times New Roman"/>
                <w:snapToGrid w:val="0"/>
                <w:kern w:val="22"/>
                <w:sz w:val="20"/>
                <w:szCs w:val="20"/>
                <w:lang w:val="fr-FR" w:eastAsia="ja-JP" w:bidi="fr-FR"/>
              </w:rPr>
              <w:t>Examen de la mise en œuvre et du fonctionnement du Centre d’échange sur l’accès et le partage des avantages, notamment du nombre de mesures d’accès et de partage des avantages mises à disposition, du nombre de pays ayant publié des informations sur leurs autorités nationales compétentes, du nombre de certificats de conformité internationalement reconnus publiés</w:t>
            </w:r>
            <w:r w:rsidR="00366EEC">
              <w:rPr>
                <w:rFonts w:eastAsia="Times New Roman"/>
                <w:snapToGrid w:val="0"/>
                <w:kern w:val="22"/>
                <w:sz w:val="20"/>
                <w:szCs w:val="20"/>
                <w:lang w:val="fr-FR" w:eastAsia="ja-JP" w:bidi="fr-FR"/>
              </w:rPr>
              <w:t>,</w:t>
            </w:r>
            <w:r w:rsidR="00663BEC" w:rsidRPr="00663BEC">
              <w:rPr>
                <w:rFonts w:eastAsia="Times New Roman"/>
                <w:snapToGrid w:val="0"/>
                <w:kern w:val="22"/>
                <w:sz w:val="20"/>
                <w:szCs w:val="20"/>
                <w:lang w:val="fr-FR" w:eastAsia="ja-JP" w:bidi="fr-FR"/>
              </w:rPr>
              <w:t xml:space="preserve"> et du nombre de communiqués </w:t>
            </w:r>
            <w:r w:rsidR="00882426">
              <w:rPr>
                <w:rFonts w:eastAsia="Times New Roman"/>
                <w:snapToGrid w:val="0"/>
                <w:kern w:val="22"/>
                <w:sz w:val="20"/>
                <w:szCs w:val="20"/>
                <w:lang w:val="fr-FR" w:eastAsia="ja-JP" w:bidi="fr-FR"/>
              </w:rPr>
              <w:t>des</w:t>
            </w:r>
            <w:r w:rsidR="00663BEC" w:rsidRPr="00663BEC">
              <w:rPr>
                <w:rFonts w:eastAsia="Times New Roman"/>
                <w:snapToGrid w:val="0"/>
                <w:kern w:val="22"/>
                <w:sz w:val="20"/>
                <w:szCs w:val="20"/>
                <w:lang w:val="fr-FR" w:eastAsia="ja-JP" w:bidi="fr-FR"/>
              </w:rPr>
              <w:t xml:space="preserve"> points de contrôle</w:t>
            </w:r>
            <w:r w:rsidR="00882426">
              <w:rPr>
                <w:rFonts w:eastAsia="Times New Roman"/>
                <w:snapToGrid w:val="0"/>
                <w:kern w:val="22"/>
                <w:sz w:val="20"/>
                <w:szCs w:val="20"/>
                <w:lang w:val="fr-FR" w:eastAsia="ja-JP" w:bidi="fr-FR"/>
              </w:rPr>
              <w:t xml:space="preserve"> publiés</w:t>
            </w:r>
            <w:r w:rsidR="00663BEC" w:rsidRPr="00663BEC">
              <w:rPr>
                <w:rFonts w:eastAsia="Times New Roman"/>
                <w:snapToGrid w:val="0"/>
                <w:kern w:val="22"/>
                <w:sz w:val="20"/>
                <w:szCs w:val="20"/>
                <w:lang w:val="fr-FR" w:eastAsia="ja-JP" w:bidi="fr-FR"/>
              </w:rPr>
              <w:t xml:space="preserve"> (article 14) </w:t>
            </w:r>
          </w:p>
        </w:tc>
        <w:tc>
          <w:tcPr>
            <w:tcW w:w="4482" w:type="dxa"/>
            <w:tcBorders>
              <w:top w:val="single" w:sz="4" w:space="0" w:color="auto"/>
              <w:left w:val="single" w:sz="4" w:space="0" w:color="auto"/>
              <w:bottom w:val="single" w:sz="4" w:space="0" w:color="auto"/>
              <w:right w:val="single" w:sz="4" w:space="0" w:color="auto"/>
            </w:tcBorders>
            <w:hideMark/>
          </w:tcPr>
          <w:p w14:paraId="4D3CFBB7"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(questions 4, 5, 7, 12, 13 et 21)</w:t>
            </w:r>
          </w:p>
          <w:p w14:paraId="37916A75"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Centre d’échange sur l’accès et le partage des avantages</w:t>
            </w:r>
          </w:p>
          <w:p w14:paraId="60ADCF36"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Rapports des réunions relatives au Centre d’échange sur l’accès et le partage des avantages</w:t>
            </w:r>
          </w:p>
          <w:p w14:paraId="06F33A1D"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Enquête ciblée </w:t>
            </w:r>
          </w:p>
          <w:p w14:paraId="3C0928CD"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10" w:right="40" w:hanging="284"/>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Statistiques sur la fréquentation du site Web du Centre d’échange sur l’accès et le partage des avantages</w:t>
            </w:r>
            <w:r w:rsidRPr="00663BEC">
              <w:rPr>
                <w:rFonts w:eastAsia="Times New Roman"/>
                <w:i/>
                <w:snapToGrid w:val="0"/>
                <w:kern w:val="22"/>
                <w:sz w:val="20"/>
                <w:szCs w:val="20"/>
                <w:vertAlign w:val="superscript"/>
                <w:lang w:val="fr-FR" w:eastAsia="ja-JP" w:bidi="fr-FR"/>
              </w:rPr>
              <w:t>e</w:t>
            </w:r>
          </w:p>
          <w:p w14:paraId="466F1824" w14:textId="77777777" w:rsidR="00663BEC" w:rsidRPr="00663BEC" w:rsidRDefault="00663BEC" w:rsidP="00663BEC">
            <w:pPr>
              <w:tabs>
                <w:tab w:val="clear" w:pos="567"/>
                <w:tab w:val="clear" w:pos="1134"/>
                <w:tab w:val="clear" w:pos="1701"/>
                <w:tab w:val="clear" w:pos="2268"/>
                <w:tab w:val="left" w:pos="329"/>
              </w:tabs>
              <w:spacing w:before="40" w:after="40"/>
              <w:ind w:left="34" w:right="40"/>
              <w:rPr>
                <w:rFonts w:eastAsia="Times New Roman"/>
                <w:snapToGrid w:val="0"/>
                <w:kern w:val="22"/>
                <w:sz w:val="20"/>
                <w:szCs w:val="20"/>
                <w:lang w:val="fr-FR"/>
              </w:rPr>
            </w:pPr>
          </w:p>
        </w:tc>
      </w:tr>
      <w:tr w:rsidR="00663BEC" w:rsidRPr="00676CA6" w14:paraId="28547CC8"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tcPr>
          <w:p w14:paraId="5D3346DB" w14:textId="63187B4C" w:rsidR="00663BEC" w:rsidRPr="00663BEC" w:rsidRDefault="009F1754" w:rsidP="00882426">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h) </w:t>
            </w:r>
            <w:r w:rsidR="00761015">
              <w:rPr>
                <w:rFonts w:eastAsia="Times New Roman"/>
                <w:snapToGrid w:val="0"/>
                <w:kern w:val="22"/>
                <w:sz w:val="20"/>
                <w:szCs w:val="20"/>
                <w:lang w:val="fr-FR" w:eastAsia="ja-JP" w:bidi="fr-FR"/>
              </w:rPr>
              <w:t>Etat d’avancement de l’application</w:t>
            </w:r>
            <w:r w:rsidR="00663BEC" w:rsidRPr="00663BEC">
              <w:rPr>
                <w:rFonts w:eastAsia="Times New Roman"/>
                <w:snapToGrid w:val="0"/>
                <w:kern w:val="22"/>
                <w:sz w:val="20"/>
                <w:szCs w:val="20"/>
                <w:lang w:val="fr-FR" w:eastAsia="ja-JP" w:bidi="fr-FR"/>
              </w:rPr>
              <w:t xml:space="preserve"> de l’article 10, </w:t>
            </w:r>
            <w:r w:rsidR="00761015">
              <w:rPr>
                <w:rFonts w:eastAsia="Times New Roman"/>
                <w:snapToGrid w:val="0"/>
                <w:kern w:val="22"/>
                <w:sz w:val="20"/>
                <w:szCs w:val="20"/>
                <w:lang w:val="fr-FR" w:eastAsia="ja-JP" w:bidi="fr-FR"/>
              </w:rPr>
              <w:t xml:space="preserve">relatif à </w:t>
            </w:r>
            <w:r w:rsidR="00663BEC" w:rsidRPr="00663BEC">
              <w:rPr>
                <w:rFonts w:eastAsia="Times New Roman"/>
                <w:snapToGrid w:val="0"/>
                <w:kern w:val="22"/>
                <w:sz w:val="20"/>
                <w:szCs w:val="20"/>
                <w:lang w:val="fr-FR" w:eastAsia="ja-JP" w:bidi="fr-FR"/>
              </w:rPr>
              <w:t>un mécanisme multilatéral mondial de partage des avantages</w:t>
            </w:r>
          </w:p>
        </w:tc>
        <w:tc>
          <w:tcPr>
            <w:tcW w:w="4482" w:type="dxa"/>
            <w:tcBorders>
              <w:top w:val="single" w:sz="4" w:space="0" w:color="auto"/>
              <w:left w:val="single" w:sz="4" w:space="0" w:color="auto"/>
              <w:bottom w:val="single" w:sz="4" w:space="0" w:color="auto"/>
              <w:right w:val="single" w:sz="4" w:space="0" w:color="auto"/>
            </w:tcBorders>
          </w:tcPr>
          <w:p w14:paraId="06669450" w14:textId="23501236" w:rsidR="00663BEC" w:rsidRPr="009F1754" w:rsidRDefault="00663BEC" w:rsidP="009F1754">
            <w:pPr>
              <w:numPr>
                <w:ilvl w:val="0"/>
                <w:numId w:val="35"/>
              </w:numPr>
              <w:tabs>
                <w:tab w:val="clear" w:pos="567"/>
                <w:tab w:val="clear" w:pos="1134"/>
                <w:tab w:val="clear" w:pos="1701"/>
                <w:tab w:val="clear" w:pos="2268"/>
              </w:tabs>
              <w:spacing w:before="40" w:after="40"/>
              <w:ind w:left="385" w:right="40" w:hanging="357"/>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Documents pertinents </w:t>
            </w:r>
            <w:r w:rsidR="000D49FB">
              <w:rPr>
                <w:rFonts w:eastAsia="Times New Roman"/>
                <w:snapToGrid w:val="0"/>
                <w:kern w:val="22"/>
                <w:sz w:val="20"/>
                <w:szCs w:val="20"/>
                <w:lang w:val="fr-FR" w:eastAsia="ja-JP" w:bidi="fr-FR"/>
              </w:rPr>
              <w:t>établis</w:t>
            </w:r>
            <w:r w:rsidRPr="00663BEC">
              <w:rPr>
                <w:rFonts w:eastAsia="Times New Roman"/>
                <w:snapToGrid w:val="0"/>
                <w:kern w:val="22"/>
                <w:sz w:val="20"/>
                <w:szCs w:val="20"/>
                <w:lang w:val="fr-FR" w:eastAsia="ja-JP" w:bidi="fr-FR"/>
              </w:rPr>
              <w:t xml:space="preserve"> </w:t>
            </w:r>
            <w:r w:rsidR="00095909">
              <w:rPr>
                <w:rFonts w:eastAsia="Times New Roman"/>
                <w:snapToGrid w:val="0"/>
                <w:kern w:val="22"/>
                <w:sz w:val="20"/>
                <w:szCs w:val="20"/>
                <w:lang w:val="fr-FR" w:eastAsia="ja-JP" w:bidi="fr-FR"/>
              </w:rPr>
              <w:t>aux fins d’</w:t>
            </w:r>
            <w:r w:rsidRPr="00663BEC">
              <w:rPr>
                <w:rFonts w:eastAsia="Times New Roman"/>
                <w:snapToGrid w:val="0"/>
                <w:kern w:val="22"/>
                <w:sz w:val="20"/>
                <w:szCs w:val="20"/>
                <w:lang w:val="fr-FR" w:eastAsia="ja-JP" w:bidi="fr-FR"/>
              </w:rPr>
              <w:t>examen par la Conférence des Parties siégeant en tant que réunion des Parties au Protocole</w:t>
            </w:r>
            <w:r w:rsidR="001A4E66">
              <w:rPr>
                <w:rFonts w:eastAsia="Times New Roman"/>
                <w:snapToGrid w:val="0"/>
                <w:kern w:val="22"/>
                <w:sz w:val="20"/>
                <w:szCs w:val="20"/>
                <w:lang w:val="fr-FR" w:eastAsia="ja-JP" w:bidi="fr-FR"/>
              </w:rPr>
              <w:t xml:space="preserve"> de Nagoya</w:t>
            </w:r>
          </w:p>
        </w:tc>
      </w:tr>
      <w:tr w:rsidR="00663BEC" w:rsidRPr="00663BEC" w14:paraId="14DDF079"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tcPr>
          <w:p w14:paraId="4C43D594" w14:textId="16AB442B" w:rsidR="00663BEC" w:rsidRPr="00663BEC" w:rsidRDefault="009F1754" w:rsidP="00882426">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i) </w:t>
            </w:r>
            <w:r w:rsidR="00761015">
              <w:rPr>
                <w:rFonts w:eastAsia="Times New Roman"/>
                <w:snapToGrid w:val="0"/>
                <w:kern w:val="22"/>
                <w:sz w:val="20"/>
                <w:szCs w:val="20"/>
                <w:lang w:val="fr-FR" w:eastAsia="ja-JP" w:bidi="fr-FR"/>
              </w:rPr>
              <w:t>Etat d’avancement de l’application de</w:t>
            </w:r>
            <w:r w:rsidR="00663BEC" w:rsidRPr="00663BEC">
              <w:rPr>
                <w:rFonts w:eastAsia="Times New Roman"/>
                <w:snapToGrid w:val="0"/>
                <w:kern w:val="22"/>
                <w:sz w:val="20"/>
                <w:szCs w:val="20"/>
                <w:lang w:val="fr-FR" w:eastAsia="ja-JP" w:bidi="fr-FR"/>
              </w:rPr>
              <w:t xml:space="preserve"> l’article 23, relatif au transfert de technologie, à la collaboration et à la coopération</w:t>
            </w:r>
          </w:p>
        </w:tc>
        <w:tc>
          <w:tcPr>
            <w:tcW w:w="4482" w:type="dxa"/>
            <w:tcBorders>
              <w:top w:val="single" w:sz="4" w:space="0" w:color="auto"/>
              <w:left w:val="single" w:sz="4" w:space="0" w:color="auto"/>
              <w:bottom w:val="single" w:sz="4" w:space="0" w:color="auto"/>
              <w:right w:val="single" w:sz="4" w:space="0" w:color="auto"/>
            </w:tcBorders>
          </w:tcPr>
          <w:p w14:paraId="61656F32"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Premiers rapports nationaux (question 57)</w:t>
            </w:r>
          </w:p>
          <w:p w14:paraId="0B67C89A" w14:textId="77777777" w:rsidR="00663BEC" w:rsidRPr="00663BEC" w:rsidRDefault="00663BEC"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Enquête ciblée</w:t>
            </w:r>
          </w:p>
          <w:p w14:paraId="278783F4" w14:textId="77777777" w:rsidR="00663BEC" w:rsidRPr="00663BEC" w:rsidRDefault="00663BEC" w:rsidP="00663BEC">
            <w:pPr>
              <w:tabs>
                <w:tab w:val="clear" w:pos="567"/>
                <w:tab w:val="clear" w:pos="1134"/>
                <w:tab w:val="clear" w:pos="1701"/>
                <w:tab w:val="clear" w:pos="2268"/>
                <w:tab w:val="left" w:pos="329"/>
              </w:tabs>
              <w:spacing w:before="40" w:after="40"/>
              <w:ind w:left="34" w:right="40"/>
              <w:rPr>
                <w:rFonts w:eastAsia="Times New Roman"/>
                <w:snapToGrid w:val="0"/>
                <w:kern w:val="22"/>
                <w:sz w:val="20"/>
                <w:szCs w:val="20"/>
                <w:lang w:val="fr-FR"/>
              </w:rPr>
            </w:pPr>
          </w:p>
        </w:tc>
      </w:tr>
      <w:tr w:rsidR="00663BEC" w:rsidRPr="00676CA6" w14:paraId="41E6541D" w14:textId="77777777" w:rsidTr="00837589">
        <w:trPr>
          <w:cantSplit/>
          <w:jc w:val="right"/>
        </w:trPr>
        <w:tc>
          <w:tcPr>
            <w:tcW w:w="4673" w:type="dxa"/>
            <w:tcBorders>
              <w:top w:val="single" w:sz="4" w:space="0" w:color="auto"/>
              <w:left w:val="single" w:sz="4" w:space="0" w:color="auto"/>
              <w:bottom w:val="single" w:sz="4" w:space="0" w:color="auto"/>
              <w:right w:val="single" w:sz="4" w:space="0" w:color="auto"/>
            </w:tcBorders>
          </w:tcPr>
          <w:p w14:paraId="215F1AB7" w14:textId="11600A5C" w:rsidR="00663BEC" w:rsidRPr="00663BEC" w:rsidRDefault="009F1754" w:rsidP="006C469E">
            <w:pPr>
              <w:tabs>
                <w:tab w:val="clear" w:pos="567"/>
                <w:tab w:val="clear" w:pos="1134"/>
                <w:tab w:val="clear" w:pos="1701"/>
                <w:tab w:val="clear" w:pos="2268"/>
              </w:tabs>
              <w:spacing w:before="40" w:after="40"/>
              <w:ind w:right="4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 xml:space="preserve">j) </w:t>
            </w:r>
            <w:r w:rsidR="00663BEC" w:rsidRPr="00663BEC">
              <w:rPr>
                <w:rFonts w:eastAsia="Times New Roman"/>
                <w:snapToGrid w:val="0"/>
                <w:kern w:val="22"/>
                <w:sz w:val="20"/>
                <w:szCs w:val="20"/>
                <w:lang w:val="fr-FR" w:eastAsia="ja-JP" w:bidi="fr-FR"/>
              </w:rPr>
              <w:t xml:space="preserve">Examen préliminaire des procédures et mécanismes de </w:t>
            </w:r>
            <w:r w:rsidR="006C469E">
              <w:rPr>
                <w:rFonts w:eastAsia="Times New Roman"/>
                <w:snapToGrid w:val="0"/>
                <w:kern w:val="22"/>
                <w:sz w:val="20"/>
                <w:szCs w:val="20"/>
                <w:lang w:val="fr-FR" w:eastAsia="ja-JP" w:bidi="fr-FR"/>
              </w:rPr>
              <w:t>respect des obligations</w:t>
            </w:r>
            <w:r w:rsidR="00663BEC" w:rsidRPr="00663BEC">
              <w:rPr>
                <w:rFonts w:eastAsia="Times New Roman"/>
                <w:snapToGrid w:val="0"/>
                <w:kern w:val="22"/>
                <w:sz w:val="20"/>
                <w:szCs w:val="20"/>
                <w:lang w:val="fr-FR" w:eastAsia="ja-JP" w:bidi="fr-FR"/>
              </w:rPr>
              <w:t xml:space="preserve"> (voir l’annexe à la </w:t>
            </w:r>
            <w:hyperlink r:id="rId23" w:history="1">
              <w:r w:rsidR="00663BEC" w:rsidRPr="00663BEC">
                <w:rPr>
                  <w:rFonts w:eastAsia="Times New Roman"/>
                  <w:snapToGrid w:val="0"/>
                  <w:kern w:val="22"/>
                  <w:sz w:val="20"/>
                  <w:szCs w:val="20"/>
                  <w:lang w:val="fr-FR" w:eastAsia="ja-JP" w:bidi="fr-FR"/>
                </w:rPr>
                <w:t>décision NP-1/4</w:t>
              </w:r>
            </w:hyperlink>
            <w:r w:rsidR="00663BEC" w:rsidRPr="00663BEC">
              <w:rPr>
                <w:rFonts w:eastAsia="Times New Roman"/>
                <w:snapToGrid w:val="0"/>
                <w:kern w:val="22"/>
                <w:sz w:val="20"/>
                <w:szCs w:val="20"/>
                <w:lang w:val="fr-FR" w:eastAsia="ja-JP" w:bidi="fr-FR"/>
              </w:rPr>
              <w:t>) (article 30)</w:t>
            </w:r>
          </w:p>
        </w:tc>
        <w:tc>
          <w:tcPr>
            <w:tcW w:w="4482" w:type="dxa"/>
            <w:tcBorders>
              <w:top w:val="single" w:sz="4" w:space="0" w:color="auto"/>
              <w:left w:val="single" w:sz="4" w:space="0" w:color="auto"/>
              <w:bottom w:val="single" w:sz="4" w:space="0" w:color="auto"/>
              <w:right w:val="single" w:sz="4" w:space="0" w:color="auto"/>
            </w:tcBorders>
          </w:tcPr>
          <w:p w14:paraId="5890A044" w14:textId="1AB2AA02" w:rsidR="00663BEC" w:rsidRPr="00663BEC" w:rsidRDefault="006C469E" w:rsidP="00663BEC">
            <w:pPr>
              <w:numPr>
                <w:ilvl w:val="0"/>
                <w:numId w:val="33"/>
              </w:numPr>
              <w:tabs>
                <w:tab w:val="clear" w:pos="567"/>
                <w:tab w:val="clear" w:pos="1134"/>
                <w:tab w:val="clear" w:pos="1701"/>
                <w:tab w:val="clear" w:pos="2268"/>
                <w:tab w:val="left" w:pos="329"/>
              </w:tabs>
              <w:spacing w:before="40" w:after="40"/>
              <w:ind w:left="34" w:right="40" w:firstLine="0"/>
              <w:contextualSpacing/>
              <w:jc w:val="left"/>
              <w:rPr>
                <w:rFonts w:eastAsia="Times New Roman"/>
                <w:snapToGrid w:val="0"/>
                <w:kern w:val="22"/>
                <w:sz w:val="20"/>
                <w:szCs w:val="20"/>
                <w:lang w:val="fr-FR" w:eastAsia="ja-JP"/>
              </w:rPr>
            </w:pPr>
            <w:r>
              <w:rPr>
                <w:rFonts w:eastAsia="Times New Roman"/>
                <w:snapToGrid w:val="0"/>
                <w:kern w:val="22"/>
                <w:sz w:val="20"/>
                <w:szCs w:val="20"/>
                <w:lang w:val="fr-FR" w:eastAsia="ja-JP" w:bidi="fr-FR"/>
              </w:rPr>
              <w:t>Communication</w:t>
            </w:r>
            <w:r w:rsidR="00663BEC" w:rsidRPr="00663BEC">
              <w:rPr>
                <w:rFonts w:eastAsia="Times New Roman"/>
                <w:snapToGrid w:val="0"/>
                <w:kern w:val="22"/>
                <w:sz w:val="20"/>
                <w:szCs w:val="20"/>
                <w:lang w:val="fr-FR" w:eastAsia="ja-JP" w:bidi="fr-FR"/>
              </w:rPr>
              <w:t xml:space="preserve"> de points de vue</w:t>
            </w:r>
          </w:p>
          <w:p w14:paraId="106D085B" w14:textId="03655A84" w:rsidR="00663BEC" w:rsidRPr="009F1754" w:rsidRDefault="00663BEC" w:rsidP="009F1754">
            <w:pPr>
              <w:numPr>
                <w:ilvl w:val="0"/>
                <w:numId w:val="33"/>
              </w:numPr>
              <w:tabs>
                <w:tab w:val="clear" w:pos="567"/>
                <w:tab w:val="clear" w:pos="1134"/>
                <w:tab w:val="clear" w:pos="1701"/>
                <w:tab w:val="clear" w:pos="2268"/>
                <w:tab w:val="left" w:pos="329"/>
              </w:tabs>
              <w:spacing w:before="40" w:after="40"/>
              <w:ind w:left="319" w:right="40" w:hanging="285"/>
              <w:contextualSpacing/>
              <w:jc w:val="left"/>
              <w:rPr>
                <w:rFonts w:eastAsia="Times New Roman"/>
                <w:snapToGrid w:val="0"/>
                <w:kern w:val="22"/>
                <w:sz w:val="20"/>
                <w:szCs w:val="20"/>
                <w:lang w:val="fr-FR" w:eastAsia="ja-JP"/>
              </w:rPr>
            </w:pPr>
            <w:r w:rsidRPr="00663BEC">
              <w:rPr>
                <w:rFonts w:eastAsia="Times New Roman"/>
                <w:snapToGrid w:val="0"/>
                <w:kern w:val="22"/>
                <w:sz w:val="20"/>
                <w:szCs w:val="20"/>
                <w:lang w:val="fr-FR" w:eastAsia="ja-JP" w:bidi="fr-FR"/>
              </w:rPr>
              <w:t xml:space="preserve">Rapport du Comité chargé du respect des </w:t>
            </w:r>
            <w:r w:rsidR="006C469E">
              <w:rPr>
                <w:rFonts w:eastAsia="Times New Roman"/>
                <w:snapToGrid w:val="0"/>
                <w:kern w:val="22"/>
                <w:sz w:val="20"/>
                <w:szCs w:val="20"/>
                <w:lang w:val="fr-FR" w:eastAsia="ja-JP" w:bidi="fr-FR"/>
              </w:rPr>
              <w:t>obliga</w:t>
            </w:r>
            <w:r w:rsidRPr="00663BEC">
              <w:rPr>
                <w:rFonts w:eastAsia="Times New Roman"/>
                <w:snapToGrid w:val="0"/>
                <w:kern w:val="22"/>
                <w:sz w:val="20"/>
                <w:szCs w:val="20"/>
                <w:lang w:val="fr-FR" w:eastAsia="ja-JP" w:bidi="fr-FR"/>
              </w:rPr>
              <w:t>tions</w:t>
            </w:r>
          </w:p>
        </w:tc>
      </w:tr>
    </w:tbl>
    <w:p w14:paraId="728BAF81" w14:textId="4E5F7040" w:rsidR="00A505FE" w:rsidRPr="00663BEC" w:rsidRDefault="00A505FE" w:rsidP="00A505FE">
      <w:pPr>
        <w:suppressLineNumbers/>
        <w:tabs>
          <w:tab w:val="clear" w:pos="567"/>
          <w:tab w:val="clear" w:pos="1134"/>
          <w:tab w:val="clear" w:pos="1701"/>
          <w:tab w:val="clear" w:pos="2268"/>
          <w:tab w:val="left" w:pos="360"/>
        </w:tabs>
        <w:suppressAutoHyphens/>
        <w:kinsoku w:val="0"/>
        <w:overflowPunct w:val="0"/>
        <w:autoSpaceDE w:val="0"/>
        <w:autoSpaceDN w:val="0"/>
        <w:adjustRightInd w:val="0"/>
        <w:snapToGrid w:val="0"/>
        <w:spacing w:before="120" w:after="120"/>
        <w:ind w:left="567"/>
        <w:rPr>
          <w:rFonts w:eastAsia="Malgun Gothic"/>
          <w:kern w:val="22"/>
          <w:sz w:val="18"/>
          <w:szCs w:val="18"/>
          <w:lang w:val="fr-FR"/>
        </w:rPr>
      </w:pPr>
      <w:bookmarkStart w:id="4" w:name="_Hlk163825083"/>
      <w:r>
        <w:rPr>
          <w:rFonts w:eastAsia="Malgun Gothic"/>
          <w:i/>
          <w:iCs/>
          <w:kern w:val="22"/>
          <w:sz w:val="18"/>
          <w:szCs w:val="18"/>
          <w:vertAlign w:val="superscript"/>
          <w:lang w:val="fr-FR"/>
        </w:rPr>
        <w:t>a</w:t>
      </w:r>
      <w:r w:rsidRPr="00663BEC">
        <w:rPr>
          <w:rFonts w:eastAsia="Malgun Gothic"/>
          <w:i/>
          <w:iCs/>
          <w:kern w:val="22"/>
          <w:sz w:val="18"/>
          <w:szCs w:val="18"/>
          <w:vertAlign w:val="superscript"/>
          <w:lang w:val="fr-FR"/>
        </w:rPr>
        <w:tab/>
      </w:r>
      <w:r w:rsidRPr="00663BEC">
        <w:rPr>
          <w:rFonts w:eastAsia="Times New Roman"/>
          <w:sz w:val="18"/>
          <w:szCs w:val="18"/>
          <w:lang w:val="fr-FR"/>
        </w:rPr>
        <w:t xml:space="preserve">L’élément a) porte sur tous les articles pertinents du Protocole </w:t>
      </w:r>
      <w:r>
        <w:rPr>
          <w:rFonts w:eastAsia="Times New Roman"/>
          <w:sz w:val="18"/>
          <w:szCs w:val="18"/>
          <w:lang w:val="fr-FR"/>
        </w:rPr>
        <w:t xml:space="preserve">de Nagoya </w:t>
      </w:r>
      <w:r w:rsidRPr="00663BEC">
        <w:rPr>
          <w:rFonts w:eastAsia="Times New Roman"/>
          <w:sz w:val="18"/>
          <w:szCs w:val="18"/>
          <w:lang w:val="fr-FR"/>
        </w:rPr>
        <w:t xml:space="preserve">couverts par le premier rapport national qui ne sont pas abordés </w:t>
      </w:r>
      <w:r w:rsidR="009753DD">
        <w:rPr>
          <w:rFonts w:eastAsia="Times New Roman"/>
          <w:sz w:val="18"/>
          <w:szCs w:val="18"/>
          <w:lang w:val="fr-FR"/>
        </w:rPr>
        <w:t>dans le cadre</w:t>
      </w:r>
      <w:r w:rsidRPr="00663BEC">
        <w:rPr>
          <w:rFonts w:eastAsia="Times New Roman"/>
          <w:sz w:val="18"/>
          <w:szCs w:val="18"/>
          <w:lang w:val="fr-FR"/>
        </w:rPr>
        <w:t xml:space="preserve"> d’autres éléments.</w:t>
      </w:r>
    </w:p>
    <w:p w14:paraId="3C35BA32" w14:textId="06B3F4F3" w:rsidR="00663BEC" w:rsidRPr="00663BEC" w:rsidRDefault="00A505FE" w:rsidP="00303F40">
      <w:pPr>
        <w:suppressLineNumbers/>
        <w:tabs>
          <w:tab w:val="clear" w:pos="567"/>
          <w:tab w:val="clear" w:pos="1134"/>
          <w:tab w:val="clear" w:pos="1701"/>
          <w:tab w:val="clear" w:pos="2268"/>
          <w:tab w:val="left" w:pos="360"/>
        </w:tabs>
        <w:suppressAutoHyphens/>
        <w:kinsoku w:val="0"/>
        <w:overflowPunct w:val="0"/>
        <w:autoSpaceDE w:val="0"/>
        <w:autoSpaceDN w:val="0"/>
        <w:adjustRightInd w:val="0"/>
        <w:snapToGrid w:val="0"/>
        <w:spacing w:before="120" w:after="120"/>
        <w:ind w:left="567"/>
        <w:rPr>
          <w:rFonts w:eastAsia="Malgun Gothic"/>
          <w:kern w:val="22"/>
          <w:sz w:val="18"/>
          <w:szCs w:val="18"/>
          <w:lang w:val="fr-FR"/>
        </w:rPr>
      </w:pPr>
      <w:r>
        <w:rPr>
          <w:rFonts w:eastAsia="Malgun Gothic"/>
          <w:i/>
          <w:iCs/>
          <w:kern w:val="22"/>
          <w:sz w:val="18"/>
          <w:szCs w:val="18"/>
          <w:vertAlign w:val="superscript"/>
          <w:lang w:val="fr-FR"/>
        </w:rPr>
        <w:t>b</w:t>
      </w:r>
      <w:r w:rsidR="00663BEC" w:rsidRPr="00663BEC">
        <w:rPr>
          <w:rFonts w:eastAsia="Malgun Gothic"/>
          <w:kern w:val="22"/>
          <w:sz w:val="18"/>
          <w:szCs w:val="18"/>
          <w:lang w:val="fr-FR"/>
        </w:rPr>
        <w:tab/>
      </w:r>
      <w:r w:rsidR="00663BEC" w:rsidRPr="00663BEC">
        <w:rPr>
          <w:rFonts w:eastAsia="Times New Roman"/>
          <w:sz w:val="18"/>
          <w:szCs w:val="18"/>
          <w:lang w:val="fr-FR" w:bidi="fr-FR"/>
        </w:rPr>
        <w:t>Le modèle d</w:t>
      </w:r>
      <w:r>
        <w:rPr>
          <w:rFonts w:eastAsia="Times New Roman"/>
          <w:sz w:val="18"/>
          <w:szCs w:val="18"/>
          <w:lang w:val="fr-FR" w:bidi="fr-FR"/>
        </w:rPr>
        <w:t>e</w:t>
      </w:r>
      <w:r w:rsidR="00663BEC" w:rsidRPr="00663BEC">
        <w:rPr>
          <w:rFonts w:eastAsia="Times New Roman"/>
          <w:sz w:val="18"/>
          <w:szCs w:val="18"/>
          <w:lang w:val="fr-FR" w:bidi="fr-FR"/>
        </w:rPr>
        <w:t xml:space="preserve"> premier rapport national est disponible à l’adresse suivante : </w:t>
      </w:r>
      <w:hyperlink r:id="rId24" w:history="1">
        <w:r w:rsidR="00663BEC" w:rsidRPr="00663BEC">
          <w:rPr>
            <w:rFonts w:eastAsia="Times New Roman"/>
            <w:color w:val="0000FF"/>
            <w:sz w:val="18"/>
            <w:szCs w:val="18"/>
            <w:u w:val="single"/>
            <w:lang w:val="fr-FR"/>
          </w:rPr>
          <w:t>https://absch.cbd.int/en/kb/tags/abs/First-National-Report-on-the-Implementation-of-the-Nagoya-Protocol/66199bba4defc2994ae886d7</w:t>
        </w:r>
      </w:hyperlink>
      <w:r w:rsidR="00663BEC" w:rsidRPr="00663BEC">
        <w:rPr>
          <w:rFonts w:eastAsia="Times New Roman"/>
          <w:sz w:val="18"/>
          <w:szCs w:val="18"/>
          <w:lang w:val="fr-FR"/>
        </w:rPr>
        <w:t>.</w:t>
      </w:r>
    </w:p>
    <w:p w14:paraId="2D4CB6AD" w14:textId="62BB623F" w:rsidR="00663BEC" w:rsidRPr="00663BEC" w:rsidRDefault="00663BEC" w:rsidP="00F63F1C">
      <w:pPr>
        <w:suppressLineNumbers/>
        <w:tabs>
          <w:tab w:val="clear" w:pos="567"/>
          <w:tab w:val="clear" w:pos="1134"/>
          <w:tab w:val="clear" w:pos="1701"/>
          <w:tab w:val="clear" w:pos="2268"/>
          <w:tab w:val="left" w:pos="360"/>
        </w:tabs>
        <w:suppressAutoHyphens/>
        <w:kinsoku w:val="0"/>
        <w:overflowPunct w:val="0"/>
        <w:autoSpaceDE w:val="0"/>
        <w:autoSpaceDN w:val="0"/>
        <w:adjustRightInd w:val="0"/>
        <w:snapToGrid w:val="0"/>
        <w:spacing w:before="120" w:after="120"/>
        <w:ind w:left="567"/>
        <w:rPr>
          <w:rFonts w:eastAsia="Malgun Gothic"/>
          <w:kern w:val="22"/>
          <w:sz w:val="18"/>
          <w:szCs w:val="18"/>
          <w:lang w:val="fr-FR"/>
        </w:rPr>
      </w:pPr>
      <w:r w:rsidRPr="00663BEC">
        <w:rPr>
          <w:rFonts w:eastAsia="Malgun Gothic"/>
          <w:i/>
          <w:iCs/>
          <w:kern w:val="22"/>
          <w:sz w:val="18"/>
          <w:szCs w:val="18"/>
          <w:vertAlign w:val="superscript"/>
          <w:lang w:val="fr-FR"/>
        </w:rPr>
        <w:t>c</w:t>
      </w:r>
      <w:r w:rsidRPr="00663BEC">
        <w:rPr>
          <w:rFonts w:eastAsia="Malgun Gothic"/>
          <w:i/>
          <w:iCs/>
          <w:kern w:val="22"/>
          <w:sz w:val="18"/>
          <w:szCs w:val="18"/>
          <w:vertAlign w:val="superscript"/>
          <w:lang w:val="fr-FR"/>
        </w:rPr>
        <w:tab/>
      </w:r>
      <w:r w:rsidRPr="00663BEC">
        <w:rPr>
          <w:rFonts w:eastAsia="Malgun Gothic"/>
          <w:kern w:val="22"/>
          <w:sz w:val="18"/>
          <w:szCs w:val="18"/>
          <w:lang w:val="fr-FR"/>
        </w:rPr>
        <w:t xml:space="preserve">Au paragraphe 18 a) de sa </w:t>
      </w:r>
      <w:r w:rsidR="007D6E2F" w:rsidRPr="007D6E2F">
        <w:rPr>
          <w:rFonts w:eastAsia="Times New Roman"/>
          <w:sz w:val="18"/>
          <w:szCs w:val="18"/>
          <w:lang w:val="fr-FR"/>
        </w:rPr>
        <w:t xml:space="preserve">décision </w:t>
      </w:r>
      <w:hyperlink r:id="rId25" w:history="1">
        <w:r w:rsidR="007D6E2F" w:rsidRPr="007D6E2F">
          <w:rPr>
            <w:rStyle w:val="Hyperlink"/>
            <w:sz w:val="18"/>
            <w:szCs w:val="18"/>
            <w:lang w:val="fr-FR"/>
          </w:rPr>
          <w:t>NP</w:t>
        </w:r>
        <w:r w:rsidR="007D6E2F" w:rsidRPr="007D6E2F">
          <w:rPr>
            <w:rStyle w:val="Hyperlink"/>
            <w:sz w:val="18"/>
            <w:szCs w:val="18"/>
            <w:lang w:val="fr-FR"/>
          </w:rPr>
          <w:noBreakHyphen/>
          <w:t>3</w:t>
        </w:r>
        <w:r w:rsidR="007D6E2F" w:rsidRPr="007D6E2F">
          <w:rPr>
            <w:rStyle w:val="Hyperlink"/>
            <w:sz w:val="18"/>
            <w:szCs w:val="18"/>
            <w:lang w:val="fr-FR"/>
          </w:rPr>
          <w:t>/</w:t>
        </w:r>
        <w:r w:rsidR="007D6E2F" w:rsidRPr="007D6E2F">
          <w:rPr>
            <w:rStyle w:val="Hyperlink"/>
            <w:sz w:val="18"/>
            <w:szCs w:val="18"/>
            <w:lang w:val="fr-FR"/>
          </w:rPr>
          <w:t>1 A</w:t>
        </w:r>
      </w:hyperlink>
      <w:r w:rsidRPr="008A1D72">
        <w:rPr>
          <w:rFonts w:eastAsia="Malgun Gothic"/>
          <w:kern w:val="22"/>
          <w:sz w:val="18"/>
          <w:szCs w:val="18"/>
          <w:lang w:val="fr-FR"/>
        </w:rPr>
        <w:t>,</w:t>
      </w:r>
      <w:r w:rsidRPr="007D6E2F">
        <w:rPr>
          <w:rFonts w:eastAsia="Malgun Gothic"/>
          <w:kern w:val="22"/>
          <w:sz w:val="18"/>
          <w:szCs w:val="18"/>
          <w:lang w:val="fr-FR"/>
        </w:rPr>
        <w:t xml:space="preserve"> la</w:t>
      </w:r>
      <w:r w:rsidRPr="00663BEC">
        <w:rPr>
          <w:rFonts w:eastAsia="Malgun Gothic"/>
          <w:kern w:val="22"/>
          <w:sz w:val="18"/>
          <w:szCs w:val="18"/>
          <w:lang w:val="fr-FR"/>
        </w:rPr>
        <w:t xml:space="preserve"> Conférence des Parties siégeant en tant que réunion des Parties au Protocole </w:t>
      </w:r>
      <w:r w:rsidR="001A4E66">
        <w:rPr>
          <w:rFonts w:eastAsia="Malgun Gothic"/>
          <w:kern w:val="22"/>
          <w:sz w:val="18"/>
          <w:szCs w:val="18"/>
          <w:lang w:val="fr-FR"/>
        </w:rPr>
        <w:t xml:space="preserve">de Nagoya </w:t>
      </w:r>
      <w:r w:rsidRPr="00663BEC">
        <w:rPr>
          <w:rFonts w:eastAsia="Malgun Gothic"/>
          <w:kern w:val="22"/>
          <w:sz w:val="18"/>
          <w:szCs w:val="18"/>
          <w:lang w:val="fr-FR"/>
        </w:rPr>
        <w:t>a demandé à la Secrétaire exécutive d</w:t>
      </w:r>
      <w:r w:rsidR="004722CA">
        <w:rPr>
          <w:rFonts w:eastAsia="Malgun Gothic"/>
          <w:kern w:val="22"/>
          <w:sz w:val="18"/>
          <w:szCs w:val="18"/>
          <w:lang w:val="fr-FR"/>
        </w:rPr>
        <w:t>e réaliser</w:t>
      </w:r>
      <w:r w:rsidRPr="00663BEC">
        <w:rPr>
          <w:rFonts w:eastAsia="Malgun Gothic"/>
          <w:kern w:val="22"/>
          <w:sz w:val="18"/>
          <w:szCs w:val="18"/>
          <w:lang w:val="fr-FR"/>
        </w:rPr>
        <w:t xml:space="preserve"> une enquête ciblée des correspondants nationaux chargés de l’accès et du partage des avantages, des autorités nationales compétentes et des utilisateurs et fournisseurs de ressources génétiques et/ou connaissances traditionnelles associées, sur les d</w:t>
      </w:r>
      <w:r w:rsidR="004722CA">
        <w:rPr>
          <w:rFonts w:eastAsia="Malgun Gothic"/>
          <w:kern w:val="22"/>
          <w:sz w:val="18"/>
          <w:szCs w:val="18"/>
          <w:lang w:val="fr-FR"/>
        </w:rPr>
        <w:t>ifficultés</w:t>
      </w:r>
      <w:r w:rsidRPr="00663BEC">
        <w:rPr>
          <w:rFonts w:eastAsia="Malgun Gothic"/>
          <w:kern w:val="22"/>
          <w:sz w:val="18"/>
          <w:szCs w:val="18"/>
          <w:lang w:val="fr-FR"/>
        </w:rPr>
        <w:t xml:space="preserve"> lié</w:t>
      </w:r>
      <w:r w:rsidR="004722CA">
        <w:rPr>
          <w:rFonts w:eastAsia="Malgun Gothic"/>
          <w:kern w:val="22"/>
          <w:sz w:val="18"/>
          <w:szCs w:val="18"/>
          <w:lang w:val="fr-FR"/>
        </w:rPr>
        <w:t>e</w:t>
      </w:r>
      <w:r w:rsidRPr="00663BEC">
        <w:rPr>
          <w:rFonts w:eastAsia="Malgun Gothic"/>
          <w:kern w:val="22"/>
          <w:sz w:val="18"/>
          <w:szCs w:val="18"/>
          <w:lang w:val="fr-FR"/>
        </w:rPr>
        <w:t>s à l’application du Protocole</w:t>
      </w:r>
      <w:r w:rsidR="004722CA">
        <w:rPr>
          <w:rFonts w:eastAsia="Malgun Gothic"/>
          <w:kern w:val="22"/>
          <w:sz w:val="18"/>
          <w:szCs w:val="18"/>
          <w:lang w:val="fr-FR"/>
        </w:rPr>
        <w:t>,</w:t>
      </w:r>
      <w:r w:rsidRPr="00663BEC">
        <w:rPr>
          <w:rFonts w:eastAsia="Malgun Gothic"/>
          <w:kern w:val="22"/>
          <w:sz w:val="18"/>
          <w:szCs w:val="18"/>
          <w:lang w:val="fr-FR"/>
        </w:rPr>
        <w:t xml:space="preserve"> afin de fournir une source d’information </w:t>
      </w:r>
      <w:r w:rsidR="00087A38">
        <w:rPr>
          <w:rFonts w:eastAsia="Malgun Gothic"/>
          <w:kern w:val="22"/>
          <w:sz w:val="18"/>
          <w:szCs w:val="18"/>
          <w:lang w:val="fr-FR"/>
        </w:rPr>
        <w:t xml:space="preserve">supplémentaire </w:t>
      </w:r>
      <w:r w:rsidRPr="00663BEC">
        <w:rPr>
          <w:rFonts w:eastAsia="Malgun Gothic"/>
          <w:kern w:val="22"/>
          <w:sz w:val="18"/>
          <w:szCs w:val="18"/>
          <w:lang w:val="fr-FR"/>
        </w:rPr>
        <w:t xml:space="preserve">dans les futurs processus d’évaluation et d’examen de l’efficacité du Protocole. </w:t>
      </w:r>
    </w:p>
    <w:p w14:paraId="7308C5D0" w14:textId="77777777" w:rsidR="00663BEC" w:rsidRPr="00663BEC" w:rsidRDefault="00663BEC" w:rsidP="00F63F1C">
      <w:pPr>
        <w:suppressLineNumbers/>
        <w:tabs>
          <w:tab w:val="clear" w:pos="567"/>
          <w:tab w:val="clear" w:pos="1134"/>
          <w:tab w:val="clear" w:pos="1701"/>
          <w:tab w:val="clear" w:pos="2268"/>
          <w:tab w:val="left" w:pos="360"/>
        </w:tabs>
        <w:suppressAutoHyphens/>
        <w:kinsoku w:val="0"/>
        <w:overflowPunct w:val="0"/>
        <w:autoSpaceDE w:val="0"/>
        <w:autoSpaceDN w:val="0"/>
        <w:adjustRightInd w:val="0"/>
        <w:snapToGrid w:val="0"/>
        <w:spacing w:before="120" w:after="120"/>
        <w:ind w:left="567"/>
        <w:rPr>
          <w:rFonts w:eastAsia="Malgun Gothic"/>
          <w:kern w:val="22"/>
          <w:sz w:val="18"/>
          <w:szCs w:val="18"/>
          <w:lang w:val="fr-FR"/>
        </w:rPr>
      </w:pPr>
      <w:r w:rsidRPr="00663BEC">
        <w:rPr>
          <w:rFonts w:eastAsia="Malgun Gothic"/>
          <w:i/>
          <w:kern w:val="22"/>
          <w:sz w:val="18"/>
          <w:szCs w:val="18"/>
          <w:vertAlign w:val="superscript"/>
          <w:lang w:val="fr-FR"/>
        </w:rPr>
        <w:t>d</w:t>
      </w:r>
      <w:r w:rsidRPr="00663BEC">
        <w:rPr>
          <w:rFonts w:eastAsia="Malgun Gothic"/>
          <w:i/>
          <w:kern w:val="22"/>
          <w:sz w:val="18"/>
          <w:szCs w:val="18"/>
          <w:vertAlign w:val="superscript"/>
          <w:lang w:val="fr-FR"/>
        </w:rPr>
        <w:tab/>
      </w:r>
      <w:r w:rsidRPr="00663BEC">
        <w:rPr>
          <w:rFonts w:eastAsia="Malgun Gothic"/>
          <w:kern w:val="22"/>
          <w:sz w:val="18"/>
          <w:szCs w:val="18"/>
          <w:lang w:val="fr-FR"/>
        </w:rPr>
        <w:t>Annexe à la décision 15/4.</w:t>
      </w:r>
    </w:p>
    <w:p w14:paraId="3299BAE5" w14:textId="7DA2DF19" w:rsidR="00663BEC" w:rsidRPr="00663BEC" w:rsidRDefault="00663BEC" w:rsidP="00F63F1C">
      <w:pPr>
        <w:suppressLineNumbers/>
        <w:tabs>
          <w:tab w:val="clear" w:pos="567"/>
          <w:tab w:val="clear" w:pos="1134"/>
          <w:tab w:val="clear" w:pos="1701"/>
          <w:tab w:val="clear" w:pos="2268"/>
          <w:tab w:val="left" w:pos="360"/>
        </w:tabs>
        <w:suppressAutoHyphens/>
        <w:kinsoku w:val="0"/>
        <w:overflowPunct w:val="0"/>
        <w:autoSpaceDE w:val="0"/>
        <w:autoSpaceDN w:val="0"/>
        <w:adjustRightInd w:val="0"/>
        <w:snapToGrid w:val="0"/>
        <w:spacing w:before="120" w:after="120"/>
        <w:ind w:left="567"/>
        <w:rPr>
          <w:rFonts w:eastAsia="Malgun Gothic"/>
          <w:kern w:val="22"/>
          <w:sz w:val="18"/>
          <w:szCs w:val="18"/>
          <w:lang w:val="fr-FR"/>
        </w:rPr>
      </w:pPr>
      <w:r w:rsidRPr="00663BEC">
        <w:rPr>
          <w:rFonts w:eastAsia="Malgun Gothic"/>
          <w:i/>
          <w:iCs/>
          <w:kern w:val="22"/>
          <w:sz w:val="18"/>
          <w:szCs w:val="18"/>
          <w:vertAlign w:val="superscript"/>
          <w:lang w:val="fr-FR"/>
        </w:rPr>
        <w:t>e</w:t>
      </w:r>
      <w:r w:rsidRPr="00663BEC">
        <w:rPr>
          <w:rFonts w:eastAsia="Malgun Gothic"/>
          <w:kern w:val="22"/>
          <w:sz w:val="18"/>
          <w:szCs w:val="18"/>
          <w:lang w:val="fr-FR"/>
        </w:rPr>
        <w:tab/>
        <w:t xml:space="preserve">Comprend le nombre de visiteurs, le pays </w:t>
      </w:r>
      <w:r w:rsidR="004B0BFF">
        <w:rPr>
          <w:rFonts w:eastAsia="Malgun Gothic"/>
          <w:kern w:val="22"/>
          <w:sz w:val="18"/>
          <w:szCs w:val="18"/>
          <w:lang w:val="fr-FR"/>
        </w:rPr>
        <w:t>d</w:t>
      </w:r>
      <w:r w:rsidR="00087A38">
        <w:rPr>
          <w:rFonts w:eastAsia="Malgun Gothic"/>
          <w:kern w:val="22"/>
          <w:sz w:val="18"/>
          <w:szCs w:val="18"/>
          <w:lang w:val="fr-FR"/>
        </w:rPr>
        <w:t>’origine</w:t>
      </w:r>
      <w:r w:rsidR="004B0BFF">
        <w:rPr>
          <w:rFonts w:eastAsia="Malgun Gothic"/>
          <w:kern w:val="22"/>
          <w:sz w:val="18"/>
          <w:szCs w:val="18"/>
          <w:lang w:val="fr-FR"/>
        </w:rPr>
        <w:t xml:space="preserve"> </w:t>
      </w:r>
      <w:r w:rsidRPr="00663BEC">
        <w:rPr>
          <w:rFonts w:eastAsia="Malgun Gothic"/>
          <w:kern w:val="22"/>
          <w:sz w:val="18"/>
          <w:szCs w:val="18"/>
          <w:lang w:val="fr-FR"/>
        </w:rPr>
        <w:t>des visiteurs et la durée moyenne de consultation d’une page Web.</w:t>
      </w:r>
    </w:p>
    <w:bookmarkEnd w:id="4"/>
    <w:p w14:paraId="062DDEF9" w14:textId="77777777" w:rsidR="00663BEC" w:rsidRPr="00663BEC" w:rsidRDefault="00663BEC" w:rsidP="00074BF2">
      <w:pPr>
        <w:tabs>
          <w:tab w:val="left" w:pos="2835"/>
          <w:tab w:val="left" w:pos="3402"/>
        </w:tabs>
        <w:spacing w:before="120" w:after="120"/>
        <w:rPr>
          <w:snapToGrid w:val="0"/>
          <w:lang w:val="fr-FR"/>
        </w:rPr>
      </w:pPr>
    </w:p>
    <w:p w14:paraId="17F31E5B" w14:textId="77777777" w:rsidR="002B559C" w:rsidRPr="00741BBB" w:rsidRDefault="00ED3849" w:rsidP="007A7F22">
      <w:pPr>
        <w:pStyle w:val="Para1"/>
        <w:numPr>
          <w:ilvl w:val="0"/>
          <w:numId w:val="0"/>
        </w:numPr>
        <w:jc w:val="center"/>
        <w:rPr>
          <w:lang w:val="fr-FR"/>
        </w:rPr>
      </w:pPr>
      <w:r w:rsidRPr="00741BBB">
        <w:rPr>
          <w:lang w:val="fr-FR"/>
        </w:rPr>
        <w:t>__________</w:t>
      </w:r>
    </w:p>
    <w:sectPr w:rsidR="002B559C" w:rsidRPr="00741BBB" w:rsidSect="007A7F22">
      <w:headerReference w:type="even" r:id="rId26"/>
      <w:headerReference w:type="default" r:id="rId27"/>
      <w:footerReference w:type="even" r:id="rId28"/>
      <w:footerReference w:type="default" r:id="rId2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61C5" w14:textId="77777777" w:rsidR="001C4C4C" w:rsidRDefault="001C4C4C" w:rsidP="00A96B21">
      <w:r>
        <w:separator/>
      </w:r>
    </w:p>
  </w:endnote>
  <w:endnote w:type="continuationSeparator" w:id="0">
    <w:p w14:paraId="4F4FEE35" w14:textId="77777777" w:rsidR="001C4C4C" w:rsidRDefault="001C4C4C" w:rsidP="00A96B21">
      <w:r>
        <w:continuationSeparator/>
      </w:r>
    </w:p>
  </w:endnote>
  <w:endnote w:type="continuationNotice" w:id="1">
    <w:p w14:paraId="6282C407" w14:textId="77777777" w:rsidR="001C4C4C" w:rsidRDefault="001C4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2F3C" w14:textId="77777777" w:rsidR="001C4C4C" w:rsidRDefault="001C4C4C" w:rsidP="00A96B21">
      <w:r>
        <w:separator/>
      </w:r>
    </w:p>
  </w:footnote>
  <w:footnote w:type="continuationSeparator" w:id="0">
    <w:p w14:paraId="3B61FA5D" w14:textId="77777777" w:rsidR="001C4C4C" w:rsidRDefault="001C4C4C" w:rsidP="00A96B21">
      <w:r>
        <w:continuationSeparator/>
      </w:r>
    </w:p>
  </w:footnote>
  <w:footnote w:type="continuationNotice" w:id="1">
    <w:p w14:paraId="6A1287D7" w14:textId="77777777" w:rsidR="001C4C4C" w:rsidRDefault="001C4C4C"/>
  </w:footnote>
  <w:footnote w:id="2">
    <w:p w14:paraId="4215E33A" w14:textId="0F63F617" w:rsidR="00663BEC" w:rsidRPr="00676CA6" w:rsidRDefault="00663BEC" w:rsidP="00663BEC">
      <w:pPr>
        <w:pStyle w:val="FootnoteText"/>
        <w:rPr>
          <w:lang w:val="fr-FR"/>
        </w:rPr>
      </w:pPr>
      <w:r w:rsidRPr="00E055A9">
        <w:rPr>
          <w:rStyle w:val="FootnoteReference"/>
          <w:lang w:val="fr-FR" w:bidi="fr-FR"/>
        </w:rPr>
        <w:footnoteRef/>
      </w:r>
      <w:r w:rsidRPr="00E055A9">
        <w:rPr>
          <w:lang w:val="fr-FR" w:bidi="fr-FR"/>
        </w:rPr>
        <w:t xml:space="preserve"> </w:t>
      </w:r>
      <w:r w:rsidRPr="00E055A9">
        <w:rPr>
          <w:szCs w:val="18"/>
          <w:lang w:val="fr-FR" w:bidi="fr-FR"/>
        </w:rPr>
        <w:t xml:space="preserve">Nations Unies, </w:t>
      </w:r>
      <w:r w:rsidR="007F7405">
        <w:rPr>
          <w:i/>
          <w:szCs w:val="18"/>
          <w:lang w:val="fr-FR" w:bidi="fr-FR"/>
        </w:rPr>
        <w:t>Recueil</w:t>
      </w:r>
      <w:r w:rsidRPr="00E055A9">
        <w:rPr>
          <w:i/>
          <w:szCs w:val="18"/>
          <w:lang w:val="fr-FR" w:bidi="fr-FR"/>
        </w:rPr>
        <w:t xml:space="preserve"> des Traités</w:t>
      </w:r>
      <w:r w:rsidRPr="00E055A9">
        <w:rPr>
          <w:szCs w:val="18"/>
          <w:lang w:val="fr-FR" w:bidi="fr-FR"/>
        </w:rPr>
        <w:t>, vol.</w:t>
      </w:r>
      <w:r>
        <w:rPr>
          <w:szCs w:val="18"/>
          <w:lang w:val="fr-FR" w:bidi="fr-FR"/>
        </w:rPr>
        <w:t> </w:t>
      </w:r>
      <w:r w:rsidRPr="00E055A9">
        <w:rPr>
          <w:szCs w:val="18"/>
          <w:lang w:val="fr-FR" w:bidi="fr-FR"/>
        </w:rPr>
        <w:t>3008, n</w:t>
      </w:r>
      <w:r>
        <w:rPr>
          <w:szCs w:val="18"/>
          <w:vertAlign w:val="superscript"/>
          <w:lang w:val="fr-FR" w:bidi="fr-FR"/>
        </w:rPr>
        <w:t>o</w:t>
      </w:r>
      <w:r>
        <w:rPr>
          <w:szCs w:val="18"/>
          <w:lang w:val="fr-FR" w:bidi="fr-FR"/>
        </w:rPr>
        <w:t> </w:t>
      </w:r>
      <w:r w:rsidRPr="00E055A9">
        <w:rPr>
          <w:szCs w:val="18"/>
          <w:lang w:val="fr-FR" w:bidi="fr-FR"/>
        </w:rPr>
        <w:t>30619.</w:t>
      </w:r>
    </w:p>
  </w:footnote>
  <w:footnote w:id="3">
    <w:p w14:paraId="5CBB12EB" w14:textId="0E365D0D" w:rsidR="00663BEC" w:rsidRPr="00400894" w:rsidRDefault="00663BEC" w:rsidP="00AF7ACE">
      <w:pPr>
        <w:pStyle w:val="Para2"/>
        <w:spacing w:before="0" w:after="0"/>
        <w:ind w:left="0"/>
        <w:jc w:val="left"/>
        <w:rPr>
          <w:sz w:val="18"/>
          <w:szCs w:val="18"/>
          <w:lang w:val="fr-FR"/>
        </w:rPr>
      </w:pPr>
      <w:r w:rsidRPr="00400894">
        <w:rPr>
          <w:rStyle w:val="FootnoteReference"/>
          <w:sz w:val="18"/>
          <w:szCs w:val="18"/>
          <w:lang w:val="fr-FR" w:bidi="fr-FR"/>
        </w:rPr>
        <w:footnoteRef/>
      </w:r>
      <w:r w:rsidRPr="00400894">
        <w:rPr>
          <w:sz w:val="18"/>
          <w:szCs w:val="18"/>
          <w:lang w:val="fr-FR" w:bidi="fr-FR"/>
        </w:rPr>
        <w:t xml:space="preserve"> </w:t>
      </w:r>
      <w:r w:rsidR="008C77F3">
        <w:rPr>
          <w:sz w:val="18"/>
          <w:szCs w:val="18"/>
          <w:lang w:val="fr-FR"/>
        </w:rPr>
        <w:t xml:space="preserve">Au </w:t>
      </w:r>
      <w:r w:rsidR="008C3630" w:rsidRPr="008C3630">
        <w:rPr>
          <w:sz w:val="18"/>
          <w:szCs w:val="18"/>
          <w:lang w:val="fr-FR"/>
        </w:rPr>
        <w:t>paragraph</w:t>
      </w:r>
      <w:r w:rsidR="008C77F3">
        <w:rPr>
          <w:sz w:val="18"/>
          <w:szCs w:val="18"/>
          <w:lang w:val="fr-FR"/>
        </w:rPr>
        <w:t>e</w:t>
      </w:r>
      <w:r w:rsidR="008C3630" w:rsidRPr="008C3630">
        <w:rPr>
          <w:sz w:val="18"/>
          <w:szCs w:val="18"/>
          <w:lang w:val="fr-FR"/>
        </w:rPr>
        <w:t xml:space="preserve"> 10 b) </w:t>
      </w:r>
      <w:r w:rsidR="008C77F3">
        <w:rPr>
          <w:sz w:val="18"/>
          <w:szCs w:val="18"/>
          <w:lang w:val="fr-FR"/>
        </w:rPr>
        <w:t>de la</w:t>
      </w:r>
      <w:r w:rsidR="008C3630" w:rsidRPr="008C3630">
        <w:rPr>
          <w:sz w:val="18"/>
          <w:szCs w:val="18"/>
          <w:lang w:val="fr-FR"/>
        </w:rPr>
        <w:t xml:space="preserve"> d</w:t>
      </w:r>
      <w:r w:rsidR="008C77F3">
        <w:rPr>
          <w:sz w:val="18"/>
          <w:szCs w:val="18"/>
          <w:lang w:val="fr-FR"/>
        </w:rPr>
        <w:t>é</w:t>
      </w:r>
      <w:r w:rsidR="008C3630" w:rsidRPr="008C3630">
        <w:rPr>
          <w:sz w:val="18"/>
          <w:szCs w:val="18"/>
          <w:lang w:val="fr-FR"/>
        </w:rPr>
        <w:t xml:space="preserve">cision NP-5/3, </w:t>
      </w:r>
      <w:r w:rsidR="008C77F3">
        <w:rPr>
          <w:sz w:val="18"/>
          <w:szCs w:val="18"/>
          <w:lang w:val="fr-FR"/>
        </w:rPr>
        <w:t>la</w:t>
      </w:r>
      <w:r w:rsidR="008C3630" w:rsidRPr="008C3630">
        <w:rPr>
          <w:sz w:val="18"/>
          <w:szCs w:val="18"/>
          <w:lang w:val="fr-FR"/>
        </w:rPr>
        <w:t xml:space="preserve"> Conf</w:t>
      </w:r>
      <w:r w:rsidR="008C77F3">
        <w:rPr>
          <w:sz w:val="18"/>
          <w:szCs w:val="18"/>
          <w:lang w:val="fr-FR"/>
        </w:rPr>
        <w:t>é</w:t>
      </w:r>
      <w:r w:rsidR="008C3630" w:rsidRPr="008C3630">
        <w:rPr>
          <w:sz w:val="18"/>
          <w:szCs w:val="18"/>
          <w:lang w:val="fr-FR"/>
        </w:rPr>
        <w:t xml:space="preserve">rence </w:t>
      </w:r>
      <w:r w:rsidR="008C77F3">
        <w:rPr>
          <w:sz w:val="18"/>
          <w:szCs w:val="18"/>
          <w:lang w:val="fr-FR"/>
        </w:rPr>
        <w:t>des</w:t>
      </w:r>
      <w:r w:rsidR="008C3630" w:rsidRPr="008C3630">
        <w:rPr>
          <w:sz w:val="18"/>
          <w:szCs w:val="18"/>
          <w:lang w:val="fr-FR"/>
        </w:rPr>
        <w:t xml:space="preserve"> Parties s</w:t>
      </w:r>
      <w:r w:rsidR="008C77F3">
        <w:rPr>
          <w:sz w:val="18"/>
          <w:szCs w:val="18"/>
          <w:lang w:val="fr-FR"/>
        </w:rPr>
        <w:t>iégeant en tant que réunion des</w:t>
      </w:r>
      <w:r w:rsidR="008C3630" w:rsidRPr="008C3630">
        <w:rPr>
          <w:sz w:val="18"/>
          <w:szCs w:val="18"/>
          <w:lang w:val="fr-FR"/>
        </w:rPr>
        <w:t xml:space="preserve"> Parties </w:t>
      </w:r>
      <w:r w:rsidR="008C77F3">
        <w:rPr>
          <w:sz w:val="18"/>
          <w:szCs w:val="18"/>
          <w:lang w:val="fr-FR"/>
        </w:rPr>
        <w:t>au Protocole de</w:t>
      </w:r>
      <w:r w:rsidR="008C3630" w:rsidRPr="008C3630">
        <w:rPr>
          <w:sz w:val="18"/>
          <w:szCs w:val="18"/>
          <w:lang w:val="fr-FR"/>
        </w:rPr>
        <w:t xml:space="preserve"> Nagoya </w:t>
      </w:r>
      <w:r w:rsidR="008C77F3">
        <w:rPr>
          <w:sz w:val="18"/>
          <w:szCs w:val="18"/>
          <w:lang w:val="fr-FR"/>
        </w:rPr>
        <w:t xml:space="preserve">a </w:t>
      </w:r>
      <w:r w:rsidR="008C3630" w:rsidRPr="008C3630">
        <w:rPr>
          <w:sz w:val="18"/>
          <w:szCs w:val="18"/>
          <w:lang w:val="fr-FR"/>
        </w:rPr>
        <w:t>d</w:t>
      </w:r>
      <w:r w:rsidR="008C77F3">
        <w:rPr>
          <w:sz w:val="18"/>
          <w:szCs w:val="18"/>
          <w:lang w:val="fr-FR"/>
        </w:rPr>
        <w:t>é</w:t>
      </w:r>
      <w:r w:rsidR="008C3630" w:rsidRPr="008C3630">
        <w:rPr>
          <w:sz w:val="18"/>
          <w:szCs w:val="18"/>
          <w:lang w:val="fr-FR"/>
        </w:rPr>
        <w:t>cid</w:t>
      </w:r>
      <w:r w:rsidR="008C77F3">
        <w:rPr>
          <w:sz w:val="18"/>
          <w:szCs w:val="18"/>
          <w:lang w:val="fr-FR"/>
        </w:rPr>
        <w:t>é d’</w:t>
      </w:r>
      <w:r w:rsidR="00F82DD9" w:rsidRPr="008C3630">
        <w:rPr>
          <w:sz w:val="18"/>
          <w:szCs w:val="18"/>
          <w:lang w:val="fr-FR" w:bidi="fr-FR"/>
        </w:rPr>
        <w:t>élargi</w:t>
      </w:r>
      <w:r w:rsidR="008C77F3">
        <w:rPr>
          <w:sz w:val="18"/>
          <w:szCs w:val="18"/>
          <w:lang w:val="fr-FR" w:bidi="fr-FR"/>
        </w:rPr>
        <w:t>r</w:t>
      </w:r>
      <w:r w:rsidR="00F82DD9" w:rsidRPr="008C3630">
        <w:rPr>
          <w:sz w:val="18"/>
          <w:szCs w:val="18"/>
          <w:lang w:val="fr-FR" w:bidi="fr-FR"/>
        </w:rPr>
        <w:t xml:space="preserve"> </w:t>
      </w:r>
      <w:r w:rsidRPr="008C3630">
        <w:rPr>
          <w:sz w:val="18"/>
          <w:szCs w:val="18"/>
          <w:lang w:val="fr-FR" w:bidi="fr-FR"/>
        </w:rPr>
        <w:t>le mandat du Comité consultatif informel sur le renforcement des capacités pour l</w:t>
      </w:r>
      <w:r w:rsidR="00F82DD9" w:rsidRPr="008C3630">
        <w:rPr>
          <w:sz w:val="18"/>
          <w:szCs w:val="18"/>
          <w:lang w:val="fr-FR" w:bidi="fr-FR"/>
        </w:rPr>
        <w:t>’application</w:t>
      </w:r>
      <w:r w:rsidRPr="008C3630">
        <w:rPr>
          <w:sz w:val="18"/>
          <w:szCs w:val="18"/>
          <w:lang w:val="fr-FR" w:bidi="fr-FR"/>
        </w:rPr>
        <w:t xml:space="preserve"> du Protocole de Nagoya</w:t>
      </w:r>
      <w:r w:rsidR="001B7883">
        <w:rPr>
          <w:sz w:val="18"/>
          <w:szCs w:val="18"/>
          <w:lang w:val="fr-FR" w:bidi="fr-FR"/>
        </w:rPr>
        <w:t>,</w:t>
      </w:r>
      <w:r w:rsidRPr="008C3630">
        <w:rPr>
          <w:sz w:val="18"/>
          <w:szCs w:val="18"/>
          <w:lang w:val="fr-FR" w:bidi="fr-FR"/>
        </w:rPr>
        <w:t xml:space="preserve"> afin d’y inclure la fourniture d’avis sur des questions plus généralement liées à l</w:t>
      </w:r>
      <w:r w:rsidR="00F82DD9" w:rsidRPr="008C3630">
        <w:rPr>
          <w:sz w:val="18"/>
          <w:szCs w:val="18"/>
          <w:lang w:val="fr-FR" w:bidi="fr-FR"/>
        </w:rPr>
        <w:t>’application</w:t>
      </w:r>
      <w:r w:rsidR="00F82DD9">
        <w:rPr>
          <w:sz w:val="18"/>
          <w:szCs w:val="18"/>
          <w:lang w:val="fr-FR" w:bidi="fr-FR"/>
        </w:rPr>
        <w:t xml:space="preserve"> </w:t>
      </w:r>
      <w:r w:rsidRPr="00400894">
        <w:rPr>
          <w:sz w:val="18"/>
          <w:szCs w:val="18"/>
          <w:lang w:val="fr-FR" w:bidi="fr-FR"/>
        </w:rPr>
        <w:t>du Protocole.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5AEBBB67" w14:textId="306AF4BE" w:rsidR="002B559C" w:rsidRPr="002B559C" w:rsidRDefault="00152517"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63AAE" w:rsidRPr="005858BB">
          <w:rPr>
            <w:szCs w:val="20"/>
            <w:lang w:val="fr-FR"/>
          </w:rPr>
          <w:t>CBD</w:t>
        </w:r>
        <w:r w:rsidR="00363AAE">
          <w:rPr>
            <w:szCs w:val="20"/>
            <w:lang w:val="fr-FR"/>
          </w:rPr>
          <w:t>/</w:t>
        </w:r>
        <w:r w:rsidR="00363AAE" w:rsidRPr="005858BB">
          <w:rPr>
            <w:szCs w:val="20"/>
            <w:lang w:val="fr-FR"/>
          </w:rPr>
          <w:t>NP/MOP/</w:t>
        </w:r>
        <w:r w:rsidR="007F7405">
          <w:rPr>
            <w:szCs w:val="20"/>
            <w:lang w:val="fr-FR"/>
          </w:rPr>
          <w:t>DEC/</w:t>
        </w:r>
        <w:r w:rsidR="00363AAE" w:rsidRPr="005858BB">
          <w:rPr>
            <w:szCs w:val="20"/>
            <w:lang w:val="fr-FR"/>
          </w:rPr>
          <w:t>5/</w:t>
        </w:r>
        <w:r w:rsidR="00F26D04">
          <w:rPr>
            <w:szCs w:val="20"/>
            <w:lang w:val="fr-FR"/>
          </w:rPr>
          <w:t>5</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0602391D" w:rsidR="002B559C" w:rsidRPr="002B559C" w:rsidRDefault="007F7405" w:rsidP="002B559C">
        <w:pPr>
          <w:pStyle w:val="Header"/>
          <w:spacing w:after="240"/>
          <w:jc w:val="right"/>
          <w:rPr>
            <w:szCs w:val="20"/>
            <w:lang w:val="fr-FR"/>
          </w:rPr>
        </w:pPr>
        <w:r>
          <w:rPr>
            <w:szCs w:val="20"/>
            <w:lang w:val="fr-FR"/>
          </w:rPr>
          <w:t>CBD/NP/MOP/DEC/5/5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12B"/>
    <w:multiLevelType w:val="hybridMultilevel"/>
    <w:tmpl w:val="39C82276"/>
    <w:lvl w:ilvl="0" w:tplc="0D9214B8">
      <w:start w:val="1"/>
      <w:numFmt w:val="lowerLetter"/>
      <w:lvlText w:val="%1)"/>
      <w:lvlJc w:val="left"/>
      <w:pPr>
        <w:ind w:left="400" w:hanging="360"/>
      </w:pPr>
      <w:rPr>
        <w:rFonts w:hint="default"/>
      </w:rPr>
    </w:lvl>
    <w:lvl w:ilvl="1" w:tplc="0C0C0019" w:tentative="1">
      <w:start w:val="1"/>
      <w:numFmt w:val="lowerLetter"/>
      <w:lvlText w:val="%2."/>
      <w:lvlJc w:val="left"/>
      <w:pPr>
        <w:ind w:left="1120" w:hanging="360"/>
      </w:pPr>
    </w:lvl>
    <w:lvl w:ilvl="2" w:tplc="0C0C001B" w:tentative="1">
      <w:start w:val="1"/>
      <w:numFmt w:val="lowerRoman"/>
      <w:lvlText w:val="%3."/>
      <w:lvlJc w:val="right"/>
      <w:pPr>
        <w:ind w:left="1840" w:hanging="180"/>
      </w:pPr>
    </w:lvl>
    <w:lvl w:ilvl="3" w:tplc="0C0C000F" w:tentative="1">
      <w:start w:val="1"/>
      <w:numFmt w:val="decimal"/>
      <w:lvlText w:val="%4."/>
      <w:lvlJc w:val="left"/>
      <w:pPr>
        <w:ind w:left="2560" w:hanging="360"/>
      </w:pPr>
    </w:lvl>
    <w:lvl w:ilvl="4" w:tplc="0C0C0019" w:tentative="1">
      <w:start w:val="1"/>
      <w:numFmt w:val="lowerLetter"/>
      <w:lvlText w:val="%5."/>
      <w:lvlJc w:val="left"/>
      <w:pPr>
        <w:ind w:left="3280" w:hanging="360"/>
      </w:pPr>
    </w:lvl>
    <w:lvl w:ilvl="5" w:tplc="0C0C001B" w:tentative="1">
      <w:start w:val="1"/>
      <w:numFmt w:val="lowerRoman"/>
      <w:lvlText w:val="%6."/>
      <w:lvlJc w:val="right"/>
      <w:pPr>
        <w:ind w:left="4000" w:hanging="180"/>
      </w:pPr>
    </w:lvl>
    <w:lvl w:ilvl="6" w:tplc="0C0C000F" w:tentative="1">
      <w:start w:val="1"/>
      <w:numFmt w:val="decimal"/>
      <w:lvlText w:val="%7."/>
      <w:lvlJc w:val="left"/>
      <w:pPr>
        <w:ind w:left="4720" w:hanging="360"/>
      </w:pPr>
    </w:lvl>
    <w:lvl w:ilvl="7" w:tplc="0C0C0019" w:tentative="1">
      <w:start w:val="1"/>
      <w:numFmt w:val="lowerLetter"/>
      <w:lvlText w:val="%8."/>
      <w:lvlJc w:val="left"/>
      <w:pPr>
        <w:ind w:left="5440" w:hanging="360"/>
      </w:pPr>
    </w:lvl>
    <w:lvl w:ilvl="8" w:tplc="0C0C001B" w:tentative="1">
      <w:start w:val="1"/>
      <w:numFmt w:val="lowerRoman"/>
      <w:lvlText w:val="%9."/>
      <w:lvlJc w:val="right"/>
      <w:pPr>
        <w:ind w:left="6160"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2436D9A"/>
    <w:multiLevelType w:val="hybridMultilevel"/>
    <w:tmpl w:val="E57C8970"/>
    <w:lvl w:ilvl="0" w:tplc="F030F4AC">
      <w:start w:val="1"/>
      <w:numFmt w:val="bullet"/>
      <w:lvlText w:val=""/>
      <w:lvlJc w:val="left"/>
      <w:pPr>
        <w:ind w:left="760" w:hanging="360"/>
      </w:pPr>
      <w:rPr>
        <w:rFonts w:ascii="Symbol" w:hAnsi="Symbol" w:hint="default"/>
      </w:rPr>
    </w:lvl>
    <w:lvl w:ilvl="1" w:tplc="0C0C0003" w:tentative="1">
      <w:start w:val="1"/>
      <w:numFmt w:val="bullet"/>
      <w:lvlText w:val="o"/>
      <w:lvlJc w:val="left"/>
      <w:pPr>
        <w:ind w:left="1480" w:hanging="360"/>
      </w:pPr>
      <w:rPr>
        <w:rFonts w:ascii="Courier New" w:hAnsi="Courier New" w:cs="Courier New" w:hint="default"/>
      </w:rPr>
    </w:lvl>
    <w:lvl w:ilvl="2" w:tplc="0C0C0005" w:tentative="1">
      <w:start w:val="1"/>
      <w:numFmt w:val="bullet"/>
      <w:lvlText w:val=""/>
      <w:lvlJc w:val="left"/>
      <w:pPr>
        <w:ind w:left="2200" w:hanging="360"/>
      </w:pPr>
      <w:rPr>
        <w:rFonts w:ascii="Wingdings" w:hAnsi="Wingdings" w:hint="default"/>
      </w:rPr>
    </w:lvl>
    <w:lvl w:ilvl="3" w:tplc="0C0C0001" w:tentative="1">
      <w:start w:val="1"/>
      <w:numFmt w:val="bullet"/>
      <w:lvlText w:val=""/>
      <w:lvlJc w:val="left"/>
      <w:pPr>
        <w:ind w:left="2920" w:hanging="360"/>
      </w:pPr>
      <w:rPr>
        <w:rFonts w:ascii="Symbol" w:hAnsi="Symbol" w:hint="default"/>
      </w:rPr>
    </w:lvl>
    <w:lvl w:ilvl="4" w:tplc="0C0C0003" w:tentative="1">
      <w:start w:val="1"/>
      <w:numFmt w:val="bullet"/>
      <w:lvlText w:val="o"/>
      <w:lvlJc w:val="left"/>
      <w:pPr>
        <w:ind w:left="3640" w:hanging="360"/>
      </w:pPr>
      <w:rPr>
        <w:rFonts w:ascii="Courier New" w:hAnsi="Courier New" w:cs="Courier New" w:hint="default"/>
      </w:rPr>
    </w:lvl>
    <w:lvl w:ilvl="5" w:tplc="0C0C0005" w:tentative="1">
      <w:start w:val="1"/>
      <w:numFmt w:val="bullet"/>
      <w:lvlText w:val=""/>
      <w:lvlJc w:val="left"/>
      <w:pPr>
        <w:ind w:left="4360" w:hanging="360"/>
      </w:pPr>
      <w:rPr>
        <w:rFonts w:ascii="Wingdings" w:hAnsi="Wingdings" w:hint="default"/>
      </w:rPr>
    </w:lvl>
    <w:lvl w:ilvl="6" w:tplc="0C0C0001" w:tentative="1">
      <w:start w:val="1"/>
      <w:numFmt w:val="bullet"/>
      <w:lvlText w:val=""/>
      <w:lvlJc w:val="left"/>
      <w:pPr>
        <w:ind w:left="5080" w:hanging="360"/>
      </w:pPr>
      <w:rPr>
        <w:rFonts w:ascii="Symbol" w:hAnsi="Symbol" w:hint="default"/>
      </w:rPr>
    </w:lvl>
    <w:lvl w:ilvl="7" w:tplc="0C0C0003" w:tentative="1">
      <w:start w:val="1"/>
      <w:numFmt w:val="bullet"/>
      <w:lvlText w:val="o"/>
      <w:lvlJc w:val="left"/>
      <w:pPr>
        <w:ind w:left="5800" w:hanging="360"/>
      </w:pPr>
      <w:rPr>
        <w:rFonts w:ascii="Courier New" w:hAnsi="Courier New" w:cs="Courier New" w:hint="default"/>
      </w:rPr>
    </w:lvl>
    <w:lvl w:ilvl="8" w:tplc="0C0C0005" w:tentative="1">
      <w:start w:val="1"/>
      <w:numFmt w:val="bullet"/>
      <w:lvlText w:val=""/>
      <w:lvlJc w:val="left"/>
      <w:pPr>
        <w:ind w:left="6520" w:hanging="360"/>
      </w:pPr>
      <w:rPr>
        <w:rFonts w:ascii="Wingdings" w:hAnsi="Wingdings" w:hint="default"/>
      </w:rPr>
    </w:lvl>
  </w:abstractNum>
  <w:abstractNum w:abstractNumId="6" w15:restartNumberingAfterBreak="0">
    <w:nsid w:val="41C56909"/>
    <w:multiLevelType w:val="hybridMultilevel"/>
    <w:tmpl w:val="6C8A5200"/>
    <w:lvl w:ilvl="0" w:tplc="140C0017">
      <w:start w:val="2"/>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7"/>
  </w:num>
  <w:num w:numId="2" w16cid:durableId="2069499237">
    <w:abstractNumId w:val="15"/>
  </w:num>
  <w:num w:numId="3" w16cid:durableId="158270868">
    <w:abstractNumId w:val="19"/>
  </w:num>
  <w:num w:numId="4" w16cid:durableId="159275565">
    <w:abstractNumId w:val="1"/>
  </w:num>
  <w:num w:numId="5" w16cid:durableId="271714945">
    <w:abstractNumId w:val="2"/>
  </w:num>
  <w:num w:numId="6" w16cid:durableId="1351487209">
    <w:abstractNumId w:val="2"/>
  </w:num>
  <w:num w:numId="7" w16cid:durableId="1612737127">
    <w:abstractNumId w:val="4"/>
  </w:num>
  <w:num w:numId="8" w16cid:durableId="1334139419">
    <w:abstractNumId w:val="10"/>
  </w:num>
  <w:num w:numId="9" w16cid:durableId="935023265">
    <w:abstractNumId w:val="14"/>
  </w:num>
  <w:num w:numId="10" w16cid:durableId="268247158">
    <w:abstractNumId w:val="13"/>
  </w:num>
  <w:num w:numId="11" w16cid:durableId="143207059">
    <w:abstractNumId w:val="9"/>
  </w:num>
  <w:num w:numId="12" w16cid:durableId="445121453">
    <w:abstractNumId w:val="3"/>
  </w:num>
  <w:num w:numId="13" w16cid:durableId="1263953771">
    <w:abstractNumId w:val="3"/>
    <w:lvlOverride w:ilvl="0">
      <w:startOverride w:val="1"/>
    </w:lvlOverride>
  </w:num>
  <w:num w:numId="14" w16cid:durableId="199586161">
    <w:abstractNumId w:val="12"/>
  </w:num>
  <w:num w:numId="15" w16cid:durableId="584072443">
    <w:abstractNumId w:val="12"/>
    <w:lvlOverride w:ilvl="0">
      <w:startOverride w:val="1"/>
    </w:lvlOverride>
  </w:num>
  <w:num w:numId="16" w16cid:durableId="1638680439">
    <w:abstractNumId w:val="15"/>
    <w:lvlOverride w:ilvl="0">
      <w:startOverride w:val="1"/>
    </w:lvlOverride>
  </w:num>
  <w:num w:numId="17" w16cid:durableId="1376001245">
    <w:abstractNumId w:val="12"/>
    <w:lvlOverride w:ilvl="0">
      <w:startOverride w:val="1"/>
    </w:lvlOverride>
  </w:num>
  <w:num w:numId="18" w16cid:durableId="1480611021">
    <w:abstractNumId w:val="20"/>
  </w:num>
  <w:num w:numId="19" w16cid:durableId="1967006738">
    <w:abstractNumId w:val="15"/>
    <w:lvlOverride w:ilvl="0">
      <w:startOverride w:val="1"/>
    </w:lvlOverride>
  </w:num>
  <w:num w:numId="20" w16cid:durableId="323556548">
    <w:abstractNumId w:val="15"/>
    <w:lvlOverride w:ilvl="0">
      <w:startOverride w:val="1"/>
    </w:lvlOverride>
  </w:num>
  <w:num w:numId="21" w16cid:durableId="1682077761">
    <w:abstractNumId w:val="11"/>
  </w:num>
  <w:num w:numId="22" w16cid:durableId="612515630">
    <w:abstractNumId w:val="8"/>
  </w:num>
  <w:num w:numId="23" w16cid:durableId="1586919340">
    <w:abstractNumId w:val="16"/>
  </w:num>
  <w:num w:numId="24" w16cid:durableId="1646204264">
    <w:abstractNumId w:val="16"/>
  </w:num>
  <w:num w:numId="25" w16cid:durableId="2028553205">
    <w:abstractNumId w:val="16"/>
  </w:num>
  <w:num w:numId="26" w16cid:durableId="1113016551">
    <w:abstractNumId w:val="16"/>
  </w:num>
  <w:num w:numId="27" w16cid:durableId="2009365291">
    <w:abstractNumId w:val="16"/>
  </w:num>
  <w:num w:numId="28" w16cid:durableId="2004121806">
    <w:abstractNumId w:val="16"/>
  </w:num>
  <w:num w:numId="29" w16cid:durableId="1312831146">
    <w:abstractNumId w:val="17"/>
  </w:num>
  <w:num w:numId="30" w16cid:durableId="1638493021">
    <w:abstractNumId w:val="17"/>
  </w:num>
  <w:num w:numId="31" w16cid:durableId="769933077">
    <w:abstractNumId w:val="17"/>
  </w:num>
  <w:num w:numId="32" w16cid:durableId="1402094541">
    <w:abstractNumId w:val="17"/>
  </w:num>
  <w:num w:numId="33" w16cid:durableId="759183335">
    <w:abstractNumId w:val="18"/>
  </w:num>
  <w:num w:numId="34" w16cid:durableId="1964264878">
    <w:abstractNumId w:val="0"/>
  </w:num>
  <w:num w:numId="35" w16cid:durableId="2050563171">
    <w:abstractNumId w:val="5"/>
  </w:num>
  <w:num w:numId="36" w16cid:durableId="1853713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20F0C"/>
    <w:rsid w:val="00040598"/>
    <w:rsid w:val="000441D8"/>
    <w:rsid w:val="0004771B"/>
    <w:rsid w:val="0006309B"/>
    <w:rsid w:val="00072C5F"/>
    <w:rsid w:val="00074BF2"/>
    <w:rsid w:val="0007653C"/>
    <w:rsid w:val="00087A38"/>
    <w:rsid w:val="00087E1A"/>
    <w:rsid w:val="00091CE9"/>
    <w:rsid w:val="00095909"/>
    <w:rsid w:val="000B0607"/>
    <w:rsid w:val="000C04BB"/>
    <w:rsid w:val="000D11FE"/>
    <w:rsid w:val="000D49FB"/>
    <w:rsid w:val="000F6CB4"/>
    <w:rsid w:val="00132581"/>
    <w:rsid w:val="00147C41"/>
    <w:rsid w:val="00152517"/>
    <w:rsid w:val="00155F78"/>
    <w:rsid w:val="00156442"/>
    <w:rsid w:val="00165426"/>
    <w:rsid w:val="00173C53"/>
    <w:rsid w:val="0017499C"/>
    <w:rsid w:val="0018060D"/>
    <w:rsid w:val="00184909"/>
    <w:rsid w:val="001964BC"/>
    <w:rsid w:val="001A4E66"/>
    <w:rsid w:val="001A74EB"/>
    <w:rsid w:val="001B1C8A"/>
    <w:rsid w:val="001B7883"/>
    <w:rsid w:val="001C4C4C"/>
    <w:rsid w:val="001D7501"/>
    <w:rsid w:val="001E4035"/>
    <w:rsid w:val="001E76CD"/>
    <w:rsid w:val="00202FDF"/>
    <w:rsid w:val="0021066C"/>
    <w:rsid w:val="00265BFA"/>
    <w:rsid w:val="002730C5"/>
    <w:rsid w:val="00292714"/>
    <w:rsid w:val="002B00CA"/>
    <w:rsid w:val="002B559C"/>
    <w:rsid w:val="002D1F0D"/>
    <w:rsid w:val="002D31E3"/>
    <w:rsid w:val="002D4858"/>
    <w:rsid w:val="002D58E2"/>
    <w:rsid w:val="00303F0B"/>
    <w:rsid w:val="00303F40"/>
    <w:rsid w:val="0030798D"/>
    <w:rsid w:val="00310608"/>
    <w:rsid w:val="00317EA5"/>
    <w:rsid w:val="00323F22"/>
    <w:rsid w:val="003241C3"/>
    <w:rsid w:val="00332184"/>
    <w:rsid w:val="00343445"/>
    <w:rsid w:val="003441B1"/>
    <w:rsid w:val="003471B8"/>
    <w:rsid w:val="003476A9"/>
    <w:rsid w:val="0035305C"/>
    <w:rsid w:val="003619FF"/>
    <w:rsid w:val="00363AAE"/>
    <w:rsid w:val="00366EEC"/>
    <w:rsid w:val="0037302A"/>
    <w:rsid w:val="00375D4D"/>
    <w:rsid w:val="00394E74"/>
    <w:rsid w:val="003A5182"/>
    <w:rsid w:val="003C460D"/>
    <w:rsid w:val="003C6F10"/>
    <w:rsid w:val="003D525E"/>
    <w:rsid w:val="003D57BB"/>
    <w:rsid w:val="003E2A09"/>
    <w:rsid w:val="003F30B0"/>
    <w:rsid w:val="004202A4"/>
    <w:rsid w:val="004315B6"/>
    <w:rsid w:val="00434349"/>
    <w:rsid w:val="004368C4"/>
    <w:rsid w:val="00441498"/>
    <w:rsid w:val="00442602"/>
    <w:rsid w:val="00445AE3"/>
    <w:rsid w:val="004503B0"/>
    <w:rsid w:val="00454C2A"/>
    <w:rsid w:val="00457C5E"/>
    <w:rsid w:val="004701EE"/>
    <w:rsid w:val="00471250"/>
    <w:rsid w:val="004722CA"/>
    <w:rsid w:val="00480A8D"/>
    <w:rsid w:val="0048350A"/>
    <w:rsid w:val="004A2A2D"/>
    <w:rsid w:val="004B0BFF"/>
    <w:rsid w:val="004F01D1"/>
    <w:rsid w:val="00510366"/>
    <w:rsid w:val="005343CE"/>
    <w:rsid w:val="00537248"/>
    <w:rsid w:val="0054700A"/>
    <w:rsid w:val="005515A0"/>
    <w:rsid w:val="00554318"/>
    <w:rsid w:val="005858BB"/>
    <w:rsid w:val="005903B0"/>
    <w:rsid w:val="00597AE9"/>
    <w:rsid w:val="005A206E"/>
    <w:rsid w:val="005A7648"/>
    <w:rsid w:val="005C0058"/>
    <w:rsid w:val="005D02AF"/>
    <w:rsid w:val="005D66F0"/>
    <w:rsid w:val="005E139E"/>
    <w:rsid w:val="005E2605"/>
    <w:rsid w:val="006156A1"/>
    <w:rsid w:val="00634830"/>
    <w:rsid w:val="00644D6D"/>
    <w:rsid w:val="00657ED6"/>
    <w:rsid w:val="00663BEC"/>
    <w:rsid w:val="00675A60"/>
    <w:rsid w:val="00676CA6"/>
    <w:rsid w:val="006849D8"/>
    <w:rsid w:val="006878A1"/>
    <w:rsid w:val="00695A2A"/>
    <w:rsid w:val="006A50F6"/>
    <w:rsid w:val="006A750C"/>
    <w:rsid w:val="006B293D"/>
    <w:rsid w:val="006C469E"/>
    <w:rsid w:val="006D1149"/>
    <w:rsid w:val="006E6A21"/>
    <w:rsid w:val="00722D66"/>
    <w:rsid w:val="007360AE"/>
    <w:rsid w:val="00741BBB"/>
    <w:rsid w:val="00754B8F"/>
    <w:rsid w:val="00761015"/>
    <w:rsid w:val="0076622F"/>
    <w:rsid w:val="00772E16"/>
    <w:rsid w:val="007A7F22"/>
    <w:rsid w:val="007B11BA"/>
    <w:rsid w:val="007B3887"/>
    <w:rsid w:val="007C02DD"/>
    <w:rsid w:val="007C77BC"/>
    <w:rsid w:val="007D48FD"/>
    <w:rsid w:val="007D4F03"/>
    <w:rsid w:val="007D6E2F"/>
    <w:rsid w:val="007E12F7"/>
    <w:rsid w:val="007E31C4"/>
    <w:rsid w:val="007F0918"/>
    <w:rsid w:val="007F6590"/>
    <w:rsid w:val="007F7405"/>
    <w:rsid w:val="00810CB0"/>
    <w:rsid w:val="00816757"/>
    <w:rsid w:val="00822295"/>
    <w:rsid w:val="0084580E"/>
    <w:rsid w:val="00851C72"/>
    <w:rsid w:val="0085483C"/>
    <w:rsid w:val="00855E32"/>
    <w:rsid w:val="00862B8D"/>
    <w:rsid w:val="00874541"/>
    <w:rsid w:val="00874ED5"/>
    <w:rsid w:val="00882426"/>
    <w:rsid w:val="00895DAF"/>
    <w:rsid w:val="008A1D72"/>
    <w:rsid w:val="008C3630"/>
    <w:rsid w:val="008C77F3"/>
    <w:rsid w:val="008D58B9"/>
    <w:rsid w:val="008E0581"/>
    <w:rsid w:val="008E5D30"/>
    <w:rsid w:val="008F2D29"/>
    <w:rsid w:val="00903C6C"/>
    <w:rsid w:val="00917F89"/>
    <w:rsid w:val="00924267"/>
    <w:rsid w:val="00935461"/>
    <w:rsid w:val="009459E3"/>
    <w:rsid w:val="009753DD"/>
    <w:rsid w:val="00995DDC"/>
    <w:rsid w:val="009B1CD3"/>
    <w:rsid w:val="009C1114"/>
    <w:rsid w:val="009F1754"/>
    <w:rsid w:val="00A15DB3"/>
    <w:rsid w:val="00A15E68"/>
    <w:rsid w:val="00A208FC"/>
    <w:rsid w:val="00A25F63"/>
    <w:rsid w:val="00A401C5"/>
    <w:rsid w:val="00A47A4E"/>
    <w:rsid w:val="00A505FE"/>
    <w:rsid w:val="00A54FA0"/>
    <w:rsid w:val="00A83DC9"/>
    <w:rsid w:val="00A85D25"/>
    <w:rsid w:val="00A96B21"/>
    <w:rsid w:val="00AA308F"/>
    <w:rsid w:val="00AA4BBE"/>
    <w:rsid w:val="00AB1E8A"/>
    <w:rsid w:val="00AB5088"/>
    <w:rsid w:val="00AC104A"/>
    <w:rsid w:val="00AD5796"/>
    <w:rsid w:val="00AE1A95"/>
    <w:rsid w:val="00AF5659"/>
    <w:rsid w:val="00AF7ACE"/>
    <w:rsid w:val="00B36EA9"/>
    <w:rsid w:val="00B5080C"/>
    <w:rsid w:val="00B75168"/>
    <w:rsid w:val="00B776B6"/>
    <w:rsid w:val="00BA6663"/>
    <w:rsid w:val="00BF1608"/>
    <w:rsid w:val="00BF7CBB"/>
    <w:rsid w:val="00C04FD3"/>
    <w:rsid w:val="00C165DC"/>
    <w:rsid w:val="00C2354A"/>
    <w:rsid w:val="00C26407"/>
    <w:rsid w:val="00C35912"/>
    <w:rsid w:val="00C35EE0"/>
    <w:rsid w:val="00C842FE"/>
    <w:rsid w:val="00CB0697"/>
    <w:rsid w:val="00CB1C90"/>
    <w:rsid w:val="00CE4FB6"/>
    <w:rsid w:val="00CF0099"/>
    <w:rsid w:val="00CF68FD"/>
    <w:rsid w:val="00CF70AB"/>
    <w:rsid w:val="00D05221"/>
    <w:rsid w:val="00D23F1E"/>
    <w:rsid w:val="00D3059B"/>
    <w:rsid w:val="00D44C5C"/>
    <w:rsid w:val="00D60046"/>
    <w:rsid w:val="00D71EAB"/>
    <w:rsid w:val="00D71FFB"/>
    <w:rsid w:val="00D72F56"/>
    <w:rsid w:val="00D7462A"/>
    <w:rsid w:val="00DB3E36"/>
    <w:rsid w:val="00DD74C2"/>
    <w:rsid w:val="00DF50D2"/>
    <w:rsid w:val="00E035C6"/>
    <w:rsid w:val="00E06DD6"/>
    <w:rsid w:val="00E15315"/>
    <w:rsid w:val="00E1597C"/>
    <w:rsid w:val="00E2167F"/>
    <w:rsid w:val="00E627E9"/>
    <w:rsid w:val="00E67B16"/>
    <w:rsid w:val="00E8611B"/>
    <w:rsid w:val="00E934C4"/>
    <w:rsid w:val="00EA6DF7"/>
    <w:rsid w:val="00EC6AB6"/>
    <w:rsid w:val="00ED01FF"/>
    <w:rsid w:val="00ED3849"/>
    <w:rsid w:val="00EE4B6D"/>
    <w:rsid w:val="00EF038D"/>
    <w:rsid w:val="00F06EDD"/>
    <w:rsid w:val="00F13B6A"/>
    <w:rsid w:val="00F258FB"/>
    <w:rsid w:val="00F26D04"/>
    <w:rsid w:val="00F63F1C"/>
    <w:rsid w:val="00F66029"/>
    <w:rsid w:val="00F6660F"/>
    <w:rsid w:val="00F7593A"/>
    <w:rsid w:val="00F75F90"/>
    <w:rsid w:val="00F82DD9"/>
    <w:rsid w:val="00F86764"/>
    <w:rsid w:val="00FA18C9"/>
    <w:rsid w:val="00FA600E"/>
    <w:rsid w:val="00FA79F1"/>
    <w:rsid w:val="00FC0705"/>
    <w:rsid w:val="00FC0CCC"/>
    <w:rsid w:val="00FC615C"/>
    <w:rsid w:val="00FD0E1D"/>
    <w:rsid w:val="00FF01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C5293ECB-2C4E-4274-8A71-7A2C9D39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17EA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858BB"/>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858BB"/>
    <w:rPr>
      <w:rFonts w:ascii="Times New Roman" w:eastAsia="SimSun" w:hAnsi="Times New Roman" w:cs="Times New Roman"/>
      <w:kern w:val="0"/>
      <w:lang w:val="en-US"/>
      <w14:ligatures w14:val="none"/>
    </w:rPr>
  </w:style>
  <w:style w:type="paragraph" w:styleId="Revision">
    <w:name w:val="Revision"/>
    <w:hidden/>
    <w:uiPriority w:val="99"/>
    <w:semiHidden/>
    <w:rsid w:val="00363AAE"/>
    <w:pPr>
      <w:spacing w:after="0" w:line="240" w:lineRule="auto"/>
    </w:pPr>
    <w:rPr>
      <w:rFonts w:ascii="Times New Roman" w:eastAsia="SimSun" w:hAnsi="Times New Roman" w:cs="Times New Roman"/>
      <w:kern w:val="0"/>
      <w:lang w:val="en-US"/>
      <w14:ligatures w14:val="none"/>
    </w:rPr>
  </w:style>
  <w:style w:type="character" w:styleId="FollowedHyperlink">
    <w:name w:val="FollowedHyperlink"/>
    <w:basedOn w:val="DefaultParagraphFont"/>
    <w:uiPriority w:val="99"/>
    <w:semiHidden/>
    <w:unhideWhenUsed/>
    <w:rsid w:val="006D1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np-mop-04/np-mop-04-dec-06-fr.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bd.int/doc/decisions/np-mop-01/np-mop-01-dec-04-fr.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np-mop-04/np-mop-04-dec-03-fr.pdf" TargetMode="External"/><Relationship Id="rId25" Type="http://schemas.openxmlformats.org/officeDocument/2006/relationships/hyperlink" Target="https://www.cbd.int/doc/decisions/np-mop-03/np-mop-03-dec-01-fr.pdf" TargetMode="External"/><Relationship Id="rId2" Type="http://schemas.openxmlformats.org/officeDocument/2006/relationships/customXml" Target="../customXml/item2.xml"/><Relationship Id="rId16" Type="http://schemas.openxmlformats.org/officeDocument/2006/relationships/hyperlink" Target="https://www.cbd.int/doc/decisions/np-mop-03/np-mop-03-dec-01-fr.pdf" TargetMode="External"/><Relationship Id="rId20" Type="http://schemas.openxmlformats.org/officeDocument/2006/relationships/hyperlink" Target="https://www.cbd.int/doc/decisions/np-mop-03/np-mop-03-dec-01-fr.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bsch.cbd.int/en/kb/tags/abs/First-National-Report-on-the-Implementation-of-the-Nagoya-Protocol/66199bba4defc2994ae886d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np-mop-02/np-mop-02-dec-04-fr.pdf" TargetMode="External"/><Relationship Id="rId23" Type="http://schemas.openxmlformats.org/officeDocument/2006/relationships/hyperlink" Target="https://www.cbd.int/decisions/?id=1340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decisions/cop-15/cop-15-dec-09-fr.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hyperlink" Target="https://www.cbd.int/doc/decisions/np-mop-03/np-mop-03-dec-01-fr.pdf"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1F2607"/>
    <w:rsid w:val="002107A2"/>
    <w:rsid w:val="00256B12"/>
    <w:rsid w:val="002C3162"/>
    <w:rsid w:val="00303F0B"/>
    <w:rsid w:val="003619FF"/>
    <w:rsid w:val="003C2939"/>
    <w:rsid w:val="00405B09"/>
    <w:rsid w:val="004202A4"/>
    <w:rsid w:val="00445AE3"/>
    <w:rsid w:val="0058270C"/>
    <w:rsid w:val="006156A1"/>
    <w:rsid w:val="00760256"/>
    <w:rsid w:val="007D48FD"/>
    <w:rsid w:val="00851C72"/>
    <w:rsid w:val="008970A5"/>
    <w:rsid w:val="008B2E66"/>
    <w:rsid w:val="00926059"/>
    <w:rsid w:val="00967CF3"/>
    <w:rsid w:val="00986A85"/>
    <w:rsid w:val="00C05839"/>
    <w:rsid w:val="00D34932"/>
    <w:rsid w:val="00DC2AEA"/>
    <w:rsid w:val="00E67B16"/>
    <w:rsid w:val="00F52B78"/>
    <w:rsid w:val="00F66FD4"/>
    <w:rsid w:val="00FA60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81F47C6-A489-44EC-89FC-60EF69199BE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0F8A8FC-BC17-47A9-AF04-FA20AA46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88</TotalTime>
  <Pages>4</Pages>
  <Words>1881</Words>
  <Characters>10728</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Évaluation et examen de l’efficacité du Protocole</vt:lpstr>
      <vt:lpstr>Title of the document</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25 octobre 2024</dc:title>
  <dc:subject>CBD/NP/MOP/DEC/5/5</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catherine kinley</cp:lastModifiedBy>
  <cp:revision>141</cp:revision>
  <dcterms:created xsi:type="dcterms:W3CDTF">2024-10-22T04:03:00Z</dcterms:created>
  <dcterms:modified xsi:type="dcterms:W3CDTF">2025-02-21T03:06:00Z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