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E73E7F" w14:paraId="3EA466AE" w14:textId="77777777" w:rsidTr="00E22CF5">
        <w:trPr>
          <w:trHeight w:val="851"/>
        </w:trPr>
        <w:tc>
          <w:tcPr>
            <w:tcW w:w="465" w:type="pct"/>
            <w:tcBorders>
              <w:bottom w:val="single" w:sz="8" w:space="0" w:color="auto"/>
            </w:tcBorders>
            <w:vAlign w:val="bottom"/>
          </w:tcPr>
          <w:p w14:paraId="1A9952F4" w14:textId="77777777" w:rsidR="00A96B21" w:rsidRPr="00E73E7F" w:rsidRDefault="00A96B21" w:rsidP="00E22CF5">
            <w:pPr>
              <w:spacing w:after="120"/>
              <w:jc w:val="left"/>
              <w:rPr>
                <w:lang w:val="fr-FR"/>
              </w:rPr>
            </w:pPr>
            <w:bookmarkStart w:id="0" w:name="_Hlk137651738"/>
            <w:r w:rsidRPr="00E73E7F">
              <w:rPr>
                <w:noProof/>
                <w:lang w:val="fr-FR" w:eastAsia="fr-FR"/>
              </w:rPr>
              <w:drawing>
                <wp:inline distT="0" distB="0" distL="0" distR="0" wp14:anchorId="776FF144" wp14:editId="1C87B943">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07100F52" w14:textId="0698595B" w:rsidR="00A96B21" w:rsidRPr="00E73E7F" w:rsidRDefault="00A73422" w:rsidP="00E22CF5">
            <w:pPr>
              <w:spacing w:after="120"/>
              <w:jc w:val="left"/>
              <w:rPr>
                <w:lang w:val="fr-FR"/>
              </w:rPr>
            </w:pPr>
            <w:r w:rsidRPr="00E73E7F">
              <w:rPr>
                <w:noProof/>
                <w:lang w:val="fr-FR" w:eastAsia="fr-FR"/>
              </w:rPr>
              <w:drawing>
                <wp:inline distT="0" distB="0" distL="0" distR="0" wp14:anchorId="1DA8BDE5" wp14:editId="6D89B8C1">
                  <wp:extent cx="593725" cy="34099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2703" w:type="pct"/>
            <w:tcBorders>
              <w:bottom w:val="single" w:sz="8" w:space="0" w:color="auto"/>
            </w:tcBorders>
            <w:vAlign w:val="bottom"/>
          </w:tcPr>
          <w:p w14:paraId="0E286481" w14:textId="041E9B28" w:rsidR="00A96B21" w:rsidRPr="007B0CB0" w:rsidRDefault="00A96B21" w:rsidP="00184909">
            <w:pPr>
              <w:spacing w:after="120"/>
              <w:ind w:left="2021"/>
              <w:jc w:val="right"/>
              <w:rPr>
                <w:szCs w:val="22"/>
                <w:lang w:val="en-AU"/>
              </w:rPr>
            </w:pPr>
            <w:r w:rsidRPr="007B0CB0">
              <w:rPr>
                <w:sz w:val="40"/>
                <w:szCs w:val="40"/>
                <w:lang w:val="en-AU"/>
              </w:rPr>
              <w:t>CBD</w:t>
            </w:r>
            <w:r w:rsidRPr="007B0CB0">
              <w:rPr>
                <w:szCs w:val="22"/>
                <w:lang w:val="en-AU"/>
              </w:rPr>
              <w:t>/</w:t>
            </w:r>
            <w:r w:rsidR="00D23F1E" w:rsidRPr="007B0CB0">
              <w:rPr>
                <w:szCs w:val="22"/>
                <w:lang w:val="en-AU"/>
              </w:rPr>
              <w:t>NP/MOP/</w:t>
            </w:r>
            <w:r w:rsidR="007B0CB0" w:rsidRPr="007B0CB0">
              <w:rPr>
                <w:szCs w:val="22"/>
                <w:lang w:val="en-AU"/>
              </w:rPr>
              <w:t>DEC</w:t>
            </w:r>
            <w:r w:rsidR="007B0CB0">
              <w:rPr>
                <w:szCs w:val="22"/>
              </w:rPr>
              <w:t>/</w:t>
            </w:r>
            <w:r w:rsidR="00D23F1E" w:rsidRPr="007B0CB0">
              <w:rPr>
                <w:szCs w:val="22"/>
                <w:lang w:val="en-AU"/>
              </w:rPr>
              <w:t>5/</w:t>
            </w:r>
            <w:r w:rsidR="00560AF9" w:rsidRPr="007B0CB0">
              <w:rPr>
                <w:szCs w:val="22"/>
                <w:lang w:val="en-AU"/>
              </w:rPr>
              <w:t>1</w:t>
            </w:r>
            <w:r w:rsidR="007B0CB0">
              <w:rPr>
                <w:szCs w:val="22"/>
                <w:lang w:val="en-AU"/>
              </w:rPr>
              <w:t>4</w:t>
            </w:r>
          </w:p>
        </w:tc>
      </w:tr>
      <w:tr w:rsidR="00A96B21" w:rsidRPr="007B0CB0" w14:paraId="35243AD3" w14:textId="77777777" w:rsidTr="00E22CF5">
        <w:tc>
          <w:tcPr>
            <w:tcW w:w="2297" w:type="pct"/>
            <w:gridSpan w:val="2"/>
            <w:tcBorders>
              <w:top w:val="single" w:sz="8" w:space="0" w:color="auto"/>
              <w:bottom w:val="single" w:sz="12" w:space="0" w:color="auto"/>
            </w:tcBorders>
          </w:tcPr>
          <w:p w14:paraId="4403F56E" w14:textId="4F3C8C72" w:rsidR="00A96B21" w:rsidRPr="00E73E7F" w:rsidRDefault="00A73422" w:rsidP="00E22CF5">
            <w:pPr>
              <w:pStyle w:val="Cornernotation"/>
              <w:suppressLineNumbers/>
              <w:suppressAutoHyphens/>
              <w:spacing w:before="120" w:after="120"/>
              <w:ind w:left="0" w:right="0" w:firstLine="0"/>
              <w:rPr>
                <w:lang w:val="fr-FR"/>
              </w:rPr>
            </w:pPr>
            <w:r w:rsidRPr="00E73E7F">
              <w:rPr>
                <w:bCs/>
                <w:noProof/>
                <w:lang w:val="fr-FR" w:eastAsia="fr-FR"/>
              </w:rPr>
              <w:drawing>
                <wp:inline distT="0" distB="0" distL="0" distR="0" wp14:anchorId="60E4D212" wp14:editId="455BE284">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66EB5D18" w14:textId="6825900D" w:rsidR="00A96B21" w:rsidRPr="00E73E7F" w:rsidRDefault="00A96B21" w:rsidP="003C6F10">
            <w:pPr>
              <w:ind w:left="2584"/>
              <w:rPr>
                <w:sz w:val="22"/>
                <w:szCs w:val="22"/>
                <w:lang w:val="fr-FR"/>
              </w:rPr>
            </w:pPr>
            <w:r w:rsidRPr="00E73E7F">
              <w:rPr>
                <w:sz w:val="22"/>
                <w:szCs w:val="22"/>
                <w:lang w:val="fr-FR"/>
              </w:rPr>
              <w:t>Distr.</w:t>
            </w:r>
            <w:r w:rsidR="00A73422" w:rsidRPr="00E73E7F">
              <w:rPr>
                <w:sz w:val="22"/>
                <w:szCs w:val="22"/>
                <w:lang w:val="fr-FR"/>
              </w:rPr>
              <w:t xml:space="preserve"> </w:t>
            </w:r>
            <w:r w:rsidRPr="00E73E7F">
              <w:rPr>
                <w:sz w:val="22"/>
                <w:szCs w:val="22"/>
                <w:lang w:val="fr-FR"/>
              </w:rPr>
              <w:t xml:space="preserve">: </w:t>
            </w:r>
            <w:r w:rsidR="007B0CB0">
              <w:rPr>
                <w:sz w:val="22"/>
                <w:szCs w:val="22"/>
                <w:lang w:val="fr-FR"/>
              </w:rPr>
              <w:t>G</w:t>
            </w:r>
            <w:r w:rsidR="00A73422" w:rsidRPr="00E73E7F">
              <w:rPr>
                <w:sz w:val="22"/>
                <w:szCs w:val="22"/>
                <w:lang w:val="fr-FR"/>
              </w:rPr>
              <w:t>é</w:t>
            </w:r>
            <w:r w:rsidR="007B0CB0">
              <w:rPr>
                <w:sz w:val="22"/>
                <w:szCs w:val="22"/>
                <w:lang w:val="fr-FR"/>
              </w:rPr>
              <w:t>néral</w:t>
            </w:r>
            <w:r w:rsidR="00A73422" w:rsidRPr="00E73E7F">
              <w:rPr>
                <w:sz w:val="22"/>
                <w:szCs w:val="22"/>
                <w:lang w:val="fr-FR"/>
              </w:rPr>
              <w:t>e</w:t>
            </w:r>
          </w:p>
          <w:p w14:paraId="6E5F3D47" w14:textId="4FAF649F" w:rsidR="00A96B21" w:rsidRPr="00E73E7F" w:rsidRDefault="00B450A3" w:rsidP="003C6F10">
            <w:pPr>
              <w:ind w:left="2584"/>
              <w:rPr>
                <w:sz w:val="22"/>
                <w:szCs w:val="22"/>
                <w:lang w:val="fr-FR"/>
              </w:rPr>
            </w:pPr>
            <w:r>
              <w:rPr>
                <w:sz w:val="22"/>
                <w:szCs w:val="22"/>
                <w:lang w:val="fr-FR"/>
              </w:rPr>
              <w:t>27 février</w:t>
            </w:r>
            <w:r w:rsidR="00A96B21" w:rsidRPr="00E73E7F">
              <w:rPr>
                <w:sz w:val="22"/>
                <w:szCs w:val="22"/>
                <w:lang w:val="fr-FR"/>
              </w:rPr>
              <w:t xml:space="preserve"> 202</w:t>
            </w:r>
            <w:r>
              <w:rPr>
                <w:sz w:val="22"/>
                <w:szCs w:val="22"/>
                <w:lang w:val="fr-FR"/>
              </w:rPr>
              <w:t>5</w:t>
            </w:r>
          </w:p>
          <w:p w14:paraId="56BECBA5" w14:textId="634A4BF9" w:rsidR="00A96B21" w:rsidRPr="00E73E7F" w:rsidRDefault="00A73422" w:rsidP="003C6F10">
            <w:pPr>
              <w:ind w:left="2584"/>
              <w:rPr>
                <w:sz w:val="22"/>
                <w:szCs w:val="22"/>
                <w:lang w:val="fr-FR"/>
              </w:rPr>
            </w:pPr>
            <w:r w:rsidRPr="00E73E7F">
              <w:rPr>
                <w:sz w:val="22"/>
                <w:szCs w:val="22"/>
                <w:lang w:val="fr-FR"/>
              </w:rPr>
              <w:t>Français</w:t>
            </w:r>
          </w:p>
          <w:p w14:paraId="709766B5" w14:textId="3F33F6C9" w:rsidR="00A96B21" w:rsidRPr="00E73E7F" w:rsidRDefault="00A96B21" w:rsidP="003C6F10">
            <w:pPr>
              <w:ind w:left="2584"/>
              <w:rPr>
                <w:sz w:val="22"/>
                <w:szCs w:val="22"/>
                <w:lang w:val="fr-FR"/>
              </w:rPr>
            </w:pPr>
            <w:r w:rsidRPr="00E73E7F">
              <w:rPr>
                <w:sz w:val="22"/>
                <w:szCs w:val="22"/>
                <w:lang w:val="fr-FR"/>
              </w:rPr>
              <w:t>Original</w:t>
            </w:r>
            <w:r w:rsidR="00E22CF5">
              <w:rPr>
                <w:sz w:val="22"/>
                <w:szCs w:val="22"/>
                <w:lang w:val="fr-FR"/>
              </w:rPr>
              <w:t xml:space="preserve"> </w:t>
            </w:r>
            <w:r w:rsidRPr="00E73E7F">
              <w:rPr>
                <w:sz w:val="22"/>
                <w:szCs w:val="22"/>
                <w:lang w:val="fr-FR"/>
              </w:rPr>
              <w:t xml:space="preserve">: </w:t>
            </w:r>
            <w:r w:rsidR="00E22CF5">
              <w:rPr>
                <w:sz w:val="22"/>
                <w:szCs w:val="22"/>
                <w:lang w:val="fr-FR"/>
              </w:rPr>
              <w:t>A</w:t>
            </w:r>
            <w:r w:rsidR="00A73422" w:rsidRPr="00E73E7F">
              <w:rPr>
                <w:sz w:val="22"/>
                <w:szCs w:val="22"/>
                <w:lang w:val="fr-FR"/>
              </w:rPr>
              <w:t>nglais</w:t>
            </w:r>
          </w:p>
          <w:p w14:paraId="7B4C31ED" w14:textId="77777777" w:rsidR="00A96B21" w:rsidRPr="00E73E7F" w:rsidRDefault="00A96B21" w:rsidP="00E22CF5">
            <w:pPr>
              <w:rPr>
                <w:lang w:val="fr-FR"/>
              </w:rPr>
            </w:pPr>
          </w:p>
        </w:tc>
      </w:tr>
    </w:tbl>
    <w:p w14:paraId="49F16F84" w14:textId="76898761" w:rsidR="00874541" w:rsidRPr="00E73E7F" w:rsidRDefault="00B72D1A" w:rsidP="007B0CB0">
      <w:pPr>
        <w:pStyle w:val="Cornernotation"/>
        <w:tabs>
          <w:tab w:val="left" w:pos="4395"/>
          <w:tab w:val="left" w:pos="4536"/>
        </w:tabs>
        <w:ind w:left="0" w:right="4824" w:firstLine="0"/>
        <w:rPr>
          <w:bCs/>
          <w:lang w:val="fr-FR"/>
        </w:rPr>
      </w:pPr>
      <w:r w:rsidRPr="00E73E7F">
        <w:rPr>
          <w:rFonts w:eastAsia="SimSun"/>
          <w:szCs w:val="22"/>
          <w:lang w:val="fr-FR"/>
        </w:rPr>
        <w:t>Conférence des Parties à la Convention sur la diversité biologique siégeant en tant que réunion des Parties au Protocole de Nagoya sur l</w:t>
      </w:r>
      <w:r w:rsidR="00263D55">
        <w:rPr>
          <w:rFonts w:eastAsia="SimSun"/>
          <w:szCs w:val="22"/>
          <w:lang w:val="fr-FR"/>
        </w:rPr>
        <w:t>’</w:t>
      </w:r>
      <w:r w:rsidRPr="00E73E7F">
        <w:rPr>
          <w:rFonts w:eastAsia="SimSun"/>
          <w:szCs w:val="22"/>
          <w:lang w:val="fr-FR"/>
        </w:rPr>
        <w:t>accès aux ressources génétiques et le partage juste et équitable des avantages découlant de leur utilisation</w:t>
      </w:r>
    </w:p>
    <w:p w14:paraId="4E500401" w14:textId="177CA85D" w:rsidR="00A96B21" w:rsidRPr="00E73E7F" w:rsidRDefault="005B5E64" w:rsidP="00A96B21">
      <w:pPr>
        <w:pStyle w:val="Cornernotation"/>
        <w:rPr>
          <w:bCs/>
          <w:sz w:val="22"/>
          <w:szCs w:val="22"/>
          <w:lang w:val="fr-FR"/>
        </w:rPr>
      </w:pPr>
      <w:r w:rsidRPr="00E73E7F">
        <w:rPr>
          <w:bCs/>
          <w:sz w:val="22"/>
          <w:szCs w:val="22"/>
          <w:lang w:val="fr-FR"/>
        </w:rPr>
        <w:t>Cinquième réunion</w:t>
      </w:r>
      <w:r w:rsidR="00E22CF5">
        <w:rPr>
          <w:bCs/>
          <w:sz w:val="22"/>
          <w:szCs w:val="22"/>
          <w:lang w:val="fr-FR"/>
        </w:rPr>
        <w:t>, deuxième reprise de session</w:t>
      </w:r>
      <w:r w:rsidR="00A96B21" w:rsidRPr="00E73E7F">
        <w:rPr>
          <w:bCs/>
          <w:sz w:val="22"/>
          <w:szCs w:val="22"/>
          <w:lang w:val="fr-FR"/>
        </w:rPr>
        <w:t xml:space="preserve"> </w:t>
      </w:r>
    </w:p>
    <w:p w14:paraId="6EB6672A" w14:textId="29391389" w:rsidR="00A96B21" w:rsidRPr="00E73E7F" w:rsidRDefault="00E522BF" w:rsidP="00A96B21">
      <w:pPr>
        <w:pStyle w:val="Venuedate"/>
        <w:rPr>
          <w:lang w:val="fr-FR"/>
        </w:rPr>
      </w:pPr>
      <w:r>
        <w:rPr>
          <w:lang w:val="fr-FR"/>
        </w:rPr>
        <w:t>Rome, 25</w:t>
      </w:r>
      <w:r w:rsidRPr="00E522BF">
        <w:rPr>
          <w:lang w:val="fr-FR"/>
        </w:rPr>
        <w:t>–</w:t>
      </w:r>
      <w:r w:rsidR="0050416E">
        <w:rPr>
          <w:lang w:val="fr-FR"/>
        </w:rPr>
        <w:t>27 février 2025</w:t>
      </w:r>
    </w:p>
    <w:p w14:paraId="66A09710" w14:textId="184ABCCE" w:rsidR="00A96B21" w:rsidRPr="00E73E7F" w:rsidRDefault="005B5E64" w:rsidP="005B5E64">
      <w:pPr>
        <w:pStyle w:val="Cornernotation-Item"/>
        <w:ind w:right="4824"/>
        <w:rPr>
          <w:b w:val="0"/>
          <w:bCs w:val="0"/>
          <w:lang w:val="fr-FR"/>
        </w:rPr>
      </w:pPr>
      <w:r w:rsidRPr="00E73E7F">
        <w:rPr>
          <w:b w:val="0"/>
          <w:bCs w:val="0"/>
          <w:lang w:val="fr-FR"/>
        </w:rPr>
        <w:t>Point 14 de l</w:t>
      </w:r>
      <w:r w:rsidR="00263D55">
        <w:rPr>
          <w:b w:val="0"/>
          <w:bCs w:val="0"/>
          <w:lang w:val="fr-FR"/>
        </w:rPr>
        <w:t>’</w:t>
      </w:r>
      <w:r w:rsidR="00E522BF">
        <w:rPr>
          <w:b w:val="0"/>
          <w:bCs w:val="0"/>
          <w:lang w:val="fr-FR"/>
        </w:rPr>
        <w:t>ordre du jour</w:t>
      </w:r>
    </w:p>
    <w:p w14:paraId="39D034BA" w14:textId="7F4DF620" w:rsidR="00A96B21" w:rsidRPr="00E73E7F" w:rsidRDefault="005B5E64" w:rsidP="005B5E64">
      <w:pPr>
        <w:pStyle w:val="Cornernotation-Item"/>
        <w:ind w:left="0" w:right="4257" w:firstLine="0"/>
        <w:rPr>
          <w:lang w:val="fr-FR"/>
        </w:rPr>
      </w:pPr>
      <w:r w:rsidRPr="00E73E7F">
        <w:rPr>
          <w:lang w:val="fr-FR"/>
        </w:rPr>
        <w:t>Information de séquençage numérique sur les ressources génétiques</w:t>
      </w:r>
    </w:p>
    <w:bookmarkEnd w:id="0"/>
    <w:p w14:paraId="03839D57" w14:textId="649B2503" w:rsidR="00A96B21" w:rsidRPr="00CA70B7" w:rsidRDefault="008F10A0" w:rsidP="009F3951">
      <w:pPr>
        <w:pStyle w:val="Title"/>
        <w:ind w:right="288"/>
        <w:jc w:val="left"/>
        <w:rPr>
          <w:rFonts w:hint="eastAsia"/>
          <w:lang w:val="fr-FR"/>
        </w:rPr>
      </w:pPr>
      <w:sdt>
        <w:sdtPr>
          <w:rPr>
            <w:lang w:val="fr-FR"/>
          </w:rPr>
          <w:alias w:val="Title"/>
          <w:tag w:val=""/>
          <w:id w:val="-1975355689"/>
          <w:placeholder>
            <w:docPart w:val="CED97FDF3A9B4430A5087296D3D7D996"/>
          </w:placeholder>
          <w:dataBinding w:prefixMappings="xmlns:ns0='http://purl.org/dc/elements/1.1/' xmlns:ns1='http://schemas.openxmlformats.org/package/2006/metadata/core-properties' " w:xpath="/ns1:coreProperties[1]/ns0:title[1]" w:storeItemID="{6C3C8BC8-F283-45AE-878A-BAB7291924A1}"/>
          <w:text/>
        </w:sdtPr>
        <w:sdtContent>
          <w:r w:rsidRPr="008F10A0">
            <w:rPr>
              <w:lang w:val="fr-FR"/>
            </w:rPr>
            <w:t>Décision adoptée par la Conférence des Parties à la Convention sur la diversité biologique siégeant en tant que réunion des Parties au Protocole de Nagoya sur l’accès aux ressources génétiques et le partage juste et équitable des avantages découlant de leur utilisation le 2</w:t>
          </w:r>
          <w:r w:rsidR="00BE07E2">
            <w:rPr>
              <w:lang w:val="fr-FR"/>
            </w:rPr>
            <w:t>7 février</w:t>
          </w:r>
          <w:r w:rsidRPr="008F10A0">
            <w:rPr>
              <w:lang w:val="fr-FR"/>
            </w:rPr>
            <w:t xml:space="preserve"> 202</w:t>
          </w:r>
          <w:r w:rsidR="00BE07E2">
            <w:rPr>
              <w:lang w:val="fr-FR"/>
            </w:rPr>
            <w:t>5</w:t>
          </w:r>
        </w:sdtContent>
      </w:sdt>
    </w:p>
    <w:p w14:paraId="53723F6C" w14:textId="2D8B0E09" w:rsidR="00FA18C9" w:rsidRPr="009D1887" w:rsidRDefault="009D1887" w:rsidP="009D1887">
      <w:pPr>
        <w:pStyle w:val="CBDSubTitle"/>
        <w:rPr>
          <w:lang w:val="fr-FR"/>
        </w:rPr>
      </w:pPr>
      <w:r w:rsidRPr="009D1887">
        <w:rPr>
          <w:lang w:val="fr-FR"/>
        </w:rPr>
        <w:t>NP-5/14.</w:t>
      </w:r>
      <w:r w:rsidRPr="009D1887">
        <w:rPr>
          <w:lang w:val="fr-FR"/>
        </w:rPr>
        <w:tab/>
      </w:r>
      <w:r w:rsidRPr="009D1887">
        <w:rPr>
          <w:lang w:val="fr-FR"/>
        </w:rPr>
        <w:t>I</w:t>
      </w:r>
      <w:r w:rsidRPr="009D1887">
        <w:rPr>
          <w:lang w:val="fr-FR"/>
        </w:rPr>
        <w:t>nformation</w:t>
      </w:r>
      <w:r w:rsidRPr="009D1887">
        <w:rPr>
          <w:lang w:val="fr-FR"/>
        </w:rPr>
        <w:t xml:space="preserve"> de séquen</w:t>
      </w:r>
      <w:r>
        <w:rPr>
          <w:lang w:val="fr-FR"/>
        </w:rPr>
        <w:t>ç</w:t>
      </w:r>
      <w:r w:rsidRPr="009D1887">
        <w:rPr>
          <w:lang w:val="fr-FR"/>
        </w:rPr>
        <w:t xml:space="preserve">age numérique sur les </w:t>
      </w:r>
      <w:r w:rsidRPr="009D1887">
        <w:rPr>
          <w:lang w:val="fr-FR"/>
        </w:rPr>
        <w:t>re</w:t>
      </w:r>
      <w:r w:rsidRPr="009D1887">
        <w:rPr>
          <w:lang w:val="fr-FR"/>
        </w:rPr>
        <w:t>s</w:t>
      </w:r>
      <w:r w:rsidRPr="009D1887">
        <w:rPr>
          <w:lang w:val="fr-FR"/>
        </w:rPr>
        <w:t>sources</w:t>
      </w:r>
      <w:r w:rsidRPr="009D1887">
        <w:rPr>
          <w:lang w:val="fr-FR"/>
        </w:rPr>
        <w:t xml:space="preserve"> gé</w:t>
      </w:r>
      <w:r>
        <w:rPr>
          <w:lang w:val="fr-FR"/>
        </w:rPr>
        <w:t>nétiques</w:t>
      </w:r>
    </w:p>
    <w:p w14:paraId="05A660AF" w14:textId="3170AD15" w:rsidR="004F0F84" w:rsidRPr="00E73E7F" w:rsidRDefault="00A73422" w:rsidP="006C1A1B">
      <w:pPr>
        <w:pStyle w:val="Para1"/>
        <w:numPr>
          <w:ilvl w:val="0"/>
          <w:numId w:val="0"/>
        </w:numPr>
        <w:ind w:left="567" w:firstLine="567"/>
        <w:rPr>
          <w:lang w:val="fr-FR"/>
        </w:rPr>
      </w:pPr>
      <w:r w:rsidRPr="00E73E7F">
        <w:rPr>
          <w:i/>
          <w:iCs/>
          <w:lang w:val="fr-FR"/>
        </w:rPr>
        <w:t>La Conférence</w:t>
      </w:r>
      <w:r w:rsidR="0050416E">
        <w:rPr>
          <w:i/>
          <w:iCs/>
          <w:lang w:val="fr-FR"/>
        </w:rPr>
        <w:t xml:space="preserve"> des Parties siégeant tant que r</w:t>
      </w:r>
      <w:r w:rsidRPr="00E73E7F">
        <w:rPr>
          <w:i/>
          <w:iCs/>
          <w:lang w:val="fr-FR"/>
        </w:rPr>
        <w:t>éunion des Parties au Protocole de Nagoya</w:t>
      </w:r>
      <w:r w:rsidR="00FF3BD9" w:rsidRPr="00E73E7F">
        <w:rPr>
          <w:lang w:val="fr-FR"/>
        </w:rPr>
        <w:t>,</w:t>
      </w:r>
    </w:p>
    <w:p w14:paraId="557DE034" w14:textId="22BEDCAA" w:rsidR="004F0F84" w:rsidRPr="00E73E7F" w:rsidRDefault="00A73422" w:rsidP="006C1A1B">
      <w:pPr>
        <w:pStyle w:val="Para1"/>
        <w:numPr>
          <w:ilvl w:val="0"/>
          <w:numId w:val="0"/>
        </w:numPr>
        <w:ind w:left="567" w:firstLine="567"/>
        <w:rPr>
          <w:lang w:val="fr-FR"/>
        </w:rPr>
      </w:pPr>
      <w:r w:rsidRPr="00E73E7F">
        <w:rPr>
          <w:i/>
          <w:iCs/>
          <w:lang w:val="fr-FR"/>
        </w:rPr>
        <w:t xml:space="preserve">Rappelant </w:t>
      </w:r>
      <w:r w:rsidR="00E321CA">
        <w:rPr>
          <w:lang w:val="fr-FR"/>
        </w:rPr>
        <w:t>s</w:t>
      </w:r>
      <w:r w:rsidRPr="00E73E7F">
        <w:rPr>
          <w:lang w:val="fr-FR"/>
        </w:rPr>
        <w:t xml:space="preserve">a décision </w:t>
      </w:r>
      <w:hyperlink r:id="rId14" w:history="1">
        <w:r w:rsidRPr="00263D55">
          <w:rPr>
            <w:rStyle w:val="Hyperlink"/>
            <w:lang w:val="fr-FR"/>
          </w:rPr>
          <w:t>NP-4/6</w:t>
        </w:r>
      </w:hyperlink>
      <w:r w:rsidRPr="00E73E7F">
        <w:rPr>
          <w:lang w:val="fr-FR"/>
        </w:rPr>
        <w:t xml:space="preserve"> du 19 décembre 2022</w:t>
      </w:r>
      <w:r w:rsidR="00FF3BD9" w:rsidRPr="00E73E7F">
        <w:rPr>
          <w:lang w:val="fr-FR"/>
        </w:rPr>
        <w:t xml:space="preserve">, </w:t>
      </w:r>
    </w:p>
    <w:p w14:paraId="2A17E2FC" w14:textId="1BB51047" w:rsidR="00FF3BD9" w:rsidRPr="00E73E7F" w:rsidRDefault="00A73422" w:rsidP="006C1A1B">
      <w:pPr>
        <w:pStyle w:val="Para1"/>
        <w:numPr>
          <w:ilvl w:val="0"/>
          <w:numId w:val="0"/>
        </w:numPr>
        <w:ind w:left="567" w:firstLine="567"/>
        <w:rPr>
          <w:lang w:val="fr-FR"/>
        </w:rPr>
      </w:pPr>
      <w:r w:rsidRPr="00E73E7F">
        <w:rPr>
          <w:i/>
          <w:iCs/>
          <w:lang w:val="fr-FR"/>
        </w:rPr>
        <w:t xml:space="preserve">Prenant note </w:t>
      </w:r>
      <w:r w:rsidRPr="00E73E7F">
        <w:rPr>
          <w:lang w:val="fr-FR"/>
        </w:rPr>
        <w:t>des résultats des délibérations du Groupe de travail spécia</w:t>
      </w:r>
      <w:r w:rsidR="00CA70B7">
        <w:rPr>
          <w:lang w:val="fr-FR"/>
        </w:rPr>
        <w:t xml:space="preserve">l à composition non limitée sur </w:t>
      </w:r>
      <w:r w:rsidRPr="00E73E7F">
        <w:rPr>
          <w:lang w:val="fr-FR"/>
        </w:rPr>
        <w:t>l</w:t>
      </w:r>
      <w:r w:rsidR="00FC5901">
        <w:rPr>
          <w:lang w:val="fr-FR"/>
        </w:rPr>
        <w:t xml:space="preserve">e </w:t>
      </w:r>
      <w:r w:rsidRPr="00E73E7F">
        <w:rPr>
          <w:lang w:val="fr-FR"/>
        </w:rPr>
        <w:t>partage des avantages découlant de l</w:t>
      </w:r>
      <w:r w:rsidR="00263D55">
        <w:rPr>
          <w:lang w:val="fr-FR"/>
        </w:rPr>
        <w:t>’</w:t>
      </w:r>
      <w:r w:rsidRPr="00E73E7F">
        <w:rPr>
          <w:lang w:val="fr-FR"/>
        </w:rPr>
        <w:t>utilisation de l</w:t>
      </w:r>
      <w:r w:rsidR="00263D55">
        <w:rPr>
          <w:lang w:val="fr-FR"/>
        </w:rPr>
        <w:t>’</w:t>
      </w:r>
      <w:r w:rsidRPr="00E73E7F">
        <w:rPr>
          <w:lang w:val="fr-FR"/>
        </w:rPr>
        <w:t xml:space="preserve">information </w:t>
      </w:r>
      <w:r w:rsidR="00034CAE" w:rsidRPr="00E73E7F">
        <w:rPr>
          <w:lang w:val="fr-FR"/>
        </w:rPr>
        <w:t xml:space="preserve">de </w:t>
      </w:r>
      <w:r w:rsidRPr="00E73E7F">
        <w:rPr>
          <w:lang w:val="fr-FR"/>
        </w:rPr>
        <w:t>séquençage numérique sur les ressources génétiques</w:t>
      </w:r>
      <w:r w:rsidR="00263D55">
        <w:rPr>
          <w:rStyle w:val="FootnoteReference"/>
          <w:lang w:val="fr-FR"/>
        </w:rPr>
        <w:footnoteReference w:id="2"/>
      </w:r>
      <w:r w:rsidR="00FF3BD9" w:rsidRPr="00E73E7F">
        <w:rPr>
          <w:lang w:val="fr-FR"/>
        </w:rPr>
        <w:t xml:space="preserve">, </w:t>
      </w:r>
    </w:p>
    <w:p w14:paraId="346BF3B1" w14:textId="4EC5CF8B" w:rsidR="00537248" w:rsidRPr="00E73E7F" w:rsidRDefault="00A73422" w:rsidP="00A256BA">
      <w:pPr>
        <w:pStyle w:val="Para1"/>
        <w:numPr>
          <w:ilvl w:val="0"/>
          <w:numId w:val="0"/>
        </w:numPr>
        <w:ind w:left="567" w:firstLine="567"/>
        <w:rPr>
          <w:lang w:val="fr-FR"/>
        </w:rPr>
      </w:pPr>
      <w:r w:rsidRPr="00E73E7F">
        <w:rPr>
          <w:i/>
          <w:iCs/>
          <w:lang w:val="fr-FR"/>
        </w:rPr>
        <w:t xml:space="preserve">Prend acte </w:t>
      </w:r>
      <w:r w:rsidR="00CA70B7">
        <w:rPr>
          <w:lang w:val="fr-FR"/>
        </w:rPr>
        <w:t>d</w:t>
      </w:r>
      <w:r w:rsidRPr="00E73E7F">
        <w:rPr>
          <w:lang w:val="fr-FR"/>
        </w:rPr>
        <w:t>e la d</w:t>
      </w:r>
      <w:r w:rsidR="00263D55">
        <w:rPr>
          <w:lang w:val="fr-FR"/>
        </w:rPr>
        <w:t xml:space="preserve">écision </w:t>
      </w:r>
      <w:hyperlink r:id="rId15" w:history="1">
        <w:r w:rsidR="00263D55" w:rsidRPr="00263D55">
          <w:rPr>
            <w:rStyle w:val="Hyperlink"/>
            <w:lang w:val="fr-FR"/>
          </w:rPr>
          <w:t>16/2</w:t>
        </w:r>
      </w:hyperlink>
      <w:r w:rsidR="003D643D">
        <w:rPr>
          <w:lang w:val="fr-FR"/>
        </w:rPr>
        <w:t xml:space="preserve"> du 1</w:t>
      </w:r>
      <w:r w:rsidR="003D643D" w:rsidRPr="003D643D">
        <w:rPr>
          <w:vertAlign w:val="superscript"/>
          <w:lang w:val="fr-FR"/>
        </w:rPr>
        <w:t>er</w:t>
      </w:r>
      <w:r w:rsidR="003D643D">
        <w:rPr>
          <w:lang w:val="fr-FR"/>
        </w:rPr>
        <w:t xml:space="preserve"> novembre 2024 de</w:t>
      </w:r>
      <w:r w:rsidRPr="00E73E7F">
        <w:rPr>
          <w:lang w:val="fr-FR"/>
        </w:rPr>
        <w:t xml:space="preserve"> la Conférence des Parties à la Convention</w:t>
      </w:r>
      <w:r w:rsidR="004757F6">
        <w:rPr>
          <w:lang w:val="fr-FR"/>
        </w:rPr>
        <w:t xml:space="preserve"> sur la diversité biologique</w:t>
      </w:r>
      <w:r w:rsidR="004757F6">
        <w:rPr>
          <w:rStyle w:val="FootnoteReference"/>
          <w:lang w:val="fr-FR"/>
        </w:rPr>
        <w:footnoteReference w:id="3"/>
      </w:r>
      <w:r w:rsidRPr="00E73E7F">
        <w:rPr>
          <w:lang w:val="fr-FR"/>
        </w:rPr>
        <w:t xml:space="preserve"> concernant l</w:t>
      </w:r>
      <w:r w:rsidR="00263D55">
        <w:rPr>
          <w:lang w:val="fr-FR"/>
        </w:rPr>
        <w:t>’</w:t>
      </w:r>
      <w:r w:rsidRPr="00E73E7F">
        <w:rPr>
          <w:lang w:val="fr-FR"/>
        </w:rPr>
        <w:t>information de séquençage numérique</w:t>
      </w:r>
      <w:r w:rsidR="003D643D">
        <w:rPr>
          <w:lang w:val="fr-FR"/>
        </w:rPr>
        <w:t xml:space="preserve"> sur les ressources génétiques, par laquelle la Conférence des Parties </w:t>
      </w:r>
      <w:r w:rsidR="00C4406C">
        <w:rPr>
          <w:lang w:val="fr-FR"/>
        </w:rPr>
        <w:t xml:space="preserve">à la Convention </w:t>
      </w:r>
      <w:r w:rsidR="003D643D">
        <w:rPr>
          <w:lang w:val="fr-FR"/>
        </w:rPr>
        <w:t xml:space="preserve">a adopté </w:t>
      </w:r>
      <w:r w:rsidR="00CA70B7">
        <w:rPr>
          <w:lang w:val="fr-FR"/>
        </w:rPr>
        <w:t>les modalités de fonctionnement du</w:t>
      </w:r>
      <w:r w:rsidRPr="00E73E7F">
        <w:rPr>
          <w:lang w:val="fr-FR"/>
        </w:rPr>
        <w:t xml:space="preserve"> mécanisme multilatéral de partage</w:t>
      </w:r>
      <w:r w:rsidR="003D643D">
        <w:rPr>
          <w:lang w:val="fr-FR"/>
        </w:rPr>
        <w:t xml:space="preserve"> juste et équitable</w:t>
      </w:r>
      <w:r w:rsidRPr="00E73E7F">
        <w:rPr>
          <w:lang w:val="fr-FR"/>
        </w:rPr>
        <w:t xml:space="preserve"> des avantages découlant de l</w:t>
      </w:r>
      <w:r w:rsidR="00263D55">
        <w:rPr>
          <w:lang w:val="fr-FR"/>
        </w:rPr>
        <w:t>’</w:t>
      </w:r>
      <w:r w:rsidRPr="00E73E7F">
        <w:rPr>
          <w:lang w:val="fr-FR"/>
        </w:rPr>
        <w:t>utilisation de l</w:t>
      </w:r>
      <w:r w:rsidR="00263D55">
        <w:rPr>
          <w:lang w:val="fr-FR"/>
        </w:rPr>
        <w:t>’</w:t>
      </w:r>
      <w:r w:rsidRPr="00E73E7F">
        <w:rPr>
          <w:lang w:val="fr-FR"/>
        </w:rPr>
        <w:t>information de séquençage numérique sur les resso</w:t>
      </w:r>
      <w:r w:rsidR="003D643D">
        <w:rPr>
          <w:lang w:val="fr-FR"/>
        </w:rPr>
        <w:t>urces génétiques, y compris le Fonds de Cali</w:t>
      </w:r>
      <w:r w:rsidR="00FF3BD9" w:rsidRPr="00E73E7F">
        <w:rPr>
          <w:lang w:val="fr-FR"/>
        </w:rPr>
        <w:t>.</w:t>
      </w:r>
    </w:p>
    <w:p w14:paraId="2C709E26" w14:textId="77777777" w:rsidR="002B559C" w:rsidRPr="00E73E7F" w:rsidRDefault="00ED3849" w:rsidP="0073763F">
      <w:pPr>
        <w:pStyle w:val="Para1"/>
        <w:numPr>
          <w:ilvl w:val="0"/>
          <w:numId w:val="0"/>
        </w:numPr>
        <w:ind w:left="567"/>
        <w:jc w:val="center"/>
        <w:rPr>
          <w:lang w:val="fr-FR"/>
        </w:rPr>
      </w:pPr>
      <w:r w:rsidRPr="00E73E7F">
        <w:rPr>
          <w:lang w:val="fr-FR"/>
        </w:rPr>
        <w:t>__________</w:t>
      </w:r>
    </w:p>
    <w:sectPr w:rsidR="002B559C" w:rsidRPr="00E73E7F" w:rsidSect="0073763F">
      <w:headerReference w:type="even" r:id="rId16"/>
      <w:headerReference w:type="default" r:id="rId17"/>
      <w:footerReference w:type="even" r:id="rId18"/>
      <w:footerReference w:type="defaul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CDA45" w14:textId="77777777" w:rsidR="00EE4528" w:rsidRDefault="00EE4528" w:rsidP="00A96B21">
      <w:r>
        <w:separator/>
      </w:r>
    </w:p>
  </w:endnote>
  <w:endnote w:type="continuationSeparator" w:id="0">
    <w:p w14:paraId="5A25D7D7" w14:textId="77777777" w:rsidR="00EE4528" w:rsidRDefault="00EE4528" w:rsidP="00A96B21">
      <w:r>
        <w:continuationSeparator/>
      </w:r>
    </w:p>
  </w:endnote>
  <w:endnote w:type="continuationNotice" w:id="1">
    <w:p w14:paraId="4EA34DC3" w14:textId="77777777" w:rsidR="00EE4528" w:rsidRDefault="00EE4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184238F4" w14:textId="77777777" w:rsidR="00E22CF5" w:rsidRDefault="00E22CF5">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07B4CAEA" w14:textId="77777777" w:rsidR="00E22CF5" w:rsidRDefault="00E22CF5"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7232" w14:textId="77777777" w:rsidR="00EE4528" w:rsidRDefault="00EE4528" w:rsidP="00A96B21">
      <w:r>
        <w:separator/>
      </w:r>
    </w:p>
  </w:footnote>
  <w:footnote w:type="continuationSeparator" w:id="0">
    <w:p w14:paraId="6AB4C805" w14:textId="77777777" w:rsidR="00EE4528" w:rsidRDefault="00EE4528" w:rsidP="00A96B21">
      <w:r>
        <w:continuationSeparator/>
      </w:r>
    </w:p>
  </w:footnote>
  <w:footnote w:type="continuationNotice" w:id="1">
    <w:p w14:paraId="6CD5A226" w14:textId="77777777" w:rsidR="00EE4528" w:rsidRDefault="00EE4528"/>
  </w:footnote>
  <w:footnote w:id="2">
    <w:p w14:paraId="2F632DC8" w14:textId="088AAD42" w:rsidR="00263D55" w:rsidRPr="00263D55" w:rsidRDefault="00263D55">
      <w:pPr>
        <w:pStyle w:val="FootnoteText"/>
        <w:rPr>
          <w:lang w:val="fr-FR"/>
        </w:rPr>
      </w:pPr>
      <w:r>
        <w:rPr>
          <w:rStyle w:val="FootnoteReference"/>
        </w:rPr>
        <w:footnoteRef/>
      </w:r>
      <w:r w:rsidRPr="00263D55">
        <w:rPr>
          <w:lang w:val="fr-FR"/>
        </w:rPr>
        <w:t xml:space="preserve"> </w:t>
      </w:r>
      <w:r w:rsidRPr="000575D9">
        <w:rPr>
          <w:sz w:val="18"/>
          <w:szCs w:val="18"/>
          <w:lang w:val="fr-FR"/>
        </w:rPr>
        <w:t xml:space="preserve">Voir la recommandation </w:t>
      </w:r>
      <w:hyperlink r:id="rId1" w:history="1">
        <w:r w:rsidRPr="000575D9">
          <w:rPr>
            <w:rStyle w:val="Hyperlink"/>
            <w:sz w:val="18"/>
            <w:szCs w:val="18"/>
            <w:lang w:val="fr-FR"/>
          </w:rPr>
          <w:t>2/1</w:t>
        </w:r>
      </w:hyperlink>
      <w:r w:rsidRPr="000575D9">
        <w:rPr>
          <w:sz w:val="18"/>
          <w:szCs w:val="18"/>
          <w:lang w:val="fr-FR"/>
        </w:rPr>
        <w:t xml:space="preserve"> du Groupe de travail spécial à composition non limitée sur le partage des avantages découlant de l’utilisation de l’information de séquençage numérique sur les ressources génétiques.</w:t>
      </w:r>
    </w:p>
  </w:footnote>
  <w:footnote w:id="3">
    <w:p w14:paraId="2945ECEC" w14:textId="6D8A40D2" w:rsidR="004757F6" w:rsidRPr="004757F6" w:rsidRDefault="004757F6">
      <w:pPr>
        <w:pStyle w:val="FootnoteText"/>
        <w:rPr>
          <w:lang w:val="fr-FR"/>
        </w:rPr>
      </w:pPr>
      <w:r>
        <w:rPr>
          <w:rStyle w:val="FootnoteReference"/>
        </w:rPr>
        <w:footnoteRef/>
      </w:r>
      <w:r w:rsidRPr="004757F6">
        <w:rPr>
          <w:lang w:val="fr-FR"/>
        </w:rPr>
        <w:t xml:space="preserve"> </w:t>
      </w:r>
      <w:r w:rsidRPr="004757F6">
        <w:rPr>
          <w:sz w:val="18"/>
          <w:szCs w:val="18"/>
          <w:lang w:val="fr-FR"/>
        </w:rPr>
        <w:t xml:space="preserve">Nations Unies, </w:t>
      </w:r>
      <w:r w:rsidRPr="004757F6">
        <w:rPr>
          <w:i/>
          <w:sz w:val="18"/>
          <w:szCs w:val="18"/>
          <w:lang w:val="fr-FR"/>
        </w:rPr>
        <w:t>Recueil des traités</w:t>
      </w:r>
      <w:r w:rsidRPr="004757F6">
        <w:rPr>
          <w:sz w:val="18"/>
          <w:szCs w:val="18"/>
          <w:lang w:val="fr-FR"/>
        </w:rPr>
        <w:t>, vol. 1760, n</w:t>
      </w:r>
      <w:r w:rsidRPr="004757F6">
        <w:rPr>
          <w:sz w:val="18"/>
          <w:szCs w:val="18"/>
          <w:vertAlign w:val="superscript"/>
          <w:lang w:val="fr-FR"/>
        </w:rPr>
        <w:t>o</w:t>
      </w:r>
      <w:r w:rsidRPr="004757F6">
        <w:rPr>
          <w:sz w:val="18"/>
          <w:szCs w:val="18"/>
          <w:lang w:val="fr-FR"/>
        </w:rPr>
        <w:t xml:space="preserve">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640845FA" w14:textId="77777777" w:rsidR="00E22CF5" w:rsidRPr="002B559C" w:rsidRDefault="008E146E" w:rsidP="002B559C">
    <w:pPr>
      <w:pStyle w:val="Header"/>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E22CF5" w:rsidRPr="002B559C">
          <w:rPr>
            <w:sz w:val="20"/>
            <w:szCs w:val="20"/>
            <w:lang w:val="fr-FR"/>
          </w:rPr>
          <w:t>CBD/</w:t>
        </w:r>
      </w:sdtContent>
    </w:sdt>
    <w:bookmarkEnd w:id="1"/>
    <w:bookmarkEnd w:id="2"/>
    <w:r w:rsidR="00E22CF5">
      <w:rPr>
        <w:sz w:val="20"/>
        <w:szCs w:val="20"/>
        <w:lang w:val="fr-FR"/>
      </w:rPr>
      <w:t>NP/MOP/5/--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1900B0ED" w14:textId="77777777" w:rsidR="00E22CF5" w:rsidRPr="002B559C" w:rsidRDefault="00E22CF5" w:rsidP="002B559C">
        <w:pPr>
          <w:pStyle w:val="Header"/>
          <w:pBdr>
            <w:bottom w:val="single" w:sz="4" w:space="1" w:color="auto"/>
          </w:pBdr>
          <w:spacing w:after="240"/>
          <w:jc w:val="right"/>
          <w:rPr>
            <w:sz w:val="20"/>
            <w:szCs w:val="20"/>
            <w:lang w:val="fr-FR"/>
          </w:rPr>
        </w:pPr>
        <w:r>
          <w:rPr>
            <w:sz w:val="20"/>
            <w:szCs w:val="20"/>
            <w:lang w:val="fr-FR"/>
          </w:rPr>
          <w:t>CBD/</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8"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9"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0"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1" w15:restartNumberingAfterBreak="0">
    <w:nsid w:val="7050734D"/>
    <w:multiLevelType w:val="hybridMultilevel"/>
    <w:tmpl w:val="3F5AAFDE"/>
    <w:lvl w:ilvl="0" w:tplc="040C0001">
      <w:start w:val="18"/>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64985921">
    <w:abstractNumId w:val="4"/>
  </w:num>
  <w:num w:numId="2" w16cid:durableId="102462809">
    <w:abstractNumId w:val="10"/>
  </w:num>
  <w:num w:numId="3" w16cid:durableId="240023914">
    <w:abstractNumId w:val="12"/>
  </w:num>
  <w:num w:numId="4" w16cid:durableId="567423728">
    <w:abstractNumId w:val="0"/>
  </w:num>
  <w:num w:numId="5" w16cid:durableId="1802261344">
    <w:abstractNumId w:val="1"/>
  </w:num>
  <w:num w:numId="6" w16cid:durableId="244384053">
    <w:abstractNumId w:val="1"/>
  </w:num>
  <w:num w:numId="7" w16cid:durableId="329523741">
    <w:abstractNumId w:val="3"/>
  </w:num>
  <w:num w:numId="8" w16cid:durableId="1696272120">
    <w:abstractNumId w:val="6"/>
  </w:num>
  <w:num w:numId="9" w16cid:durableId="1118722796">
    <w:abstractNumId w:val="9"/>
  </w:num>
  <w:num w:numId="10" w16cid:durableId="1175655002">
    <w:abstractNumId w:val="8"/>
  </w:num>
  <w:num w:numId="11" w16cid:durableId="1813251700">
    <w:abstractNumId w:val="5"/>
  </w:num>
  <w:num w:numId="12" w16cid:durableId="318970190">
    <w:abstractNumId w:val="2"/>
  </w:num>
  <w:num w:numId="13" w16cid:durableId="1637249084">
    <w:abstractNumId w:val="2"/>
    <w:lvlOverride w:ilvl="0">
      <w:startOverride w:val="1"/>
    </w:lvlOverride>
  </w:num>
  <w:num w:numId="14" w16cid:durableId="2003461721">
    <w:abstractNumId w:val="7"/>
  </w:num>
  <w:num w:numId="15" w16cid:durableId="1955482212">
    <w:abstractNumId w:val="7"/>
    <w:lvlOverride w:ilvl="0">
      <w:startOverride w:val="1"/>
    </w:lvlOverride>
  </w:num>
  <w:num w:numId="16" w16cid:durableId="1359702650">
    <w:abstractNumId w:val="10"/>
    <w:lvlOverride w:ilvl="0">
      <w:startOverride w:val="1"/>
    </w:lvlOverride>
  </w:num>
  <w:num w:numId="17" w16cid:durableId="737216599">
    <w:abstractNumId w:val="7"/>
    <w:lvlOverride w:ilvl="0">
      <w:startOverride w:val="1"/>
    </w:lvlOverride>
  </w:num>
  <w:num w:numId="18" w16cid:durableId="1204904681">
    <w:abstractNumId w:val="13"/>
  </w:num>
  <w:num w:numId="19" w16cid:durableId="1786921578">
    <w:abstractNumId w:val="10"/>
    <w:lvlOverride w:ilvl="0">
      <w:startOverride w:val="1"/>
    </w:lvlOverride>
  </w:num>
  <w:num w:numId="20" w16cid:durableId="1981810027">
    <w:abstractNumId w:val="10"/>
    <w:lvlOverride w:ilvl="0">
      <w:startOverride w:val="1"/>
    </w:lvlOverride>
  </w:num>
  <w:num w:numId="21" w16cid:durableId="13230032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BD9"/>
    <w:rsid w:val="000009A8"/>
    <w:rsid w:val="00001AA4"/>
    <w:rsid w:val="00034163"/>
    <w:rsid w:val="00034CAE"/>
    <w:rsid w:val="00035386"/>
    <w:rsid w:val="00040598"/>
    <w:rsid w:val="00051352"/>
    <w:rsid w:val="000575D9"/>
    <w:rsid w:val="00057E32"/>
    <w:rsid w:val="000744C4"/>
    <w:rsid w:val="000C04BB"/>
    <w:rsid w:val="000D50B1"/>
    <w:rsid w:val="000E758A"/>
    <w:rsid w:val="00103E93"/>
    <w:rsid w:val="00132581"/>
    <w:rsid w:val="0013783A"/>
    <w:rsid w:val="00140604"/>
    <w:rsid w:val="00173C53"/>
    <w:rsid w:val="00184909"/>
    <w:rsid w:val="001A5E96"/>
    <w:rsid w:val="001D7501"/>
    <w:rsid w:val="002011A3"/>
    <w:rsid w:val="00214336"/>
    <w:rsid w:val="00224388"/>
    <w:rsid w:val="0023663C"/>
    <w:rsid w:val="00254CD2"/>
    <w:rsid w:val="00263D55"/>
    <w:rsid w:val="00270E9E"/>
    <w:rsid w:val="002A1AEC"/>
    <w:rsid w:val="002B00CA"/>
    <w:rsid w:val="002B559C"/>
    <w:rsid w:val="002C7190"/>
    <w:rsid w:val="00310608"/>
    <w:rsid w:val="00323F22"/>
    <w:rsid w:val="003476A9"/>
    <w:rsid w:val="003517DF"/>
    <w:rsid w:val="003814AB"/>
    <w:rsid w:val="00395D1C"/>
    <w:rsid w:val="003A05F5"/>
    <w:rsid w:val="003A7ABE"/>
    <w:rsid w:val="003B4C54"/>
    <w:rsid w:val="003C6F10"/>
    <w:rsid w:val="003D643D"/>
    <w:rsid w:val="00441498"/>
    <w:rsid w:val="004701EE"/>
    <w:rsid w:val="004757F6"/>
    <w:rsid w:val="00480A8D"/>
    <w:rsid w:val="004A2A2D"/>
    <w:rsid w:val="004F0F84"/>
    <w:rsid w:val="0050416E"/>
    <w:rsid w:val="00537248"/>
    <w:rsid w:val="00560AF9"/>
    <w:rsid w:val="005A206E"/>
    <w:rsid w:val="005B5E64"/>
    <w:rsid w:val="005C0058"/>
    <w:rsid w:val="005E2605"/>
    <w:rsid w:val="00642D39"/>
    <w:rsid w:val="00657ED6"/>
    <w:rsid w:val="006A3042"/>
    <w:rsid w:val="006B293D"/>
    <w:rsid w:val="006B39D4"/>
    <w:rsid w:val="006C1A1B"/>
    <w:rsid w:val="00722D66"/>
    <w:rsid w:val="00725DED"/>
    <w:rsid w:val="00727E05"/>
    <w:rsid w:val="0073763F"/>
    <w:rsid w:val="0076622F"/>
    <w:rsid w:val="007B0CB0"/>
    <w:rsid w:val="007C77BC"/>
    <w:rsid w:val="007F3A67"/>
    <w:rsid w:val="00822EAC"/>
    <w:rsid w:val="00874541"/>
    <w:rsid w:val="008834FF"/>
    <w:rsid w:val="00891390"/>
    <w:rsid w:val="008E0581"/>
    <w:rsid w:val="008E146E"/>
    <w:rsid w:val="008F10A0"/>
    <w:rsid w:val="00935461"/>
    <w:rsid w:val="009459E3"/>
    <w:rsid w:val="00995DDC"/>
    <w:rsid w:val="009C1114"/>
    <w:rsid w:val="009D1887"/>
    <w:rsid w:val="009D6DDB"/>
    <w:rsid w:val="009F3951"/>
    <w:rsid w:val="00A256BA"/>
    <w:rsid w:val="00A54FA0"/>
    <w:rsid w:val="00A73422"/>
    <w:rsid w:val="00A96B21"/>
    <w:rsid w:val="00AE1A95"/>
    <w:rsid w:val="00AF7181"/>
    <w:rsid w:val="00B34A99"/>
    <w:rsid w:val="00B36EA9"/>
    <w:rsid w:val="00B450A3"/>
    <w:rsid w:val="00B72D1A"/>
    <w:rsid w:val="00B8352A"/>
    <w:rsid w:val="00BA1FAA"/>
    <w:rsid w:val="00BE07E2"/>
    <w:rsid w:val="00C2354A"/>
    <w:rsid w:val="00C261A0"/>
    <w:rsid w:val="00C4406C"/>
    <w:rsid w:val="00C62FBD"/>
    <w:rsid w:val="00CA70B7"/>
    <w:rsid w:val="00CE51EC"/>
    <w:rsid w:val="00CF70AB"/>
    <w:rsid w:val="00D1722E"/>
    <w:rsid w:val="00D23F1E"/>
    <w:rsid w:val="00D254A8"/>
    <w:rsid w:val="00D3059B"/>
    <w:rsid w:val="00D60046"/>
    <w:rsid w:val="00D71FFB"/>
    <w:rsid w:val="00DD20BF"/>
    <w:rsid w:val="00DD74C2"/>
    <w:rsid w:val="00E1597C"/>
    <w:rsid w:val="00E223A7"/>
    <w:rsid w:val="00E22CF5"/>
    <w:rsid w:val="00E321CA"/>
    <w:rsid w:val="00E522BF"/>
    <w:rsid w:val="00E73E7F"/>
    <w:rsid w:val="00E8282A"/>
    <w:rsid w:val="00ED3849"/>
    <w:rsid w:val="00EE4528"/>
    <w:rsid w:val="00F258FB"/>
    <w:rsid w:val="00F4606F"/>
    <w:rsid w:val="00F75F90"/>
    <w:rsid w:val="00F95290"/>
    <w:rsid w:val="00FA18C9"/>
    <w:rsid w:val="00FC5901"/>
    <w:rsid w:val="00FF3BD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B27FC6"/>
  <w15:chartTrackingRefBased/>
  <w15:docId w15:val="{952B4755-2A7A-479F-98CA-B534C442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semiHidden/>
    <w:unhideWhenUsed/>
    <w:rsid w:val="00A96B21"/>
    <w:rPr>
      <w:sz w:val="20"/>
      <w:szCs w:val="20"/>
    </w:rPr>
  </w:style>
  <w:style w:type="character" w:customStyle="1" w:styleId="FootnoteTextChar">
    <w:name w:val="Footnote Text Char"/>
    <w:basedOn w:val="DefaultParagraphFont"/>
    <w:link w:val="FootnoteText"/>
    <w:uiPriority w:val="99"/>
    <w:semiHidden/>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tabs>
        <w:tab w:val="left" w:pos="1134"/>
      </w:tabs>
      <w:spacing w:before="120" w:after="120"/>
      <w:ind w:left="567" w:firstLine="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5C0058"/>
    <w:pPr>
      <w:tabs>
        <w:tab w:val="left" w:pos="1701"/>
      </w:tabs>
      <w:spacing w:before="120" w:after="120"/>
      <w:ind w:left="1134"/>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styleId="Revision">
    <w:name w:val="Revision"/>
    <w:hidden/>
    <w:uiPriority w:val="99"/>
    <w:semiHidden/>
    <w:rsid w:val="00103E93"/>
    <w:pPr>
      <w:spacing w:after="0" w:line="240" w:lineRule="auto"/>
    </w:pPr>
    <w:rPr>
      <w:rFonts w:ascii="Times New Roman" w:eastAsia="Times New Roman" w:hAnsi="Times New Roman" w:cs="Times New Roman"/>
      <w:kern w:val="0"/>
      <w:szCs w:val="24"/>
      <w:lang w:val="en-GB"/>
      <w14:ligatures w14:val="none"/>
    </w:rPr>
  </w:style>
  <w:style w:type="paragraph" w:customStyle="1" w:styleId="AFCorNot12Bold">
    <w:name w:val="AF_CorNot12Bold"/>
    <w:basedOn w:val="Normal"/>
    <w:next w:val="Normal"/>
    <w:unhideWhenUsed/>
    <w:qFormat/>
    <w:rsid w:val="005B5E64"/>
    <w:pPr>
      <w:tabs>
        <w:tab w:val="left" w:pos="567"/>
        <w:tab w:val="left" w:pos="1134"/>
        <w:tab w:val="left" w:pos="1701"/>
        <w:tab w:val="left" w:pos="2268"/>
      </w:tabs>
      <w:jc w:val="left"/>
    </w:pPr>
    <w:rPr>
      <w:rFonts w:eastAsia="SimSun"/>
      <w:b/>
      <w:sz w:val="24"/>
      <w:szCs w:val="22"/>
      <w:lang w:val="fr-FR"/>
    </w:rPr>
  </w:style>
  <w:style w:type="character" w:styleId="Hyperlink">
    <w:name w:val="Hyperlink"/>
    <w:basedOn w:val="DefaultParagraphFont"/>
    <w:uiPriority w:val="99"/>
    <w:unhideWhenUsed/>
    <w:rsid w:val="00263D55"/>
    <w:rPr>
      <w:color w:val="0563C1" w:themeColor="hyperlink"/>
      <w:u w:val="single"/>
    </w:rPr>
  </w:style>
  <w:style w:type="character" w:styleId="FollowedHyperlink">
    <w:name w:val="FollowedHyperlink"/>
    <w:basedOn w:val="DefaultParagraphFont"/>
    <w:uiPriority w:val="99"/>
    <w:semiHidden/>
    <w:unhideWhenUsed/>
    <w:rsid w:val="00263D55"/>
    <w:rPr>
      <w:color w:val="954F72" w:themeColor="followedHyperlink"/>
      <w:u w:val="single"/>
    </w:rPr>
  </w:style>
  <w:style w:type="paragraph" w:customStyle="1" w:styleId="CBDSubTitle">
    <w:name w:val="CBD_SubTitle"/>
    <w:basedOn w:val="Normal"/>
    <w:qFormat/>
    <w:rsid w:val="009D1887"/>
    <w:pPr>
      <w:keepNext/>
      <w:keepLines/>
      <w:tabs>
        <w:tab w:val="left" w:pos="567"/>
        <w:tab w:val="left" w:pos="1134"/>
        <w:tab w:val="left" w:pos="1701"/>
        <w:tab w:val="left" w:pos="2268"/>
        <w:tab w:val="left" w:pos="2835"/>
        <w:tab w:val="left" w:pos="3402"/>
      </w:tabs>
      <w:spacing w:before="240" w:after="240"/>
      <w:ind w:left="567"/>
      <w:jc w:val="left"/>
    </w:pPr>
    <w:rPr>
      <w:rFonts w:eastAsia="SimSun"/>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211339">
      <w:bodyDiv w:val="1"/>
      <w:marLeft w:val="0"/>
      <w:marRight w:val="0"/>
      <w:marTop w:val="0"/>
      <w:marBottom w:val="0"/>
      <w:divBdr>
        <w:top w:val="none" w:sz="0" w:space="0" w:color="auto"/>
        <w:left w:val="none" w:sz="0" w:space="0" w:color="auto"/>
        <w:bottom w:val="none" w:sz="0" w:space="0" w:color="auto"/>
        <w:right w:val="none" w:sz="0" w:space="0" w:color="auto"/>
      </w:divBdr>
    </w:div>
    <w:div w:id="1011562724">
      <w:bodyDiv w:val="1"/>
      <w:marLeft w:val="0"/>
      <w:marRight w:val="0"/>
      <w:marTop w:val="0"/>
      <w:marBottom w:val="0"/>
      <w:divBdr>
        <w:top w:val="none" w:sz="0" w:space="0" w:color="auto"/>
        <w:left w:val="none" w:sz="0" w:space="0" w:color="auto"/>
        <w:bottom w:val="none" w:sz="0" w:space="0" w:color="auto"/>
        <w:right w:val="none" w:sz="0" w:space="0" w:color="auto"/>
      </w:divBdr>
    </w:div>
    <w:div w:id="1379470955">
      <w:bodyDiv w:val="1"/>
      <w:marLeft w:val="0"/>
      <w:marRight w:val="0"/>
      <w:marTop w:val="0"/>
      <w:marBottom w:val="0"/>
      <w:divBdr>
        <w:top w:val="none" w:sz="0" w:space="0" w:color="auto"/>
        <w:left w:val="none" w:sz="0" w:space="0" w:color="auto"/>
        <w:bottom w:val="none" w:sz="0" w:space="0" w:color="auto"/>
        <w:right w:val="none" w:sz="0" w:space="0" w:color="auto"/>
      </w:divBdr>
    </w:div>
    <w:div w:id="1773089389">
      <w:bodyDiv w:val="1"/>
      <w:marLeft w:val="0"/>
      <w:marRight w:val="0"/>
      <w:marTop w:val="0"/>
      <w:marBottom w:val="0"/>
      <w:divBdr>
        <w:top w:val="none" w:sz="0" w:space="0" w:color="auto"/>
        <w:left w:val="none" w:sz="0" w:space="0" w:color="auto"/>
        <w:bottom w:val="none" w:sz="0" w:space="0" w:color="auto"/>
        <w:right w:val="none" w:sz="0" w:space="0" w:color="auto"/>
      </w:divBdr>
    </w:div>
    <w:div w:id="1779793735">
      <w:bodyDiv w:val="1"/>
      <w:marLeft w:val="0"/>
      <w:marRight w:val="0"/>
      <w:marTop w:val="0"/>
      <w:marBottom w:val="0"/>
      <w:divBdr>
        <w:top w:val="none" w:sz="0" w:space="0" w:color="auto"/>
        <w:left w:val="none" w:sz="0" w:space="0" w:color="auto"/>
        <w:bottom w:val="none" w:sz="0" w:space="0" w:color="auto"/>
        <w:right w:val="none" w:sz="0" w:space="0" w:color="auto"/>
      </w:divBdr>
    </w:div>
    <w:div w:id="179420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np-mop-04/np-mop-04-dec-06-fr.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recommendations/wgdsi/?m=wgdsi-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YANT1\Downloads\template-np-mop-05-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D97FDF3A9B4430A5087296D3D7D996"/>
        <w:category>
          <w:name w:val="General"/>
          <w:gallery w:val="placeholder"/>
        </w:category>
        <w:types>
          <w:type w:val="bbPlcHdr"/>
        </w:types>
        <w:behaviors>
          <w:behavior w:val="content"/>
        </w:behaviors>
        <w:guid w:val="{E42D8E05-42BA-45A5-82CB-F813A1ECAB38}"/>
      </w:docPartPr>
      <w:docPartBody>
        <w:p w:rsidR="007D44D2" w:rsidRDefault="007D44D2">
          <w:pPr>
            <w:pStyle w:val="CED97FDF3A9B4430A5087296D3D7D996"/>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D2"/>
    <w:rsid w:val="000D50B1"/>
    <w:rsid w:val="00140604"/>
    <w:rsid w:val="0023663C"/>
    <w:rsid w:val="002C7190"/>
    <w:rsid w:val="003A7ABE"/>
    <w:rsid w:val="00533C64"/>
    <w:rsid w:val="00551728"/>
    <w:rsid w:val="00606EC6"/>
    <w:rsid w:val="00725DED"/>
    <w:rsid w:val="007D44D2"/>
    <w:rsid w:val="0081414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D97FDF3A9B4430A5087296D3D7D996">
    <w:name w:val="CED97FDF3A9B4430A5087296D3D7D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B4183-370A-4F08-A519-3CFDCB73C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FCBFE-BA6F-4B43-8773-CD3C1F4C9AD5}">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C15A2C42-73D8-4003-A549-22DF35BAF922}">
  <ds:schemaRefs>
    <ds:schemaRef ds:uri="http://schemas.openxmlformats.org/officeDocument/2006/bibliography"/>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template-np-mop-05-en</Template>
  <TotalTime>53</TotalTime>
  <Pages>1</Pages>
  <Words>282</Words>
  <Characters>1609</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Information de séquençage numérique sur les ressources génétiques</vt:lpstr>
      <vt:lpstr>Digital sequence information on genetic resources</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siégeant en tant que réunion des Parties au Protocole de Nagoya sur l’accès aux ressources génétiques et le partage juste et équitable des avantages découlant de leur utilisation le 27 février 2025</dc:title>
  <dc:subject>CBD/</dc:subject>
  <dc:creator>CBD Sec</dc:creator>
  <cp:keywords>Conference of the Parties serving as the meeting of the Parties to the Nagoya Protocol on Access to Genetic Resources and the Fair and Equitable Sharing of Benefits Arising from their Utilization</cp:keywords>
  <dc:description/>
  <cp:lastModifiedBy>catherine kinley</cp:lastModifiedBy>
  <cp:revision>25</cp:revision>
  <cp:lastPrinted>2024-11-02T01:38:00Z</cp:lastPrinted>
  <dcterms:created xsi:type="dcterms:W3CDTF">2024-11-05T08:11:00Z</dcterms:created>
  <dcterms:modified xsi:type="dcterms:W3CDTF">2025-03-14T01:08:00Z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