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C7D8B" w14:textId="75A9384E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20C59F" w14:textId="1DA8F1CC" w:rsidR="00236608" w:rsidRPr="00293F53" w:rsidRDefault="00236608" w:rsidP="00AE7B5B">
      <w:pPr>
        <w:jc w:val="center"/>
        <w:rPr>
          <w:b/>
          <w:sz w:val="22"/>
          <w:szCs w:val="22"/>
        </w:rPr>
      </w:pPr>
    </w:p>
    <w:p w14:paraId="34B17942" w14:textId="6E493602" w:rsidR="00236608" w:rsidRPr="00197790" w:rsidRDefault="00236608" w:rsidP="00D3167F">
      <w:pPr>
        <w:pStyle w:val="Default"/>
        <w:jc w:val="center"/>
        <w:rPr>
          <w:b/>
          <w:u w:val="single"/>
        </w:rPr>
      </w:pPr>
      <w:r w:rsidRPr="00197790">
        <w:rPr>
          <w:b/>
          <w:u w:val="single"/>
        </w:rPr>
        <w:t>TEMPLATE FOR COMMENTS</w:t>
      </w:r>
      <w:r w:rsidR="009A6B72" w:rsidRPr="00197790">
        <w:rPr>
          <w:b/>
          <w:u w:val="single"/>
        </w:rPr>
        <w:t xml:space="preserve">: </w:t>
      </w:r>
      <w:r w:rsidR="00DC44E4" w:rsidRPr="00197790">
        <w:rPr>
          <w:b/>
          <w:u w:val="single"/>
        </w:rPr>
        <w:t>Draft g</w:t>
      </w:r>
      <w:r w:rsidR="00E2476B" w:rsidRPr="00197790">
        <w:rPr>
          <w:b/>
          <w:u w:val="single"/>
        </w:rPr>
        <w:t xml:space="preserve">uidance for </w:t>
      </w:r>
      <w:r w:rsidR="000B252D" w:rsidRPr="00197790">
        <w:rPr>
          <w:b/>
          <w:u w:val="single"/>
        </w:rPr>
        <w:t xml:space="preserve">capturing commitments from actors other than national governments in the context of enhanced planning, monitoring, reporting and reviewing mechanisms </w:t>
      </w:r>
      <w:r w:rsidR="009A6B72" w:rsidRPr="00197790">
        <w:rPr>
          <w:b/>
          <w:u w:val="single"/>
        </w:rPr>
        <w:t>contained in CBD/SBI/3/11/ADD</w:t>
      </w:r>
      <w:r w:rsidR="00DC44E4" w:rsidRPr="00197790">
        <w:rPr>
          <w:b/>
          <w:u w:val="single"/>
        </w:rPr>
        <w:t xml:space="preserve"> </w:t>
      </w:r>
      <w:r w:rsidR="000B252D" w:rsidRPr="00197790">
        <w:rPr>
          <w:b/>
          <w:u w:val="single"/>
        </w:rPr>
        <w:t>6</w:t>
      </w:r>
    </w:p>
    <w:p w14:paraId="17859718" w14:textId="77777777" w:rsidR="00236608" w:rsidRPr="00532BBA" w:rsidRDefault="00236608" w:rsidP="006C085B">
      <w:pPr>
        <w:pStyle w:val="Default"/>
        <w:spacing w:before="60"/>
        <w:jc w:val="center"/>
        <w:rPr>
          <w:b/>
          <w:sz w:val="22"/>
          <w:szCs w:val="22"/>
          <w:u w:val="single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5402"/>
      </w:tblGrid>
      <w:tr w:rsidR="00236608" w:rsidRPr="000C0B6C" w14:paraId="1FFC346E" w14:textId="77777777" w:rsidTr="00D3167F">
        <w:trPr>
          <w:trHeight w:val="737"/>
        </w:trPr>
        <w:tc>
          <w:tcPr>
            <w:tcW w:w="9535" w:type="dxa"/>
            <w:gridSpan w:val="2"/>
            <w:vAlign w:val="center"/>
          </w:tcPr>
          <w:p w14:paraId="7B023D72" w14:textId="32B9BE0D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AF4AD0" w:rsidRPr="000C0B6C" w14:paraId="19F85FA6" w14:textId="77777777" w:rsidTr="00D3167F">
        <w:trPr>
          <w:trHeight w:val="270"/>
        </w:trPr>
        <w:tc>
          <w:tcPr>
            <w:tcW w:w="4133" w:type="dxa"/>
          </w:tcPr>
          <w:p w14:paraId="06F5B580" w14:textId="4C916EB4" w:rsidR="00AF4AD0" w:rsidRPr="000C0B6C" w:rsidRDefault="00414ED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Scope of this template for comments</w:t>
            </w:r>
            <w:r w:rsidR="009A6B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02" w:type="dxa"/>
          </w:tcPr>
          <w:p w14:paraId="1B40A4A0" w14:textId="6884A3CF" w:rsidR="00AF4AD0" w:rsidRPr="000C0B6C" w:rsidRDefault="00DC44E4" w:rsidP="000B252D">
            <w:r>
              <w:t>Draft guidance for</w:t>
            </w:r>
            <w:r w:rsidR="000B252D">
              <w:t xml:space="preserve"> </w:t>
            </w:r>
            <w:r w:rsidR="000B252D" w:rsidRPr="00197790">
              <w:t xml:space="preserve">capturing commitments from actors other than national governments in the context of enhanced planning, monitoring, reporting and reviewing mechanisms </w:t>
            </w:r>
            <w:r w:rsidRPr="00197790">
              <w:t>contained in the documen</w:t>
            </w:r>
            <w:r>
              <w:t>t CBD/SBI/3/11/Add.</w:t>
            </w:r>
            <w:r w:rsidR="000B252D">
              <w:t>6</w:t>
            </w:r>
            <w:r>
              <w:t>, w</w:t>
            </w:r>
            <w:r w:rsidR="00385D8C">
              <w:t>hich includes a draft of</w:t>
            </w:r>
            <w:r w:rsidR="00757EBE">
              <w:t xml:space="preserve"> </w:t>
            </w:r>
            <w:r>
              <w:t xml:space="preserve">Annex </w:t>
            </w:r>
            <w:r w:rsidR="000B252D">
              <w:t>B</w:t>
            </w:r>
            <w:r w:rsidR="00FF1E02">
              <w:t xml:space="preserve"> to CBD/SBI/3/CRP.5.</w:t>
            </w:r>
            <w:r>
              <w:t xml:space="preserve"> </w:t>
            </w:r>
            <w:r w:rsidR="00414EDF">
              <w:t xml:space="preserve">This template aims to collect feedback on that Annex. </w:t>
            </w:r>
          </w:p>
        </w:tc>
      </w:tr>
      <w:tr w:rsidR="00236608" w:rsidRPr="000C0B6C" w14:paraId="6598FBAB" w14:textId="77777777" w:rsidTr="00D3167F">
        <w:trPr>
          <w:trHeight w:val="449"/>
        </w:trPr>
        <w:tc>
          <w:tcPr>
            <w:tcW w:w="9535" w:type="dxa"/>
            <w:gridSpan w:val="2"/>
            <w:shd w:val="clear" w:color="auto" w:fill="C0C0C0"/>
            <w:vAlign w:val="center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236608" w:rsidRPr="000C0B6C" w14:paraId="212CCDF4" w14:textId="77777777" w:rsidTr="00D3167F">
        <w:trPr>
          <w:trHeight w:val="270"/>
        </w:trPr>
        <w:tc>
          <w:tcPr>
            <w:tcW w:w="4133" w:type="dxa"/>
          </w:tcPr>
          <w:p w14:paraId="13CBB394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402" w:type="dxa"/>
          </w:tcPr>
          <w:p w14:paraId="08B4F522" w14:textId="685C24E2" w:rsidR="00236608" w:rsidRPr="000C0B6C" w:rsidRDefault="00F22DD1" w:rsidP="009A6B72">
            <w:r>
              <w:t>Bohnenblust</w:t>
            </w:r>
          </w:p>
        </w:tc>
      </w:tr>
      <w:tr w:rsidR="00236608" w:rsidRPr="000C0B6C" w14:paraId="70478EC8" w14:textId="77777777" w:rsidTr="00D3167F">
        <w:trPr>
          <w:trHeight w:val="270"/>
        </w:trPr>
        <w:tc>
          <w:tcPr>
            <w:tcW w:w="4133" w:type="dxa"/>
          </w:tcPr>
          <w:p w14:paraId="4EE5D0BF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402" w:type="dxa"/>
          </w:tcPr>
          <w:p w14:paraId="618617AF" w14:textId="032C6A04" w:rsidR="00236608" w:rsidRPr="000C0B6C" w:rsidRDefault="00F22DD1" w:rsidP="009A6B72">
            <w:r>
              <w:t>Vincent</w:t>
            </w:r>
          </w:p>
        </w:tc>
      </w:tr>
      <w:tr w:rsidR="00236608" w:rsidRPr="000C0B6C" w14:paraId="60004B01" w14:textId="77777777" w:rsidTr="00D3167F">
        <w:trPr>
          <w:trHeight w:val="280"/>
        </w:trPr>
        <w:tc>
          <w:tcPr>
            <w:tcW w:w="4133" w:type="dxa"/>
          </w:tcPr>
          <w:p w14:paraId="043D7251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402" w:type="dxa"/>
          </w:tcPr>
          <w:p w14:paraId="44573104" w14:textId="27CBDDBE" w:rsidR="00236608" w:rsidRPr="000C0B6C" w:rsidRDefault="00F22DD1" w:rsidP="00F22DD1">
            <w:pPr>
              <w:spacing w:line="256" w:lineRule="auto"/>
            </w:pPr>
            <w:r>
              <w:t>Federal Department of the Environment, Transport, Energy and Communications DETEC</w:t>
            </w:r>
          </w:p>
        </w:tc>
      </w:tr>
      <w:tr w:rsidR="00236608" w:rsidRPr="000C0B6C" w14:paraId="41DAE210" w14:textId="77777777" w:rsidTr="00D3167F">
        <w:trPr>
          <w:trHeight w:val="270"/>
        </w:trPr>
        <w:tc>
          <w:tcPr>
            <w:tcW w:w="4133" w:type="dxa"/>
          </w:tcPr>
          <w:p w14:paraId="064A5C6E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402" w:type="dxa"/>
          </w:tcPr>
          <w:p w14:paraId="6DC88D1F" w14:textId="77777777" w:rsidR="00236608" w:rsidRPr="000C0B6C" w:rsidRDefault="00236608" w:rsidP="009A6B72"/>
        </w:tc>
      </w:tr>
      <w:tr w:rsidR="00236608" w:rsidRPr="000C0B6C" w14:paraId="19EAFF8D" w14:textId="77777777" w:rsidTr="00D3167F">
        <w:trPr>
          <w:trHeight w:val="280"/>
        </w:trPr>
        <w:tc>
          <w:tcPr>
            <w:tcW w:w="4133" w:type="dxa"/>
          </w:tcPr>
          <w:p w14:paraId="051F46C6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402" w:type="dxa"/>
          </w:tcPr>
          <w:p w14:paraId="1BEACDEF" w14:textId="77777777" w:rsidR="00236608" w:rsidRPr="000C0B6C" w:rsidRDefault="00236608" w:rsidP="009A6B72"/>
        </w:tc>
      </w:tr>
      <w:tr w:rsidR="00236608" w:rsidRPr="000C0B6C" w14:paraId="3310BC30" w14:textId="77777777" w:rsidTr="00D3167F">
        <w:trPr>
          <w:trHeight w:val="270"/>
        </w:trPr>
        <w:tc>
          <w:tcPr>
            <w:tcW w:w="4133" w:type="dxa"/>
          </w:tcPr>
          <w:p w14:paraId="675A80C3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402" w:type="dxa"/>
          </w:tcPr>
          <w:p w14:paraId="160AB00E" w14:textId="46AE7A89" w:rsidR="00236608" w:rsidRPr="000C0B6C" w:rsidRDefault="00F22DD1" w:rsidP="009A6B72">
            <w:r>
              <w:t>Bern</w:t>
            </w:r>
          </w:p>
        </w:tc>
      </w:tr>
      <w:tr w:rsidR="00236608" w:rsidRPr="000C0B6C" w14:paraId="0303D967" w14:textId="77777777" w:rsidTr="00D3167F">
        <w:trPr>
          <w:trHeight w:val="280"/>
        </w:trPr>
        <w:tc>
          <w:tcPr>
            <w:tcW w:w="4133" w:type="dxa"/>
          </w:tcPr>
          <w:p w14:paraId="241052A2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402" w:type="dxa"/>
          </w:tcPr>
          <w:p w14:paraId="213ED87C" w14:textId="3304B34A" w:rsidR="00236608" w:rsidRPr="000C0B6C" w:rsidRDefault="00F22DD1" w:rsidP="00F22DD1">
            <w:pPr>
              <w:spacing w:line="256" w:lineRule="auto"/>
            </w:pPr>
            <w:r>
              <w:t>Switzerland</w:t>
            </w:r>
          </w:p>
        </w:tc>
      </w:tr>
      <w:tr w:rsidR="00236608" w:rsidRPr="000C0B6C" w14:paraId="1112C88B" w14:textId="77777777" w:rsidTr="00D3167F">
        <w:trPr>
          <w:trHeight w:val="270"/>
        </w:trPr>
        <w:tc>
          <w:tcPr>
            <w:tcW w:w="4133" w:type="dxa"/>
          </w:tcPr>
          <w:p w14:paraId="45B7FB6A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402" w:type="dxa"/>
          </w:tcPr>
          <w:p w14:paraId="3E34F7CA" w14:textId="144E671A" w:rsidR="00236608" w:rsidRPr="000C0B6C" w:rsidRDefault="00F22DD1" w:rsidP="009A6B72">
            <w:r>
              <w:t>3003</w:t>
            </w:r>
          </w:p>
        </w:tc>
      </w:tr>
      <w:tr w:rsidR="00236608" w:rsidRPr="000C0B6C" w14:paraId="64A916DC" w14:textId="77777777" w:rsidTr="00D3167F">
        <w:trPr>
          <w:trHeight w:val="270"/>
        </w:trPr>
        <w:tc>
          <w:tcPr>
            <w:tcW w:w="4133" w:type="dxa"/>
          </w:tcPr>
          <w:p w14:paraId="18A42CE7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402" w:type="dxa"/>
          </w:tcPr>
          <w:p w14:paraId="6D5B5A6E" w14:textId="7F4289EC" w:rsidR="00236608" w:rsidRPr="000C0B6C" w:rsidRDefault="00F22DD1" w:rsidP="00F22DD1">
            <w:pPr>
              <w:spacing w:line="256" w:lineRule="auto"/>
            </w:pPr>
            <w:r>
              <w:rPr>
                <w:lang w:val="de-CH"/>
              </w:rPr>
              <w:t>+41 58 462 93 11</w:t>
            </w:r>
          </w:p>
        </w:tc>
      </w:tr>
      <w:tr w:rsidR="00236608" w:rsidRPr="000C0B6C" w14:paraId="7C74835B" w14:textId="77777777" w:rsidTr="00D3167F">
        <w:trPr>
          <w:trHeight w:val="233"/>
        </w:trPr>
        <w:tc>
          <w:tcPr>
            <w:tcW w:w="4133" w:type="dxa"/>
          </w:tcPr>
          <w:p w14:paraId="45DEDB26" w14:textId="77777777" w:rsidR="00236608" w:rsidRPr="000C0B6C" w:rsidRDefault="00236608" w:rsidP="009A6B72">
            <w:pPr>
              <w:pStyle w:val="Kommentarthema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402" w:type="dxa"/>
          </w:tcPr>
          <w:p w14:paraId="118A29DB" w14:textId="592317E7" w:rsidR="00236608" w:rsidRPr="000C0B6C" w:rsidRDefault="00F22DD1" w:rsidP="009A6B72">
            <w:r>
              <w:t>vincent.bohnenblust@bafu.admin.ch</w:t>
            </w:r>
          </w:p>
        </w:tc>
      </w:tr>
      <w:tr w:rsidR="00414EDF" w:rsidRPr="000C0B6C" w14:paraId="5BF8E06D" w14:textId="77777777" w:rsidTr="00D3167F">
        <w:trPr>
          <w:trHeight w:val="359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E4EFB" w14:textId="0B436C45" w:rsidR="00414EDF" w:rsidRPr="00D779BA" w:rsidRDefault="00414EDF" w:rsidP="00414EDF">
            <w:pPr>
              <w:jc w:val="center"/>
              <w:rPr>
                <w:b/>
                <w:bCs/>
              </w:rPr>
            </w:pPr>
            <w:r w:rsidRPr="00D779BA">
              <w:rPr>
                <w:b/>
                <w:bCs/>
              </w:rPr>
              <w:t>Comments</w:t>
            </w:r>
          </w:p>
        </w:tc>
      </w:tr>
      <w:tr w:rsidR="00414EDF" w:rsidRPr="00763D7F" w14:paraId="396AFF2B" w14:textId="77777777" w:rsidTr="00D3167F">
        <w:trPr>
          <w:trHeight w:val="494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2E78" w14:textId="77777777" w:rsidR="00414EDF" w:rsidRDefault="00414EDF" w:rsidP="00FF1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</w:t>
            </w:r>
            <w:r w:rsidR="00F122C1">
              <w:rPr>
                <w:sz w:val="22"/>
                <w:szCs w:val="22"/>
              </w:rPr>
              <w:t xml:space="preserve">general </w:t>
            </w:r>
            <w:r>
              <w:rPr>
                <w:sz w:val="22"/>
                <w:szCs w:val="22"/>
              </w:rPr>
              <w:t xml:space="preserve">comments </w:t>
            </w:r>
            <w:r w:rsidR="00F122C1" w:rsidRPr="00993524">
              <w:rPr>
                <w:sz w:val="22"/>
                <w:szCs w:val="22"/>
              </w:rPr>
              <w:t>on</w:t>
            </w:r>
            <w:r w:rsidR="000B252D" w:rsidRPr="00993524">
              <w:rPr>
                <w:sz w:val="22"/>
                <w:szCs w:val="22"/>
              </w:rPr>
              <w:t xml:space="preserve"> capturing commitments</w:t>
            </w:r>
            <w:r w:rsidR="000B252D">
              <w:rPr>
                <w:sz w:val="22"/>
                <w:szCs w:val="22"/>
              </w:rPr>
              <w:t xml:space="preserve"> from actors other than national governments</w:t>
            </w:r>
            <w:r w:rsidR="00FF1E02">
              <w:rPr>
                <w:sz w:val="22"/>
                <w:szCs w:val="22"/>
              </w:rPr>
              <w:t>.</w:t>
            </w:r>
          </w:p>
          <w:p w14:paraId="2165C226" w14:textId="06F7FEE4" w:rsidR="00757EBE" w:rsidRDefault="00757EBE" w:rsidP="00FF1E02">
            <w:pPr>
              <w:rPr>
                <w:sz w:val="22"/>
                <w:szCs w:val="22"/>
              </w:rPr>
            </w:pPr>
          </w:p>
          <w:p w14:paraId="2B28D252" w14:textId="709B0BEF" w:rsidR="00703B5F" w:rsidRDefault="00703B5F" w:rsidP="00724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Switzerland is not totally convinced of the term “actors beyond/other than national governments”. We would prefer the classical term of Non-State Actor. We understand that the term used is supposed to be broader and include i.a. subnational authorities. However, the latter does not have the same status as non-state actors and are in most of the national jurisdictions anyway directly bounded by the national government’s international commitments, which </w:t>
            </w:r>
            <w:r w:rsidR="00993524">
              <w:rPr>
                <w:sz w:val="22"/>
                <w:szCs w:val="22"/>
              </w:rPr>
              <w:t xml:space="preserve">is </w:t>
            </w:r>
            <w:r>
              <w:rPr>
                <w:sz w:val="22"/>
                <w:szCs w:val="22"/>
              </w:rPr>
              <w:t>not necessarily the case for non-state actors.</w:t>
            </w:r>
            <w:r w:rsidR="00E02B58">
              <w:rPr>
                <w:sz w:val="22"/>
                <w:szCs w:val="22"/>
              </w:rPr>
              <w:t xml:space="preserve"> Related document </w:t>
            </w:r>
            <w:r w:rsidR="00E02B58" w:rsidRPr="00E02B58">
              <w:rPr>
                <w:sz w:val="22"/>
                <w:szCs w:val="22"/>
              </w:rPr>
              <w:t>CBD/SBI/3/INF/20</w:t>
            </w:r>
            <w:r w:rsidR="00E02B58">
              <w:rPr>
                <w:sz w:val="22"/>
                <w:szCs w:val="22"/>
              </w:rPr>
              <w:t xml:space="preserve"> uses </w:t>
            </w:r>
            <w:r w:rsidR="00C95CBC">
              <w:rPr>
                <w:sz w:val="22"/>
                <w:szCs w:val="22"/>
              </w:rPr>
              <w:t>both</w:t>
            </w:r>
            <w:r w:rsidR="00E02B58">
              <w:rPr>
                <w:sz w:val="22"/>
                <w:szCs w:val="22"/>
              </w:rPr>
              <w:t xml:space="preserve"> terms alternatively which is confusing.</w:t>
            </w:r>
          </w:p>
          <w:p w14:paraId="5E9E988D" w14:textId="345B7773" w:rsidR="00703B5F" w:rsidRDefault="00703B5F" w:rsidP="00724A95">
            <w:pPr>
              <w:rPr>
                <w:sz w:val="22"/>
                <w:szCs w:val="22"/>
              </w:rPr>
            </w:pPr>
          </w:p>
          <w:p w14:paraId="72FA3529" w14:textId="6A205A95" w:rsidR="00724A95" w:rsidRDefault="00DD69A4" w:rsidP="00724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Switzerland supports the establishment of a platform to register and follow the implementation of voluntary commitments by non-state actors. We understand that </w:t>
            </w:r>
            <w:r w:rsidR="00703B5F">
              <w:rPr>
                <w:sz w:val="22"/>
                <w:szCs w:val="22"/>
              </w:rPr>
              <w:t xml:space="preserve">the </w:t>
            </w:r>
            <w:r w:rsidR="00E02B58" w:rsidRPr="00E02B58">
              <w:rPr>
                <w:sz w:val="22"/>
                <w:szCs w:val="22"/>
              </w:rPr>
              <w:t>Sharm El-Sheikh to Beijing Action Agenda for Nature and People</w:t>
            </w:r>
            <w:r w:rsidR="00E02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has the potential to serve these</w:t>
            </w:r>
            <w:r w:rsidR="00E02B58">
              <w:rPr>
                <w:sz w:val="22"/>
                <w:szCs w:val="22"/>
              </w:rPr>
              <w:t xml:space="preserve"> objectives. However, i</w:t>
            </w:r>
            <w:r w:rsidR="00724A95" w:rsidRPr="00724A95">
              <w:rPr>
                <w:sz w:val="22"/>
                <w:szCs w:val="22"/>
              </w:rPr>
              <w:t>f a framework for voluntary commitments formulated by non-state and sub-state actors would</w:t>
            </w:r>
            <w:r w:rsidR="00E02B58">
              <w:rPr>
                <w:sz w:val="22"/>
                <w:szCs w:val="22"/>
              </w:rPr>
              <w:t xml:space="preserve"> </w:t>
            </w:r>
            <w:r w:rsidR="00724A95" w:rsidRPr="00724A95">
              <w:rPr>
                <w:sz w:val="22"/>
                <w:szCs w:val="22"/>
              </w:rPr>
              <w:t>be established, such a framework should include a robust accountability mechanism.</w:t>
            </w:r>
            <w:r w:rsidR="00E02B58">
              <w:rPr>
                <w:sz w:val="22"/>
                <w:szCs w:val="22"/>
              </w:rPr>
              <w:t xml:space="preserve"> Moreover, it shouldn’t interfere with the </w:t>
            </w:r>
            <w:r w:rsidR="00E02B58">
              <w:rPr>
                <w:sz w:val="22"/>
                <w:szCs w:val="22"/>
              </w:rPr>
              <w:lastRenderedPageBreak/>
              <w:t>reporting and review mechanism of Parties to the CBD.</w:t>
            </w:r>
            <w:r>
              <w:rPr>
                <w:sz w:val="22"/>
                <w:szCs w:val="22"/>
              </w:rPr>
              <w:t xml:space="preserve"> We therefor</w:t>
            </w:r>
            <w:r w:rsidR="00737B35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would prefer that other independent but objective institutions such as the IUCN would run the platform.</w:t>
            </w:r>
          </w:p>
          <w:p w14:paraId="4F885333" w14:textId="3BECA7B1" w:rsidR="002E7F65" w:rsidRDefault="002E7F65" w:rsidP="00724A95">
            <w:pPr>
              <w:rPr>
                <w:sz w:val="22"/>
                <w:szCs w:val="22"/>
              </w:rPr>
            </w:pPr>
          </w:p>
          <w:p w14:paraId="0256AB06" w14:textId="3921AC3B" w:rsidR="00DC6398" w:rsidRDefault="002E7F65" w:rsidP="00724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circle of addressed stakeholders should be better defined. Otherwise, there is a risk of loss of the big picture, of control and finally of credibility (i.a. problem of green-washing)</w:t>
            </w:r>
            <w:r w:rsidR="00DC6398">
              <w:rPr>
                <w:sz w:val="22"/>
                <w:szCs w:val="22"/>
              </w:rPr>
              <w:t xml:space="preserve">. Par. </w:t>
            </w:r>
            <w:r>
              <w:rPr>
                <w:sz w:val="22"/>
                <w:szCs w:val="22"/>
              </w:rPr>
              <w:t xml:space="preserve">4 mentions intergovernmental organizations and other MEAs. For Switzerland, these </w:t>
            </w:r>
            <w:r w:rsidR="00DD69A4">
              <w:rPr>
                <w:sz w:val="22"/>
                <w:szCs w:val="22"/>
              </w:rPr>
              <w:t xml:space="preserve">institutions </w:t>
            </w:r>
            <w:r>
              <w:rPr>
                <w:sz w:val="22"/>
                <w:szCs w:val="22"/>
              </w:rPr>
              <w:t>shouldn’t be mentioned here</w:t>
            </w:r>
            <w:r w:rsidR="00DD69A4">
              <w:rPr>
                <w:sz w:val="22"/>
                <w:szCs w:val="22"/>
              </w:rPr>
              <w:t xml:space="preserve"> as “stakeholders”</w:t>
            </w:r>
            <w:r>
              <w:rPr>
                <w:sz w:val="22"/>
                <w:szCs w:val="22"/>
              </w:rPr>
              <w:t>, since the</w:t>
            </w:r>
            <w:r w:rsidR="00DC6398">
              <w:rPr>
                <w:sz w:val="22"/>
                <w:szCs w:val="22"/>
              </w:rPr>
              <w:t xml:space="preserve">y have another </w:t>
            </w:r>
            <w:r w:rsidR="00DD69A4">
              <w:rPr>
                <w:sz w:val="22"/>
                <w:szCs w:val="22"/>
              </w:rPr>
              <w:t xml:space="preserve">specific </w:t>
            </w:r>
            <w:r w:rsidR="00DC6398">
              <w:rPr>
                <w:sz w:val="22"/>
                <w:szCs w:val="22"/>
              </w:rPr>
              <w:t>legal status.</w:t>
            </w:r>
          </w:p>
          <w:p w14:paraId="5CD84287" w14:textId="77777777" w:rsidR="00DC6398" w:rsidRDefault="00DC6398" w:rsidP="00724A95">
            <w:pPr>
              <w:rPr>
                <w:sz w:val="22"/>
                <w:szCs w:val="22"/>
              </w:rPr>
            </w:pPr>
          </w:p>
          <w:p w14:paraId="00E9F4D1" w14:textId="470939C6" w:rsidR="002E7F65" w:rsidRDefault="00DC6398" w:rsidP="00724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are not sure whether </w:t>
            </w:r>
            <w:r w:rsidR="008A6ED5">
              <w:rPr>
                <w:sz w:val="22"/>
                <w:szCs w:val="22"/>
              </w:rPr>
              <w:t xml:space="preserve">non-state actors </w:t>
            </w:r>
            <w:r>
              <w:rPr>
                <w:sz w:val="22"/>
                <w:szCs w:val="22"/>
              </w:rPr>
              <w:t xml:space="preserve">“demonstrating </w:t>
            </w:r>
            <w:r w:rsidRPr="00DC6398">
              <w:rPr>
                <w:sz w:val="22"/>
                <w:szCs w:val="22"/>
              </w:rPr>
              <w:t>how their commitments support and impact the post-2020 global biodiversity framework</w:t>
            </w:r>
            <w:r>
              <w:rPr>
                <w:sz w:val="22"/>
                <w:szCs w:val="22"/>
              </w:rPr>
              <w:t xml:space="preserve">” is enough to counter the mentioned risks of greenwashing and </w:t>
            </w:r>
            <w:r w:rsidRPr="00DC6398">
              <w:rPr>
                <w:sz w:val="22"/>
                <w:szCs w:val="22"/>
              </w:rPr>
              <w:t>negative influencing on the intergovernmental process</w:t>
            </w:r>
            <w:r>
              <w:rPr>
                <w:sz w:val="22"/>
                <w:szCs w:val="22"/>
              </w:rPr>
              <w:t xml:space="preserve"> (see par. 6).</w:t>
            </w:r>
            <w:r w:rsidR="00756E03">
              <w:rPr>
                <w:sz w:val="22"/>
                <w:szCs w:val="22"/>
              </w:rPr>
              <w:t xml:space="preserve"> An independent assessment by knowledgeable institutions such as IUCN or WCMC is required </w:t>
            </w:r>
            <w:r w:rsidR="00756E03">
              <w:rPr>
                <w:lang w:val="en-GB"/>
              </w:rPr>
              <w:t>to guarantee environmental integrity of such an instrument.</w:t>
            </w:r>
          </w:p>
          <w:p w14:paraId="48E5DE14" w14:textId="77777777" w:rsidR="002C4913" w:rsidRDefault="002C4913" w:rsidP="00FF1E02">
            <w:pPr>
              <w:rPr>
                <w:sz w:val="22"/>
                <w:szCs w:val="22"/>
              </w:rPr>
            </w:pPr>
          </w:p>
          <w:p w14:paraId="6C7BFB1B" w14:textId="6389BB2A" w:rsidR="00DC6398" w:rsidRDefault="00DC6398" w:rsidP="00FF1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Par. 8 speaks about building upon the experiences of the Action Agenda and using it. </w:t>
            </w:r>
            <w:r w:rsidR="00756E03">
              <w:rPr>
                <w:sz w:val="22"/>
                <w:szCs w:val="22"/>
              </w:rPr>
              <w:t xml:space="preserve">Here again </w:t>
            </w:r>
            <w:r>
              <w:rPr>
                <w:sz w:val="22"/>
                <w:szCs w:val="22"/>
              </w:rPr>
              <w:t>Switzerland is of the opinion that also other institutions should be considered</w:t>
            </w:r>
            <w:r w:rsidR="00756E03">
              <w:rPr>
                <w:sz w:val="22"/>
                <w:szCs w:val="22"/>
              </w:rPr>
              <w:t xml:space="preserve"> to draw lessons from non-state actions</w:t>
            </w:r>
            <w:r>
              <w:rPr>
                <w:sz w:val="22"/>
                <w:szCs w:val="22"/>
              </w:rPr>
              <w:t xml:space="preserve">, such as IUCN or Business Councils. In addition, we are not convinced that the Action Agenda </w:t>
            </w:r>
            <w:r w:rsidR="00756E03">
              <w:rPr>
                <w:sz w:val="22"/>
                <w:szCs w:val="22"/>
              </w:rPr>
              <w:t xml:space="preserve">in its current form </w:t>
            </w:r>
            <w:r>
              <w:rPr>
                <w:sz w:val="22"/>
                <w:szCs w:val="22"/>
              </w:rPr>
              <w:t>is a platform</w:t>
            </w:r>
            <w:r w:rsidR="007B1597">
              <w:rPr>
                <w:sz w:val="22"/>
                <w:szCs w:val="22"/>
              </w:rPr>
              <w:t xml:space="preserve"> adapted for the dialogue and</w:t>
            </w:r>
            <w:r>
              <w:rPr>
                <w:sz w:val="22"/>
                <w:szCs w:val="22"/>
              </w:rPr>
              <w:t xml:space="preserve"> exchange mentioned.</w:t>
            </w:r>
          </w:p>
          <w:p w14:paraId="531C7BB9" w14:textId="06C34BA4" w:rsidR="00763D7F" w:rsidRDefault="00763D7F" w:rsidP="00FF1E02">
            <w:pPr>
              <w:rPr>
                <w:sz w:val="22"/>
                <w:szCs w:val="22"/>
              </w:rPr>
            </w:pPr>
          </w:p>
          <w:p w14:paraId="0D39877B" w14:textId="2EF41B0E" w:rsidR="00763D7F" w:rsidRDefault="00763D7F" w:rsidP="000348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 Switzerland, it is not clear what is meant by “including commitments from actors other than national </w:t>
            </w:r>
            <w:r w:rsidR="00B511C3">
              <w:rPr>
                <w:sz w:val="22"/>
                <w:szCs w:val="22"/>
              </w:rPr>
              <w:t>governments</w:t>
            </w:r>
            <w:r w:rsidRPr="00763D7F">
              <w:rPr>
                <w:sz w:val="22"/>
                <w:szCs w:val="22"/>
              </w:rPr>
              <w:t xml:space="preserve"> in the enhanced planning, monitoring, reporting and review mechanism under the Convention</w:t>
            </w:r>
            <w:r>
              <w:rPr>
                <w:sz w:val="22"/>
                <w:szCs w:val="22"/>
              </w:rPr>
              <w:t xml:space="preserve">” (cf. title II). In our opinion, it shouldn’t be included in the NBSAP’s system and it should rather remain to a certain extent separated from </w:t>
            </w:r>
            <w:r w:rsidRPr="00763D7F">
              <w:rPr>
                <w:sz w:val="22"/>
                <w:szCs w:val="22"/>
              </w:rPr>
              <w:t>the enhanced planning, monitoring, reporting and review mechanism under the Convention</w:t>
            </w:r>
            <w:r w:rsidR="00756E03">
              <w:rPr>
                <w:sz w:val="22"/>
                <w:szCs w:val="22"/>
              </w:rPr>
              <w:t xml:space="preserve"> that is clearly addressed to contracting parties</w:t>
            </w:r>
            <w:r>
              <w:rPr>
                <w:sz w:val="22"/>
                <w:szCs w:val="22"/>
              </w:rPr>
              <w:t xml:space="preserve">. Thus, while we support the use of agreed indicators (par. 7) and of metrics </w:t>
            </w:r>
            <w:r w:rsidRPr="00763D7F">
              <w:rPr>
                <w:sz w:val="22"/>
                <w:szCs w:val="22"/>
              </w:rPr>
              <w:t xml:space="preserve">under </w:t>
            </w:r>
            <w:r>
              <w:rPr>
                <w:sz w:val="22"/>
                <w:szCs w:val="22"/>
              </w:rPr>
              <w:t xml:space="preserve">the </w:t>
            </w:r>
            <w:r w:rsidRPr="00763D7F">
              <w:rPr>
                <w:sz w:val="22"/>
                <w:szCs w:val="22"/>
              </w:rPr>
              <w:t xml:space="preserve">TNFD </w:t>
            </w:r>
            <w:r>
              <w:rPr>
                <w:sz w:val="22"/>
                <w:szCs w:val="22"/>
              </w:rPr>
              <w:t xml:space="preserve">as well as the avoidance of double counting (par. 9d), we are more skeptical towards the use of information related to non-state actors as a basis for national and regional analysis (par. 9a), </w:t>
            </w:r>
            <w:r w:rsidR="000348E8">
              <w:rPr>
                <w:sz w:val="22"/>
                <w:szCs w:val="22"/>
              </w:rPr>
              <w:t xml:space="preserve">the </w:t>
            </w:r>
            <w:r w:rsidR="000348E8" w:rsidRPr="000348E8">
              <w:rPr>
                <w:sz w:val="22"/>
                <w:szCs w:val="22"/>
              </w:rPr>
              <w:t>align</w:t>
            </w:r>
            <w:r w:rsidR="000348E8">
              <w:rPr>
                <w:sz w:val="22"/>
                <w:szCs w:val="22"/>
              </w:rPr>
              <w:t>ment</w:t>
            </w:r>
            <w:r w:rsidR="000348E8" w:rsidRPr="000348E8">
              <w:rPr>
                <w:sz w:val="22"/>
                <w:szCs w:val="22"/>
              </w:rPr>
              <w:t xml:space="preserve"> with the cycles </w:t>
            </w:r>
            <w:r w:rsidR="000348E8">
              <w:rPr>
                <w:sz w:val="22"/>
                <w:szCs w:val="22"/>
              </w:rPr>
              <w:t xml:space="preserve">and deadlines </w:t>
            </w:r>
            <w:r w:rsidR="000348E8" w:rsidRPr="000348E8">
              <w:rPr>
                <w:sz w:val="22"/>
                <w:szCs w:val="22"/>
              </w:rPr>
              <w:t xml:space="preserve">of national commitments </w:t>
            </w:r>
            <w:r w:rsidR="000348E8">
              <w:rPr>
                <w:sz w:val="22"/>
                <w:szCs w:val="22"/>
              </w:rPr>
              <w:t xml:space="preserve">(par. 9c) and </w:t>
            </w:r>
            <w:r>
              <w:rPr>
                <w:sz w:val="22"/>
                <w:szCs w:val="22"/>
              </w:rPr>
              <w:t>the collaboration with related MEAs (par. 9e)</w:t>
            </w:r>
            <w:r w:rsidR="000348E8">
              <w:rPr>
                <w:sz w:val="22"/>
                <w:szCs w:val="22"/>
              </w:rPr>
              <w:t xml:space="preserve">. Regarding the latter, MEAs are not </w:t>
            </w:r>
            <w:r w:rsidR="00737B35">
              <w:rPr>
                <w:sz w:val="22"/>
                <w:szCs w:val="22"/>
              </w:rPr>
              <w:t xml:space="preserve">really </w:t>
            </w:r>
            <w:r w:rsidR="000348E8">
              <w:rPr>
                <w:sz w:val="22"/>
                <w:szCs w:val="22"/>
              </w:rPr>
              <w:t xml:space="preserve">“non-state actors” and </w:t>
            </w:r>
            <w:r w:rsidR="000348E8" w:rsidRPr="000348E8">
              <w:rPr>
                <w:sz w:val="22"/>
                <w:szCs w:val="22"/>
              </w:rPr>
              <w:t xml:space="preserve">their contribution or </w:t>
            </w:r>
            <w:r w:rsidR="000348E8">
              <w:rPr>
                <w:sz w:val="22"/>
                <w:szCs w:val="22"/>
              </w:rPr>
              <w:t>contributions by S</w:t>
            </w:r>
            <w:r w:rsidR="000348E8" w:rsidRPr="000348E8">
              <w:rPr>
                <w:sz w:val="22"/>
                <w:szCs w:val="22"/>
              </w:rPr>
              <w:t>tates under these MEAs have to be integrate</w:t>
            </w:r>
            <w:r w:rsidR="000348E8">
              <w:rPr>
                <w:sz w:val="22"/>
                <w:szCs w:val="22"/>
              </w:rPr>
              <w:t>d into the official reports by States as foreseen by the Bern Process. Th</w:t>
            </w:r>
            <w:r w:rsidR="00B511C3">
              <w:rPr>
                <w:sz w:val="22"/>
                <w:szCs w:val="22"/>
              </w:rPr>
              <w:t>e</w:t>
            </w:r>
            <w:r w:rsidR="000348E8">
              <w:rPr>
                <w:sz w:val="22"/>
                <w:szCs w:val="22"/>
              </w:rPr>
              <w:t xml:space="preserve"> </w:t>
            </w:r>
            <w:r w:rsidR="00B511C3">
              <w:rPr>
                <w:sz w:val="22"/>
                <w:szCs w:val="22"/>
              </w:rPr>
              <w:t xml:space="preserve">foreseen collaboration with coalitions of actors and the joint commitment’s system (par. 10) also need more clarity, so that any risk of jeopardizing </w:t>
            </w:r>
            <w:r w:rsidR="00B511C3" w:rsidRPr="00763D7F">
              <w:rPr>
                <w:sz w:val="22"/>
                <w:szCs w:val="22"/>
              </w:rPr>
              <w:t>the enhanced planning, monitoring, reporting and review mechanism under the Convention</w:t>
            </w:r>
            <w:r w:rsidR="00B511C3">
              <w:rPr>
                <w:sz w:val="22"/>
                <w:szCs w:val="22"/>
              </w:rPr>
              <w:t xml:space="preserve"> can be excluded.</w:t>
            </w:r>
          </w:p>
          <w:p w14:paraId="20FC232D" w14:textId="03DE2741" w:rsidR="00756E03" w:rsidRDefault="00756E03" w:rsidP="000348E8">
            <w:pPr>
              <w:rPr>
                <w:sz w:val="22"/>
                <w:szCs w:val="22"/>
              </w:rPr>
            </w:pPr>
          </w:p>
          <w:p w14:paraId="7C949B09" w14:textId="6ABAE381" w:rsidR="00756E03" w:rsidRPr="000348E8" w:rsidRDefault="00756E03" w:rsidP="000348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a conclusion we do not think that this guidance is elaborated enough. More discussion is needed to develop and design a process that allows to take commitments by non-state actors into account and assess their performance.</w:t>
            </w:r>
          </w:p>
          <w:p w14:paraId="71DEBD25" w14:textId="77777777" w:rsidR="00DC6398" w:rsidRPr="00B511C3" w:rsidRDefault="00DC6398" w:rsidP="00FF1E02">
            <w:pPr>
              <w:rPr>
                <w:sz w:val="22"/>
                <w:szCs w:val="22"/>
              </w:rPr>
            </w:pPr>
          </w:p>
          <w:p w14:paraId="1C5D113D" w14:textId="6B5D359D" w:rsidR="00DC6398" w:rsidRPr="00763D7F" w:rsidRDefault="00DC6398" w:rsidP="00FF1E02">
            <w:pPr>
              <w:rPr>
                <w:sz w:val="22"/>
                <w:szCs w:val="22"/>
                <w:lang w:val="en-GB"/>
              </w:rPr>
            </w:pPr>
            <w:r w:rsidRPr="00763D7F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F122C1" w:rsidRPr="000C0B6C" w14:paraId="258581A2" w14:textId="77777777" w:rsidTr="00D3167F">
        <w:trPr>
          <w:trHeight w:val="422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58A3F" w14:textId="04FDD221" w:rsidR="00F122C1" w:rsidRDefault="00F122C1" w:rsidP="0075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Please use the table below to provide any specific comments on the template: </w:t>
            </w:r>
          </w:p>
        </w:tc>
      </w:tr>
    </w:tbl>
    <w:tbl>
      <w:tblPr>
        <w:tblStyle w:val="Tabellenraster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7830"/>
      </w:tblGrid>
      <w:tr w:rsidR="00F122C1" w:rsidRPr="00B61340" w14:paraId="23F771EB" w14:textId="77777777" w:rsidTr="00D3167F">
        <w:trPr>
          <w:trHeight w:val="35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9986FE" w14:textId="77777777" w:rsidR="00F122C1" w:rsidRPr="00BA327C" w:rsidRDefault="00F122C1" w:rsidP="00894810">
            <w:pPr>
              <w:pStyle w:val="Listenabsatz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</w:rPr>
            </w:pPr>
            <w:r w:rsidRPr="00BA327C">
              <w:rPr>
                <w:b/>
                <w:kern w:val="22"/>
              </w:rPr>
              <w:t>Section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CB422" w14:textId="77777777" w:rsidR="00F122C1" w:rsidRPr="00BA327C" w:rsidRDefault="00F122C1" w:rsidP="00894810">
            <w:pPr>
              <w:pStyle w:val="Listenabsatz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</w:rPr>
            </w:pPr>
            <w:r w:rsidRPr="00BA327C">
              <w:rPr>
                <w:b/>
                <w:kern w:val="22"/>
              </w:rPr>
              <w:t>Comment</w:t>
            </w:r>
          </w:p>
        </w:tc>
      </w:tr>
      <w:tr w:rsidR="00F122C1" w:rsidRPr="00B61340" w14:paraId="4E4D8779" w14:textId="77777777" w:rsidTr="00D3167F">
        <w:tc>
          <w:tcPr>
            <w:tcW w:w="1710" w:type="dxa"/>
            <w:tcBorders>
              <w:top w:val="nil"/>
            </w:tcBorders>
          </w:tcPr>
          <w:p w14:paraId="66D9F7B2" w14:textId="77777777" w:rsidR="00F122C1" w:rsidRPr="004A0846" w:rsidRDefault="00F122C1" w:rsidP="00894810">
            <w:pPr>
              <w:pStyle w:val="Listenabsatz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1</w:t>
            </w:r>
          </w:p>
        </w:tc>
        <w:tc>
          <w:tcPr>
            <w:tcW w:w="7830" w:type="dxa"/>
            <w:tcBorders>
              <w:top w:val="nil"/>
            </w:tcBorders>
          </w:tcPr>
          <w:p w14:paraId="406FF815" w14:textId="672C7A59" w:rsidR="00F122C1" w:rsidRDefault="00F122C1" w:rsidP="00894810">
            <w:pPr>
              <w:pStyle w:val="Listenabsatz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 xml:space="preserve">Please provide comments on section 1 </w:t>
            </w:r>
            <w:r w:rsidR="00127865" w:rsidRPr="004A0846">
              <w:rPr>
                <w:bCs/>
                <w:kern w:val="22"/>
                <w:sz w:val="22"/>
                <w:szCs w:val="22"/>
              </w:rPr>
              <w:t xml:space="preserve">on </w:t>
            </w:r>
            <w:r w:rsidRPr="004A0846">
              <w:rPr>
                <w:bCs/>
                <w:kern w:val="22"/>
                <w:sz w:val="22"/>
                <w:szCs w:val="22"/>
              </w:rPr>
              <w:t>general information on the actor.</w:t>
            </w:r>
          </w:p>
          <w:p w14:paraId="1F111095" w14:textId="77777777" w:rsidR="006C085B" w:rsidRDefault="006C085B" w:rsidP="00894810">
            <w:pPr>
              <w:pStyle w:val="Listenabsatz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kern w:val="22"/>
                <w:sz w:val="22"/>
                <w:szCs w:val="22"/>
              </w:rPr>
            </w:pPr>
          </w:p>
          <w:p w14:paraId="74E92464" w14:textId="19A0994E" w:rsidR="002E7359" w:rsidRDefault="002E7359" w:rsidP="002E7359">
            <w:pPr>
              <w:pStyle w:val="Listenabsatz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kern w:val="22"/>
                <w:sz w:val="22"/>
                <w:szCs w:val="22"/>
              </w:rPr>
            </w:pPr>
            <w:r>
              <w:rPr>
                <w:kern w:val="22"/>
                <w:sz w:val="22"/>
                <w:szCs w:val="22"/>
              </w:rPr>
              <w:t>S</w:t>
            </w:r>
            <w:r w:rsidRPr="002E7359">
              <w:rPr>
                <w:kern w:val="22"/>
                <w:sz w:val="22"/>
                <w:szCs w:val="22"/>
              </w:rPr>
              <w:t>ubnational or local government</w:t>
            </w:r>
            <w:r>
              <w:rPr>
                <w:kern w:val="22"/>
                <w:sz w:val="22"/>
                <w:szCs w:val="22"/>
              </w:rPr>
              <w:t>s</w:t>
            </w:r>
            <w:r w:rsidRPr="002E7359">
              <w:rPr>
                <w:kern w:val="22"/>
                <w:sz w:val="22"/>
                <w:szCs w:val="22"/>
              </w:rPr>
              <w:t>; intergovernmental organization</w:t>
            </w:r>
            <w:r>
              <w:rPr>
                <w:kern w:val="22"/>
                <w:sz w:val="22"/>
                <w:szCs w:val="22"/>
              </w:rPr>
              <w:t xml:space="preserve">s and United Nations system entities </w:t>
            </w:r>
            <w:r w:rsidR="00C95CBC">
              <w:rPr>
                <w:kern w:val="22"/>
                <w:sz w:val="22"/>
                <w:szCs w:val="22"/>
              </w:rPr>
              <w:t xml:space="preserve">have a different status than other </w:t>
            </w:r>
            <w:r>
              <w:rPr>
                <w:kern w:val="22"/>
                <w:sz w:val="22"/>
                <w:szCs w:val="22"/>
              </w:rPr>
              <w:t xml:space="preserve">non-state actors </w:t>
            </w:r>
            <w:r w:rsidR="00C95CBC">
              <w:rPr>
                <w:kern w:val="22"/>
                <w:sz w:val="22"/>
                <w:szCs w:val="22"/>
              </w:rPr>
              <w:t xml:space="preserve">mentioned </w:t>
            </w:r>
            <w:r>
              <w:rPr>
                <w:kern w:val="22"/>
                <w:sz w:val="22"/>
                <w:szCs w:val="22"/>
              </w:rPr>
              <w:t xml:space="preserve">and </w:t>
            </w:r>
            <w:r w:rsidR="00C95CBC">
              <w:rPr>
                <w:kern w:val="22"/>
                <w:sz w:val="22"/>
                <w:szCs w:val="22"/>
              </w:rPr>
              <w:t>we are of the opinion, that the</w:t>
            </w:r>
            <w:r w:rsidR="00FC0002">
              <w:rPr>
                <w:kern w:val="22"/>
                <w:sz w:val="22"/>
                <w:szCs w:val="22"/>
              </w:rPr>
              <w:t xml:space="preserve"> draft should take into account the specificities of those institutional actors</w:t>
            </w:r>
            <w:r>
              <w:rPr>
                <w:kern w:val="22"/>
                <w:sz w:val="22"/>
                <w:szCs w:val="22"/>
              </w:rPr>
              <w:t>.</w:t>
            </w:r>
            <w:r w:rsidR="00FC0002">
              <w:rPr>
                <w:kern w:val="22"/>
                <w:sz w:val="22"/>
                <w:szCs w:val="22"/>
              </w:rPr>
              <w:t xml:space="preserve"> They should be included in the reporting mechanism for non-state actors only for commitments taken on their own. Otherwise, it should be part of the “normal” national reporting mechanism, since it is </w:t>
            </w:r>
            <w:r w:rsidR="002E6C96">
              <w:rPr>
                <w:kern w:val="22"/>
                <w:sz w:val="22"/>
                <w:szCs w:val="22"/>
              </w:rPr>
              <w:t xml:space="preserve">then </w:t>
            </w:r>
            <w:r w:rsidR="00FC0002">
              <w:rPr>
                <w:kern w:val="22"/>
                <w:sz w:val="22"/>
                <w:szCs w:val="22"/>
              </w:rPr>
              <w:t>– at least indirectly – a commitment of the relevant contracting party.</w:t>
            </w:r>
          </w:p>
          <w:p w14:paraId="530051C3" w14:textId="3D154AF3" w:rsidR="002E7359" w:rsidRPr="004A0846" w:rsidRDefault="002E7359" w:rsidP="002E7359">
            <w:pPr>
              <w:pStyle w:val="Listenabsatz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kern w:val="22"/>
                <w:sz w:val="22"/>
                <w:szCs w:val="22"/>
              </w:rPr>
            </w:pPr>
          </w:p>
        </w:tc>
      </w:tr>
      <w:tr w:rsidR="00F122C1" w:rsidRPr="00B61340" w14:paraId="24DB3F17" w14:textId="77777777" w:rsidTr="00D3167F">
        <w:tc>
          <w:tcPr>
            <w:tcW w:w="1710" w:type="dxa"/>
          </w:tcPr>
          <w:p w14:paraId="0F52FA70" w14:textId="77777777" w:rsidR="00F122C1" w:rsidRPr="004A0846" w:rsidRDefault="00F122C1" w:rsidP="00894810">
            <w:pPr>
              <w:pStyle w:val="Listenabsatz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lastRenderedPageBreak/>
              <w:t>2</w:t>
            </w:r>
          </w:p>
        </w:tc>
        <w:tc>
          <w:tcPr>
            <w:tcW w:w="7830" w:type="dxa"/>
          </w:tcPr>
          <w:p w14:paraId="1AB2FDCB" w14:textId="690B3980" w:rsidR="00F122C1" w:rsidRDefault="00F122C1" w:rsidP="00894810">
            <w:pPr>
              <w:pStyle w:val="Listenabsatz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Please provide comments on section 2 which includes the section on specific commitments from actors other than national governments.</w:t>
            </w:r>
          </w:p>
          <w:p w14:paraId="6EA9D816" w14:textId="04D3B61D" w:rsidR="002E7359" w:rsidRDefault="002E7359" w:rsidP="00894810">
            <w:pPr>
              <w:pStyle w:val="Listenabsatz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</w:p>
          <w:p w14:paraId="48FE1C39" w14:textId="578D9E8E" w:rsidR="002E7359" w:rsidRDefault="002E7359" w:rsidP="00894810">
            <w:pPr>
              <w:pStyle w:val="Listenabsatz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>
              <w:rPr>
                <w:bCs/>
                <w:kern w:val="22"/>
                <w:sz w:val="22"/>
                <w:szCs w:val="22"/>
              </w:rPr>
              <w:t>-</w:t>
            </w:r>
          </w:p>
          <w:p w14:paraId="7D5E471E" w14:textId="228D1D8A" w:rsidR="00757EBE" w:rsidRPr="004A0846" w:rsidRDefault="00757EBE" w:rsidP="00894810">
            <w:pPr>
              <w:pStyle w:val="Listenabsatz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kern w:val="22"/>
                <w:sz w:val="22"/>
                <w:szCs w:val="22"/>
              </w:rPr>
            </w:pPr>
          </w:p>
        </w:tc>
      </w:tr>
      <w:tr w:rsidR="00F122C1" w:rsidRPr="00B61340" w14:paraId="46F5F04D" w14:textId="77777777" w:rsidTr="00D3167F">
        <w:tc>
          <w:tcPr>
            <w:tcW w:w="1710" w:type="dxa"/>
          </w:tcPr>
          <w:p w14:paraId="0A100C22" w14:textId="77777777" w:rsidR="00F122C1" w:rsidRPr="004A0846" w:rsidRDefault="00F122C1" w:rsidP="00894810">
            <w:pPr>
              <w:pStyle w:val="Listenabsatz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3</w:t>
            </w:r>
          </w:p>
        </w:tc>
        <w:tc>
          <w:tcPr>
            <w:tcW w:w="7830" w:type="dxa"/>
          </w:tcPr>
          <w:p w14:paraId="1B82E6EB" w14:textId="6F08A458" w:rsidR="00BA327C" w:rsidRDefault="00F122C1" w:rsidP="00D3167F">
            <w:pPr>
              <w:suppressLineNumbers/>
              <w:suppressAutoHyphens/>
              <w:adjustRightInd w:val="0"/>
              <w:snapToGrid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Please provide comments on section 3 on progress tracking.</w:t>
            </w:r>
          </w:p>
          <w:p w14:paraId="3995C05A" w14:textId="41010441" w:rsidR="002E7359" w:rsidRDefault="002E7359" w:rsidP="00D3167F">
            <w:pPr>
              <w:suppressLineNumbers/>
              <w:suppressAutoHyphens/>
              <w:adjustRightInd w:val="0"/>
              <w:snapToGrid w:val="0"/>
              <w:rPr>
                <w:bCs/>
                <w:kern w:val="22"/>
                <w:sz w:val="22"/>
                <w:szCs w:val="22"/>
              </w:rPr>
            </w:pPr>
          </w:p>
          <w:p w14:paraId="5F0CF6FF" w14:textId="0F6C761F" w:rsidR="002E7359" w:rsidRDefault="002E7359" w:rsidP="00D3167F">
            <w:pPr>
              <w:suppressLineNumbers/>
              <w:suppressAutoHyphens/>
              <w:adjustRightInd w:val="0"/>
              <w:snapToGrid w:val="0"/>
              <w:rPr>
                <w:bCs/>
                <w:kern w:val="22"/>
                <w:sz w:val="22"/>
                <w:szCs w:val="22"/>
              </w:rPr>
            </w:pPr>
            <w:r>
              <w:rPr>
                <w:bCs/>
                <w:kern w:val="22"/>
                <w:sz w:val="22"/>
                <w:szCs w:val="22"/>
              </w:rPr>
              <w:t>-</w:t>
            </w:r>
          </w:p>
          <w:p w14:paraId="24AE1F5D" w14:textId="53952395" w:rsidR="00BA327C" w:rsidRPr="004A0846" w:rsidRDefault="00BA327C" w:rsidP="00BA327C">
            <w:pPr>
              <w:suppressLineNumbers/>
              <w:suppressAutoHyphens/>
              <w:adjustRightInd w:val="0"/>
              <w:snapToGrid w:val="0"/>
              <w:rPr>
                <w:kern w:val="22"/>
                <w:sz w:val="22"/>
                <w:szCs w:val="22"/>
                <w:lang w:val="en-GB"/>
              </w:rPr>
            </w:pPr>
          </w:p>
        </w:tc>
      </w:tr>
    </w:tbl>
    <w:p w14:paraId="48DAF900" w14:textId="6E073AB4" w:rsidR="00B51493" w:rsidRDefault="00B51493" w:rsidP="00D3167F">
      <w:pPr>
        <w:jc w:val="both"/>
      </w:pPr>
    </w:p>
    <w:sectPr w:rsidR="00B51493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BDC5A" w14:textId="77777777" w:rsidR="00254716" w:rsidRDefault="00254716" w:rsidP="00AE7B5B">
      <w:r>
        <w:separator/>
      </w:r>
    </w:p>
  </w:endnote>
  <w:endnote w:type="continuationSeparator" w:id="0">
    <w:p w14:paraId="137E7AD1" w14:textId="77777777" w:rsidR="00254716" w:rsidRDefault="00254716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BA760" w14:textId="77777777" w:rsidR="00254716" w:rsidRDefault="00254716" w:rsidP="00AE7B5B">
      <w:r>
        <w:separator/>
      </w:r>
    </w:p>
  </w:footnote>
  <w:footnote w:type="continuationSeparator" w:id="0">
    <w:p w14:paraId="72AF3EFD" w14:textId="77777777" w:rsidR="00254716" w:rsidRDefault="00254716" w:rsidP="00AE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E6C32"/>
    <w:multiLevelType w:val="hybridMultilevel"/>
    <w:tmpl w:val="6292E6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CA"/>
    <w:rsid w:val="000348E8"/>
    <w:rsid w:val="000B252D"/>
    <w:rsid w:val="00127865"/>
    <w:rsid w:val="00130A14"/>
    <w:rsid w:val="0016656C"/>
    <w:rsid w:val="00197790"/>
    <w:rsid w:val="001D584A"/>
    <w:rsid w:val="00236608"/>
    <w:rsid w:val="00254716"/>
    <w:rsid w:val="00270FB2"/>
    <w:rsid w:val="00272333"/>
    <w:rsid w:val="00280BF5"/>
    <w:rsid w:val="002C4913"/>
    <w:rsid w:val="002E4C64"/>
    <w:rsid w:val="002E6C96"/>
    <w:rsid w:val="002E7359"/>
    <w:rsid w:val="002E7F65"/>
    <w:rsid w:val="002F4F7C"/>
    <w:rsid w:val="002F7B9E"/>
    <w:rsid w:val="00385D8C"/>
    <w:rsid w:val="00414EDF"/>
    <w:rsid w:val="00466D27"/>
    <w:rsid w:val="004745A7"/>
    <w:rsid w:val="004A0846"/>
    <w:rsid w:val="0053632F"/>
    <w:rsid w:val="005558F7"/>
    <w:rsid w:val="005E4E26"/>
    <w:rsid w:val="00647F74"/>
    <w:rsid w:val="006A6E1A"/>
    <w:rsid w:val="006C085B"/>
    <w:rsid w:val="00703B5F"/>
    <w:rsid w:val="00724A95"/>
    <w:rsid w:val="00737B35"/>
    <w:rsid w:val="00756E03"/>
    <w:rsid w:val="00757EBE"/>
    <w:rsid w:val="00763D7F"/>
    <w:rsid w:val="0077704D"/>
    <w:rsid w:val="007850A4"/>
    <w:rsid w:val="007B1597"/>
    <w:rsid w:val="008A6047"/>
    <w:rsid w:val="008A6ED5"/>
    <w:rsid w:val="008E7015"/>
    <w:rsid w:val="008F78A2"/>
    <w:rsid w:val="00936DB5"/>
    <w:rsid w:val="00993524"/>
    <w:rsid w:val="009A6B72"/>
    <w:rsid w:val="009C30DA"/>
    <w:rsid w:val="00A84C53"/>
    <w:rsid w:val="00AE7B5B"/>
    <w:rsid w:val="00AF4AD0"/>
    <w:rsid w:val="00B511C3"/>
    <w:rsid w:val="00B51493"/>
    <w:rsid w:val="00B66111"/>
    <w:rsid w:val="00BA327C"/>
    <w:rsid w:val="00C95CBC"/>
    <w:rsid w:val="00CB02B6"/>
    <w:rsid w:val="00D00355"/>
    <w:rsid w:val="00D3167F"/>
    <w:rsid w:val="00D67EAA"/>
    <w:rsid w:val="00D72DC5"/>
    <w:rsid w:val="00D779BA"/>
    <w:rsid w:val="00D93CCA"/>
    <w:rsid w:val="00DC44E4"/>
    <w:rsid w:val="00DC6398"/>
    <w:rsid w:val="00DC6EF5"/>
    <w:rsid w:val="00DD69A4"/>
    <w:rsid w:val="00E02B58"/>
    <w:rsid w:val="00E2476B"/>
    <w:rsid w:val="00F122C1"/>
    <w:rsid w:val="00F22DD1"/>
    <w:rsid w:val="00F7571B"/>
    <w:rsid w:val="00FC0002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C34FB3F"/>
  <w15:docId w15:val="{296C593C-F5D0-465E-9446-48D261B2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3660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2366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Standard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F7B9E"/>
    <w:rPr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7850A4"/>
    <w:pPr>
      <w:ind w:left="720"/>
      <w:contextualSpacing/>
    </w:pPr>
  </w:style>
  <w:style w:type="table" w:styleId="Tabellenraster">
    <w:name w:val="Table Grid"/>
    <w:basedOn w:val="NormaleTabelle"/>
    <w:uiPriority w:val="59"/>
    <w:rsid w:val="00F122C1"/>
    <w:pPr>
      <w:spacing w:after="0" w:line="240" w:lineRule="auto"/>
    </w:pPr>
    <w:rPr>
      <w:rFonts w:eastAsiaTheme="minorEastAsia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qFormat/>
    <w:locked/>
    <w:rsid w:val="00F122C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7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5544</Characters>
  <Application>Microsoft Office Word</Application>
  <DocSecurity>4</DocSecurity>
  <Lines>46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Bärlocher Norbert BAFU</cp:lastModifiedBy>
  <cp:revision>2</cp:revision>
  <dcterms:created xsi:type="dcterms:W3CDTF">2022-02-24T16:35:00Z</dcterms:created>
  <dcterms:modified xsi:type="dcterms:W3CDTF">2022-02-24T16:35:00Z</dcterms:modified>
</cp:coreProperties>
</file>