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4A5BD2" w14:textId="77777777" w:rsidR="00236608" w:rsidRDefault="00236608" w:rsidP="00236608">
      <w:pPr>
        <w:pStyle w:val="Default"/>
        <w:jc w:val="center"/>
        <w:rPr>
          <w:b/>
          <w:sz w:val="22"/>
          <w:szCs w:val="22"/>
          <w:u w:val="single"/>
        </w:rPr>
      </w:pPr>
    </w:p>
    <w:p w14:paraId="34B17942" w14:textId="1B0B04E4" w:rsidR="00236608" w:rsidRPr="00AE7B5B" w:rsidRDefault="00236608" w:rsidP="00EB7321">
      <w:pPr>
        <w:pStyle w:val="Default"/>
        <w:spacing w:before="60"/>
        <w:jc w:val="center"/>
        <w:rPr>
          <w:b/>
          <w:sz w:val="22"/>
          <w:szCs w:val="22"/>
          <w:u w:val="single"/>
        </w:rPr>
      </w:pPr>
      <w:r w:rsidRPr="00AE7B5B">
        <w:rPr>
          <w:b/>
          <w:sz w:val="22"/>
          <w:szCs w:val="22"/>
          <w:u w:val="single"/>
        </w:rPr>
        <w:t>TEMPLATE FOR COMMENTS</w:t>
      </w:r>
      <w:r w:rsidR="009A6B72">
        <w:rPr>
          <w:b/>
          <w:sz w:val="22"/>
          <w:szCs w:val="22"/>
          <w:u w:val="single"/>
        </w:rPr>
        <w:t xml:space="preserve">: </w:t>
      </w:r>
      <w:r w:rsidR="00DC44E4">
        <w:rPr>
          <w:b/>
          <w:sz w:val="22"/>
          <w:szCs w:val="22"/>
          <w:u w:val="single"/>
        </w:rPr>
        <w:t>Draft g</w:t>
      </w:r>
      <w:r w:rsidR="00E2476B">
        <w:rPr>
          <w:b/>
          <w:sz w:val="22"/>
          <w:szCs w:val="22"/>
          <w:u w:val="single"/>
        </w:rPr>
        <w:t xml:space="preserve">uidance for updating national biodiversity strategies and action plans in light of the post-2020 global biodiversity framework </w:t>
      </w:r>
      <w:r w:rsidR="009A6B72">
        <w:rPr>
          <w:b/>
          <w:sz w:val="22"/>
          <w:szCs w:val="22"/>
          <w:u w:val="single"/>
        </w:rPr>
        <w:t xml:space="preserve">contained in </w:t>
      </w:r>
      <w:r w:rsidR="009A6B72" w:rsidRPr="009A6B72">
        <w:rPr>
          <w:b/>
          <w:sz w:val="22"/>
          <w:szCs w:val="22"/>
          <w:u w:val="single"/>
        </w:rPr>
        <w:t>CBD/SBI/3/11/ADD</w:t>
      </w:r>
      <w:r w:rsidR="00DC44E4">
        <w:rPr>
          <w:b/>
          <w:sz w:val="22"/>
          <w:szCs w:val="22"/>
          <w:u w:val="single"/>
        </w:rPr>
        <w:t xml:space="preserve"> 4</w:t>
      </w:r>
    </w:p>
    <w:p w14:paraId="17859718" w14:textId="61B6B513"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802404">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B662AF" w:rsidRPr="000C0B6C" w14:paraId="19F85FA6" w14:textId="77777777" w:rsidTr="00802404">
        <w:trPr>
          <w:trHeight w:val="1367"/>
        </w:trPr>
        <w:tc>
          <w:tcPr>
            <w:tcW w:w="4133" w:type="dxa"/>
          </w:tcPr>
          <w:p w14:paraId="2585EB1A" w14:textId="77777777" w:rsidR="00237D8E" w:rsidRDefault="00237D8E" w:rsidP="009A6B72">
            <w:pPr>
              <w:pStyle w:val="Form"/>
              <w:rPr>
                <w:rFonts w:ascii="Times New Roman" w:hAnsi="Times New Roman" w:cs="Times New Roman"/>
                <w:b/>
                <w:sz w:val="22"/>
                <w:szCs w:val="22"/>
              </w:rPr>
            </w:pPr>
          </w:p>
          <w:p w14:paraId="06F5B580" w14:textId="4C916EB4" w:rsidR="00B662AF" w:rsidRPr="000C0B6C" w:rsidRDefault="00B662AF" w:rsidP="009A6B72">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25" w:type="dxa"/>
          </w:tcPr>
          <w:p w14:paraId="1B40A4A0" w14:textId="560DF809" w:rsidR="00B662AF" w:rsidRPr="000C0B6C" w:rsidRDefault="00B662AF" w:rsidP="008A3A9F">
            <w:r>
              <w:t xml:space="preserve">Guidance for updating national biodiversity strategies and action plans in light of the post-2020 global biodiversity framework, contained in the document CBD/SBI/3/11/Add.4 which includes a draft version of Annex A to CBD/SBI/3/CRP.5. </w:t>
            </w:r>
          </w:p>
        </w:tc>
      </w:tr>
      <w:tr w:rsidR="00236608" w:rsidRPr="000C0B6C" w14:paraId="6598FBAB" w14:textId="77777777" w:rsidTr="00802404">
        <w:trPr>
          <w:trHeight w:val="233"/>
        </w:trPr>
        <w:tc>
          <w:tcPr>
            <w:tcW w:w="9558" w:type="dxa"/>
            <w:gridSpan w:val="2"/>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802404">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332C6620" w:rsidR="00930694" w:rsidRPr="000C0B6C" w:rsidRDefault="00AB60ED" w:rsidP="009A6B72">
            <w:r>
              <w:t>NTEP</w:t>
            </w:r>
          </w:p>
        </w:tc>
      </w:tr>
      <w:tr w:rsidR="00236608" w:rsidRPr="00542AEC" w14:paraId="70478EC8" w14:textId="77777777" w:rsidTr="00802404">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37A9AFDD" w:rsidR="00237D8E" w:rsidRPr="00542AEC" w:rsidRDefault="00AB60ED" w:rsidP="00237D8E">
            <w:pPr>
              <w:rPr>
                <w:lang w:val="es-MX"/>
              </w:rPr>
            </w:pPr>
            <w:r>
              <w:rPr>
                <w:lang w:val="es-MX"/>
              </w:rPr>
              <w:t>RIGOBERT</w:t>
            </w:r>
          </w:p>
        </w:tc>
      </w:tr>
      <w:tr w:rsidR="00236608" w:rsidRPr="000C0B6C" w14:paraId="60004B01" w14:textId="77777777" w:rsidTr="00802404">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1ABAF042" w:rsidR="00236608" w:rsidRPr="000C0B6C" w:rsidRDefault="00AB60ED" w:rsidP="009A6B72">
            <w:r>
              <w:t>CAMEROON</w:t>
            </w:r>
          </w:p>
        </w:tc>
      </w:tr>
      <w:tr w:rsidR="00236608" w:rsidRPr="000C0B6C" w14:paraId="41DAE210" w14:textId="77777777" w:rsidTr="00802404">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31F8E3B4" w:rsidR="00236608" w:rsidRPr="00237D8E" w:rsidRDefault="00AB60ED" w:rsidP="009A6B72">
            <w:pPr>
              <w:rPr>
                <w:b/>
              </w:rPr>
            </w:pPr>
            <w:r>
              <w:rPr>
                <w:b/>
              </w:rPr>
              <w:t>MINISTRY OF ENVIRONMENT, PROTECTION OF NATURE AND SUSTAINABLE DEVELOPMENT</w:t>
            </w:r>
          </w:p>
        </w:tc>
      </w:tr>
      <w:tr w:rsidR="00236608" w:rsidRPr="000C0B6C" w14:paraId="19EAFF8D" w14:textId="77777777" w:rsidTr="00802404">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1F69D612" w:rsidR="00202009" w:rsidRPr="000C0B6C" w:rsidRDefault="00AB60ED" w:rsidP="00237D8E">
            <w:r>
              <w:rPr>
                <w:b/>
                <w:color w:val="385623" w:themeColor="accent6" w:themeShade="80"/>
                <w:lang w:val="es-MX"/>
              </w:rPr>
              <w:t>20</w:t>
            </w:r>
            <w:r w:rsidRPr="00AB60ED">
              <w:rPr>
                <w:b/>
                <w:color w:val="385623" w:themeColor="accent6" w:themeShade="80"/>
                <w:vertAlign w:val="superscript"/>
                <w:lang w:val="es-MX"/>
              </w:rPr>
              <w:t>th</w:t>
            </w:r>
            <w:r>
              <w:rPr>
                <w:b/>
                <w:color w:val="385623" w:themeColor="accent6" w:themeShade="80"/>
                <w:lang w:val="es-MX"/>
              </w:rPr>
              <w:t xml:space="preserve"> May Boulevard, </w:t>
            </w:r>
            <w:r>
              <w:rPr>
                <w:b/>
                <w:color w:val="385623" w:themeColor="accent6" w:themeShade="80"/>
                <w:lang w:val="es-MX"/>
              </w:rPr>
              <w:t>7</w:t>
            </w:r>
            <w:r w:rsidRPr="00AB60ED">
              <w:rPr>
                <w:b/>
                <w:color w:val="385623" w:themeColor="accent6" w:themeShade="80"/>
                <w:vertAlign w:val="superscript"/>
                <w:lang w:val="es-MX"/>
              </w:rPr>
              <w:t>th</w:t>
            </w:r>
            <w:r>
              <w:rPr>
                <w:b/>
                <w:color w:val="385623" w:themeColor="accent6" w:themeShade="80"/>
                <w:lang w:val="es-MX"/>
              </w:rPr>
              <w:t xml:space="preserve"> </w:t>
            </w:r>
            <w:proofErr w:type="spellStart"/>
            <w:r>
              <w:rPr>
                <w:b/>
                <w:color w:val="385623" w:themeColor="accent6" w:themeShade="80"/>
                <w:lang w:val="es-MX"/>
              </w:rPr>
              <w:t>floor</w:t>
            </w:r>
            <w:proofErr w:type="spellEnd"/>
            <w:r>
              <w:rPr>
                <w:b/>
                <w:color w:val="385623" w:themeColor="accent6" w:themeShade="80"/>
                <w:lang w:val="es-MX"/>
              </w:rPr>
              <w:t xml:space="preserve"> </w:t>
            </w:r>
            <w:proofErr w:type="spellStart"/>
            <w:r>
              <w:rPr>
                <w:b/>
                <w:color w:val="385623" w:themeColor="accent6" w:themeShade="80"/>
                <w:lang w:val="es-MX"/>
              </w:rPr>
              <w:t>of</w:t>
            </w:r>
            <w:proofErr w:type="spellEnd"/>
            <w:r>
              <w:rPr>
                <w:b/>
                <w:color w:val="385623" w:themeColor="accent6" w:themeShade="80"/>
                <w:lang w:val="es-MX"/>
              </w:rPr>
              <w:t xml:space="preserve"> Ministerial </w:t>
            </w:r>
            <w:proofErr w:type="spellStart"/>
            <w:r>
              <w:rPr>
                <w:b/>
                <w:color w:val="385623" w:themeColor="accent6" w:themeShade="80"/>
                <w:lang w:val="es-MX"/>
              </w:rPr>
              <w:t>building</w:t>
            </w:r>
            <w:proofErr w:type="spellEnd"/>
            <w:r>
              <w:rPr>
                <w:b/>
                <w:color w:val="385623" w:themeColor="accent6" w:themeShade="80"/>
                <w:lang w:val="es-MX"/>
              </w:rPr>
              <w:t xml:space="preserve"> No.2.</w:t>
            </w:r>
          </w:p>
        </w:tc>
      </w:tr>
      <w:tr w:rsidR="00237D8E" w:rsidRPr="000C0B6C" w14:paraId="3310BC30" w14:textId="77777777" w:rsidTr="00802404">
        <w:trPr>
          <w:trHeight w:val="270"/>
        </w:trPr>
        <w:tc>
          <w:tcPr>
            <w:tcW w:w="4133" w:type="dxa"/>
          </w:tcPr>
          <w:p w14:paraId="675A80C3" w14:textId="77777777" w:rsidR="00237D8E" w:rsidRPr="000C0B6C" w:rsidRDefault="00237D8E"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vMerge w:val="restart"/>
          </w:tcPr>
          <w:p w14:paraId="52D275D6" w14:textId="6ADD297A" w:rsidR="00237D8E" w:rsidRDefault="00AB60ED" w:rsidP="009A6B72">
            <w:proofErr w:type="spellStart"/>
            <w:r>
              <w:t>Yaounde</w:t>
            </w:r>
            <w:proofErr w:type="spellEnd"/>
          </w:p>
          <w:p w14:paraId="6EFF8767" w14:textId="77777777" w:rsidR="00237D8E" w:rsidRPr="00AB60ED" w:rsidRDefault="00237D8E" w:rsidP="009A6B72">
            <w:pPr>
              <w:rPr>
                <w:sz w:val="10"/>
                <w:szCs w:val="10"/>
              </w:rPr>
            </w:pPr>
          </w:p>
          <w:p w14:paraId="57C0C058" w14:textId="77777777" w:rsidR="00AB60ED" w:rsidRDefault="00237D8E" w:rsidP="009A6B72">
            <w:pPr>
              <w:rPr>
                <w:b/>
              </w:rPr>
            </w:pPr>
            <w:r w:rsidRPr="00237D8E">
              <w:rPr>
                <w:b/>
              </w:rPr>
              <w:t xml:space="preserve"> </w:t>
            </w:r>
            <w:r w:rsidR="00AB60ED">
              <w:rPr>
                <w:b/>
              </w:rPr>
              <w:t>Cameroon</w:t>
            </w:r>
            <w:r w:rsidRPr="00237D8E">
              <w:rPr>
                <w:b/>
              </w:rPr>
              <w:t xml:space="preserve"> </w:t>
            </w:r>
          </w:p>
          <w:p w14:paraId="48079999" w14:textId="77777777" w:rsidR="00AB60ED" w:rsidRPr="00AB60ED" w:rsidRDefault="00AB60ED" w:rsidP="009A6B72">
            <w:pPr>
              <w:rPr>
                <w:b/>
                <w:sz w:val="10"/>
                <w:szCs w:val="10"/>
              </w:rPr>
            </w:pPr>
          </w:p>
          <w:p w14:paraId="1C6BD678" w14:textId="77777777" w:rsidR="00AB60ED" w:rsidRDefault="00AB60ED" w:rsidP="009A6B72">
            <w:pPr>
              <w:rPr>
                <w:b/>
              </w:rPr>
            </w:pPr>
            <w:r>
              <w:rPr>
                <w:b/>
              </w:rPr>
              <w:t>320</w:t>
            </w:r>
          </w:p>
          <w:p w14:paraId="1D36A1ED" w14:textId="77777777" w:rsidR="00AB60ED" w:rsidRPr="00AB60ED" w:rsidRDefault="00AB60ED" w:rsidP="009A6B72">
            <w:pPr>
              <w:rPr>
                <w:b/>
                <w:sz w:val="10"/>
                <w:szCs w:val="10"/>
              </w:rPr>
            </w:pPr>
          </w:p>
          <w:p w14:paraId="160AB00E" w14:textId="6F584B14" w:rsidR="00237D8E" w:rsidRPr="00237D8E" w:rsidRDefault="00AB60ED" w:rsidP="009A6B72">
            <w:pPr>
              <w:rPr>
                <w:b/>
              </w:rPr>
            </w:pPr>
            <w:r>
              <w:rPr>
                <w:b/>
              </w:rPr>
              <w:t>+237 677 303 932</w:t>
            </w:r>
            <w:r w:rsidR="00237D8E" w:rsidRPr="00237D8E">
              <w:rPr>
                <w:b/>
              </w:rPr>
              <w:t xml:space="preserve">           </w:t>
            </w:r>
          </w:p>
        </w:tc>
      </w:tr>
      <w:tr w:rsidR="00237D8E" w:rsidRPr="000C0B6C" w14:paraId="0303D967" w14:textId="77777777" w:rsidTr="00802404">
        <w:trPr>
          <w:trHeight w:val="280"/>
        </w:trPr>
        <w:tc>
          <w:tcPr>
            <w:tcW w:w="4133" w:type="dxa"/>
          </w:tcPr>
          <w:p w14:paraId="241052A2" w14:textId="77777777" w:rsidR="00237D8E" w:rsidRPr="000C0B6C" w:rsidRDefault="00237D8E"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vMerge/>
          </w:tcPr>
          <w:p w14:paraId="213ED87C" w14:textId="77777777" w:rsidR="00237D8E" w:rsidRPr="000C0B6C" w:rsidRDefault="00237D8E" w:rsidP="009A6B72"/>
        </w:tc>
      </w:tr>
      <w:tr w:rsidR="00237D8E" w:rsidRPr="000C0B6C" w14:paraId="1112C88B" w14:textId="77777777" w:rsidTr="00802404">
        <w:trPr>
          <w:trHeight w:val="270"/>
        </w:trPr>
        <w:tc>
          <w:tcPr>
            <w:tcW w:w="4133" w:type="dxa"/>
          </w:tcPr>
          <w:p w14:paraId="45B7FB6A" w14:textId="77777777" w:rsidR="00237D8E" w:rsidRPr="000C0B6C" w:rsidRDefault="00237D8E"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vMerge/>
          </w:tcPr>
          <w:p w14:paraId="3E34F7CA" w14:textId="77777777" w:rsidR="00237D8E" w:rsidRPr="000C0B6C" w:rsidRDefault="00237D8E" w:rsidP="009A6B72"/>
        </w:tc>
      </w:tr>
      <w:tr w:rsidR="00237D8E" w:rsidRPr="000C0B6C" w14:paraId="64A916DC" w14:textId="77777777" w:rsidTr="00802404">
        <w:trPr>
          <w:trHeight w:val="270"/>
        </w:trPr>
        <w:tc>
          <w:tcPr>
            <w:tcW w:w="4133" w:type="dxa"/>
          </w:tcPr>
          <w:p w14:paraId="18A42CE7" w14:textId="77777777" w:rsidR="00237D8E" w:rsidRPr="000C0B6C" w:rsidRDefault="00237D8E"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vMerge/>
          </w:tcPr>
          <w:p w14:paraId="6D5B5A6E" w14:textId="77777777" w:rsidR="00237D8E" w:rsidRPr="000C0B6C" w:rsidRDefault="00237D8E" w:rsidP="009A6B72"/>
        </w:tc>
      </w:tr>
      <w:tr w:rsidR="00236608" w:rsidRPr="000C0B6C" w14:paraId="7C74835B" w14:textId="77777777" w:rsidTr="00802404">
        <w:trPr>
          <w:trHeight w:val="233"/>
        </w:trPr>
        <w:tc>
          <w:tcPr>
            <w:tcW w:w="4133" w:type="dxa"/>
          </w:tcPr>
          <w:p w14:paraId="45DEDB26" w14:textId="77777777" w:rsidR="00236608" w:rsidRPr="000C0B6C" w:rsidRDefault="00236608" w:rsidP="009A6B72">
            <w:pPr>
              <w:pStyle w:val="CommentSubject"/>
              <w:rPr>
                <w:sz w:val="22"/>
                <w:szCs w:val="22"/>
              </w:rPr>
            </w:pPr>
            <w:r w:rsidRPr="000C0B6C">
              <w:rPr>
                <w:sz w:val="22"/>
                <w:szCs w:val="22"/>
              </w:rPr>
              <w:t>E-mail:</w:t>
            </w:r>
          </w:p>
        </w:tc>
        <w:tc>
          <w:tcPr>
            <w:tcW w:w="5425" w:type="dxa"/>
          </w:tcPr>
          <w:p w14:paraId="118A29DB" w14:textId="6DD46AB9" w:rsidR="00237D8E" w:rsidRPr="000C0B6C" w:rsidRDefault="00915C1F" w:rsidP="00237D8E">
            <w:hyperlink r:id="rId8" w:history="1">
              <w:r w:rsidR="00202009" w:rsidRPr="000B5060">
                <w:rPr>
                  <w:rStyle w:val="Hyperlink"/>
                </w:rPr>
                <w:t>rntep@yahoo.fr</w:t>
              </w:r>
            </w:hyperlink>
            <w:r w:rsidR="00202009">
              <w:t xml:space="preserve"> / </w:t>
            </w:r>
            <w:hyperlink r:id="rId9" w:history="1">
              <w:r w:rsidR="00202009" w:rsidRPr="000B5060">
                <w:rPr>
                  <w:rStyle w:val="Hyperlink"/>
                </w:rPr>
                <w:t>Rigobert.ntep@yahoo.fr</w:t>
              </w:r>
            </w:hyperlink>
            <w:r w:rsidR="00202009">
              <w:t xml:space="preserve"> </w:t>
            </w:r>
          </w:p>
        </w:tc>
      </w:tr>
      <w:tr w:rsidR="00414EDF" w:rsidRPr="000C0B6C" w14:paraId="5BF8E06D" w14:textId="77777777" w:rsidTr="00802404">
        <w:trPr>
          <w:trHeight w:val="233"/>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E4EFB" w14:textId="5D5AD572" w:rsidR="00414EDF" w:rsidRPr="00802404" w:rsidRDefault="00414EDF" w:rsidP="00414EDF">
            <w:pPr>
              <w:jc w:val="center"/>
              <w:rPr>
                <w:b/>
                <w:bCs/>
              </w:rPr>
            </w:pPr>
            <w:r w:rsidRPr="00802404">
              <w:rPr>
                <w:b/>
                <w:bCs/>
              </w:rPr>
              <w:t>Comments</w:t>
            </w:r>
          </w:p>
        </w:tc>
      </w:tr>
      <w:tr w:rsidR="00414EDF" w:rsidRPr="000C0B6C" w14:paraId="396AFF2B" w14:textId="77777777" w:rsidTr="0033526A">
        <w:trPr>
          <w:trHeight w:val="779"/>
        </w:trPr>
        <w:tc>
          <w:tcPr>
            <w:tcW w:w="9558" w:type="dxa"/>
            <w:gridSpan w:val="2"/>
            <w:tcBorders>
              <w:top w:val="single" w:sz="4" w:space="0" w:color="auto"/>
              <w:left w:val="single" w:sz="4" w:space="0" w:color="auto"/>
              <w:bottom w:val="single" w:sz="4" w:space="0" w:color="auto"/>
              <w:right w:val="single" w:sz="4" w:space="0" w:color="auto"/>
            </w:tcBorders>
          </w:tcPr>
          <w:p w14:paraId="40960E09" w14:textId="2A9C83E1" w:rsidR="00414EDF" w:rsidRDefault="00414EDF" w:rsidP="00FF1E02">
            <w:pPr>
              <w:rPr>
                <w:sz w:val="22"/>
                <w:szCs w:val="22"/>
              </w:rPr>
            </w:pPr>
            <w:r>
              <w:rPr>
                <w:sz w:val="22"/>
                <w:szCs w:val="22"/>
              </w:rPr>
              <w:t xml:space="preserve">Please </w:t>
            </w:r>
            <w:r w:rsidR="005114BE">
              <w:rPr>
                <w:sz w:val="22"/>
                <w:szCs w:val="22"/>
              </w:rPr>
              <w:t xml:space="preserve">provide </w:t>
            </w:r>
            <w:r>
              <w:rPr>
                <w:sz w:val="22"/>
                <w:szCs w:val="22"/>
              </w:rPr>
              <w:t xml:space="preserve">any </w:t>
            </w:r>
            <w:r w:rsidR="00B662AF">
              <w:rPr>
                <w:sz w:val="22"/>
                <w:szCs w:val="22"/>
              </w:rPr>
              <w:t xml:space="preserve">general </w:t>
            </w:r>
            <w:r>
              <w:rPr>
                <w:sz w:val="22"/>
                <w:szCs w:val="22"/>
              </w:rPr>
              <w:t>comments on</w:t>
            </w:r>
            <w:r w:rsidR="00FF1E02">
              <w:rPr>
                <w:sz w:val="22"/>
                <w:szCs w:val="22"/>
              </w:rPr>
              <w:t xml:space="preserve"> </w:t>
            </w:r>
            <w:r w:rsidR="00070895">
              <w:rPr>
                <w:sz w:val="22"/>
                <w:szCs w:val="22"/>
              </w:rPr>
              <w:t>the</w:t>
            </w:r>
            <w:r w:rsidR="00B662AF">
              <w:rPr>
                <w:sz w:val="22"/>
                <w:szCs w:val="22"/>
              </w:rPr>
              <w:t xml:space="preserve"> national biodiversity strategy and action plan guidance.</w:t>
            </w:r>
            <w:r w:rsidR="00070895">
              <w:rPr>
                <w:sz w:val="22"/>
                <w:szCs w:val="22"/>
              </w:rPr>
              <w:t xml:space="preserve"> </w:t>
            </w:r>
          </w:p>
          <w:p w14:paraId="2FF848B3" w14:textId="77777777" w:rsidR="00095A77" w:rsidRDefault="00095A77" w:rsidP="00FF1E02">
            <w:pPr>
              <w:rPr>
                <w:sz w:val="22"/>
                <w:szCs w:val="22"/>
              </w:rPr>
            </w:pPr>
          </w:p>
          <w:p w14:paraId="6309B8EB" w14:textId="1DA9FF77" w:rsidR="00095A77" w:rsidRPr="00FB400C" w:rsidRDefault="00D17CC3" w:rsidP="00FF1E02">
            <w:pPr>
              <w:rPr>
                <w:color w:val="538135" w:themeColor="accent6" w:themeShade="BF"/>
                <w:sz w:val="22"/>
                <w:szCs w:val="22"/>
              </w:rPr>
            </w:pPr>
            <w:r>
              <w:rPr>
                <w:color w:val="538135" w:themeColor="accent6" w:themeShade="BF"/>
                <w:sz w:val="22"/>
                <w:szCs w:val="22"/>
              </w:rPr>
              <w:t>G</w:t>
            </w:r>
            <w:r w:rsidR="00B458E6">
              <w:rPr>
                <w:color w:val="538135" w:themeColor="accent6" w:themeShade="BF"/>
                <w:sz w:val="22"/>
                <w:szCs w:val="22"/>
              </w:rPr>
              <w:t>eneral comments</w:t>
            </w:r>
            <w:r>
              <w:rPr>
                <w:color w:val="538135" w:themeColor="accent6" w:themeShade="BF"/>
                <w:sz w:val="22"/>
                <w:szCs w:val="22"/>
              </w:rPr>
              <w:t xml:space="preserve">: </w:t>
            </w:r>
          </w:p>
          <w:p w14:paraId="05DF2FE3" w14:textId="77777777" w:rsidR="00095A77" w:rsidRPr="00FB400C" w:rsidRDefault="00095A77" w:rsidP="00FF1E02">
            <w:pPr>
              <w:rPr>
                <w:color w:val="538135" w:themeColor="accent6" w:themeShade="BF"/>
                <w:sz w:val="22"/>
                <w:szCs w:val="22"/>
              </w:rPr>
            </w:pPr>
          </w:p>
          <w:p w14:paraId="5E3CC9AA" w14:textId="279CC275" w:rsidR="00095A77" w:rsidRDefault="00544D69" w:rsidP="005A30A6">
            <w:pPr>
              <w:pStyle w:val="ListParagraph"/>
              <w:numPr>
                <w:ilvl w:val="0"/>
                <w:numId w:val="7"/>
              </w:numPr>
              <w:rPr>
                <w:color w:val="538135" w:themeColor="accent6" w:themeShade="BF"/>
                <w:szCs w:val="22"/>
              </w:rPr>
            </w:pPr>
            <w:r>
              <w:rPr>
                <w:color w:val="538135" w:themeColor="accent6" w:themeShade="BF"/>
                <w:szCs w:val="22"/>
              </w:rPr>
              <w:t>The revision of the NBSAP should be considered expedient: It remains the main planning document at Party level. National implementation without planning may never be that effective. NBSAPs are to Parties what the Post 2020 GBF is to the Convention.</w:t>
            </w:r>
          </w:p>
          <w:p w14:paraId="43DCCBC9" w14:textId="77777777" w:rsidR="00544D69" w:rsidRPr="00544D69" w:rsidRDefault="00544D69" w:rsidP="00544D69">
            <w:pPr>
              <w:pStyle w:val="ListParagraph"/>
              <w:rPr>
                <w:color w:val="538135" w:themeColor="accent6" w:themeShade="BF"/>
                <w:szCs w:val="22"/>
              </w:rPr>
            </w:pPr>
          </w:p>
          <w:p w14:paraId="300DC0AE" w14:textId="017CBB14" w:rsidR="00095A77" w:rsidRDefault="00FB400C" w:rsidP="005A30A6">
            <w:pPr>
              <w:pStyle w:val="ListParagraph"/>
              <w:numPr>
                <w:ilvl w:val="0"/>
                <w:numId w:val="7"/>
              </w:numPr>
              <w:rPr>
                <w:color w:val="538135" w:themeColor="accent6" w:themeShade="BF"/>
                <w:szCs w:val="22"/>
              </w:rPr>
            </w:pPr>
            <w:r w:rsidRPr="00FB400C">
              <w:rPr>
                <w:color w:val="538135" w:themeColor="accent6" w:themeShade="BF"/>
                <w:szCs w:val="22"/>
              </w:rPr>
              <w:t>Parties should be encouraged to ensure that the process is inclusive: all relevant government sectors and stakeholders should be involved, preferably using a bottom – top approach. High level political support and inter-ministerial coordination</w:t>
            </w:r>
            <w:r w:rsidR="00544D69">
              <w:rPr>
                <w:color w:val="538135" w:themeColor="accent6" w:themeShade="BF"/>
                <w:szCs w:val="22"/>
              </w:rPr>
              <w:t xml:space="preserve"> should be</w:t>
            </w:r>
            <w:r w:rsidRPr="00FB400C">
              <w:rPr>
                <w:color w:val="538135" w:themeColor="accent6" w:themeShade="BF"/>
                <w:szCs w:val="22"/>
              </w:rPr>
              <w:t xml:space="preserve"> galvanised</w:t>
            </w:r>
            <w:r w:rsidR="00544D69">
              <w:rPr>
                <w:color w:val="538135" w:themeColor="accent6" w:themeShade="BF"/>
                <w:szCs w:val="22"/>
              </w:rPr>
              <w:t xml:space="preserve"> first and foremost</w:t>
            </w:r>
            <w:r w:rsidRPr="00FB400C">
              <w:rPr>
                <w:color w:val="538135" w:themeColor="accent6" w:themeShade="BF"/>
                <w:szCs w:val="22"/>
              </w:rPr>
              <w:t xml:space="preserve"> by local level impetus. </w:t>
            </w:r>
          </w:p>
          <w:p w14:paraId="0707EA90" w14:textId="0BFA5B9C" w:rsidR="00095A77" w:rsidRPr="00FB400C" w:rsidRDefault="00095A77" w:rsidP="00FF1E02">
            <w:pPr>
              <w:rPr>
                <w:color w:val="538135" w:themeColor="accent6" w:themeShade="BF"/>
                <w:sz w:val="22"/>
                <w:szCs w:val="22"/>
              </w:rPr>
            </w:pPr>
          </w:p>
          <w:p w14:paraId="55BE4BF6" w14:textId="524DDBCC" w:rsidR="00095A77" w:rsidRDefault="00B458E6" w:rsidP="005A30A6">
            <w:pPr>
              <w:pStyle w:val="ListParagraph"/>
              <w:numPr>
                <w:ilvl w:val="0"/>
                <w:numId w:val="7"/>
              </w:numPr>
              <w:rPr>
                <w:color w:val="538135" w:themeColor="accent6" w:themeShade="BF"/>
                <w:szCs w:val="22"/>
              </w:rPr>
            </w:pPr>
            <w:r w:rsidRPr="00B458E6">
              <w:rPr>
                <w:color w:val="538135" w:themeColor="accent6" w:themeShade="BF"/>
                <w:szCs w:val="22"/>
              </w:rPr>
              <w:t>National targets not taken into consideration in the GBF (if any) should constitute additional targets in the revised NBSAPs.</w:t>
            </w:r>
          </w:p>
          <w:p w14:paraId="63486F1E" w14:textId="77777777" w:rsidR="00EE6C14" w:rsidRDefault="00EE6C14" w:rsidP="00EE6C14">
            <w:pPr>
              <w:pStyle w:val="ListParagraph"/>
              <w:rPr>
                <w:color w:val="538135" w:themeColor="accent6" w:themeShade="BF"/>
                <w:szCs w:val="22"/>
              </w:rPr>
            </w:pPr>
          </w:p>
          <w:p w14:paraId="53D6CEEB" w14:textId="77777777" w:rsidR="00EE6C14" w:rsidRPr="00EE6C14" w:rsidRDefault="00EE6C14" w:rsidP="005A30A6">
            <w:pPr>
              <w:pStyle w:val="ListParagraph"/>
              <w:numPr>
                <w:ilvl w:val="0"/>
                <w:numId w:val="7"/>
              </w:numPr>
              <w:rPr>
                <w:color w:val="538135" w:themeColor="accent6" w:themeShade="BF"/>
                <w:szCs w:val="22"/>
              </w:rPr>
            </w:pPr>
            <w:r w:rsidRPr="00EE6C14">
              <w:rPr>
                <w:color w:val="538135" w:themeColor="accent6" w:themeShade="BF"/>
                <w:szCs w:val="22"/>
              </w:rPr>
              <w:lastRenderedPageBreak/>
              <w:t>The innovative option of national commitments provides opportunities to greatly increase transparency and the ambition required of the parties to implement the new GBF.</w:t>
            </w:r>
          </w:p>
          <w:p w14:paraId="04CD8356" w14:textId="77777777" w:rsidR="00EF184D" w:rsidRPr="00EE6C14" w:rsidRDefault="00EF184D" w:rsidP="00EE6C14">
            <w:pPr>
              <w:rPr>
                <w:color w:val="538135" w:themeColor="accent6" w:themeShade="BF"/>
                <w:szCs w:val="22"/>
              </w:rPr>
            </w:pPr>
          </w:p>
          <w:p w14:paraId="0FF60F42" w14:textId="6E6A7313" w:rsidR="00B458E6" w:rsidRDefault="00EF184D" w:rsidP="005A30A6">
            <w:pPr>
              <w:pStyle w:val="ListParagraph"/>
              <w:numPr>
                <w:ilvl w:val="0"/>
                <w:numId w:val="7"/>
              </w:numPr>
              <w:rPr>
                <w:color w:val="538135" w:themeColor="accent6" w:themeShade="BF"/>
                <w:szCs w:val="22"/>
              </w:rPr>
            </w:pPr>
            <w:r w:rsidRPr="00EF184D">
              <w:rPr>
                <w:color w:val="538135" w:themeColor="accent6" w:themeShade="BF"/>
                <w:szCs w:val="22"/>
              </w:rPr>
              <w:t>The mandatory submissions and the publication of national contributions will promote greater transparency on the planned actions by each party, and significantly shape partner decisions to support each country.   This proposal has largely drawn from the highly successful experience under the UNFCCC on the mandatory submissions of NDCs.</w:t>
            </w:r>
          </w:p>
          <w:p w14:paraId="7C043AED" w14:textId="77777777" w:rsidR="00EF184D" w:rsidRPr="00EF184D" w:rsidRDefault="00EF184D" w:rsidP="00EF184D">
            <w:pPr>
              <w:pStyle w:val="ListParagraph"/>
              <w:rPr>
                <w:color w:val="538135" w:themeColor="accent6" w:themeShade="BF"/>
                <w:szCs w:val="22"/>
              </w:rPr>
            </w:pPr>
          </w:p>
          <w:p w14:paraId="6D2B3DC8" w14:textId="3A0AFD94" w:rsidR="00EE6C14" w:rsidRDefault="00EE6C14" w:rsidP="005A30A6">
            <w:pPr>
              <w:pStyle w:val="ListParagraph"/>
              <w:numPr>
                <w:ilvl w:val="0"/>
                <w:numId w:val="7"/>
              </w:numPr>
              <w:rPr>
                <w:color w:val="538135" w:themeColor="accent6" w:themeShade="BF"/>
                <w:szCs w:val="22"/>
              </w:rPr>
            </w:pPr>
            <w:r w:rsidRPr="00EE6C14">
              <w:rPr>
                <w:color w:val="538135" w:themeColor="accent6" w:themeShade="BF"/>
                <w:szCs w:val="22"/>
              </w:rPr>
              <w:t>A National Commitment in itself is a voluntary engagement.  Demonstrated at a high political level has a highly persuasive influence than obligatory processes requiring compliance with compelling measures that present</w:t>
            </w:r>
            <w:r>
              <w:rPr>
                <w:color w:val="538135" w:themeColor="accent6" w:themeShade="BF"/>
                <w:szCs w:val="22"/>
              </w:rPr>
              <w:t xml:space="preserve"> enforcement challenges. </w:t>
            </w:r>
            <w:r w:rsidRPr="00EE6C14">
              <w:rPr>
                <w:color w:val="538135" w:themeColor="accent6" w:themeShade="BF"/>
                <w:szCs w:val="22"/>
              </w:rPr>
              <w:t>International relations within intergovernmental processes are gradually drifting from compliance measures to party voluntary mechanisms.</w:t>
            </w:r>
          </w:p>
          <w:p w14:paraId="13192CD4" w14:textId="77777777" w:rsidR="00EE6C14" w:rsidRPr="00EE6C14" w:rsidRDefault="00EE6C14" w:rsidP="00EE6C14">
            <w:pPr>
              <w:rPr>
                <w:color w:val="538135" w:themeColor="accent6" w:themeShade="BF"/>
                <w:szCs w:val="22"/>
              </w:rPr>
            </w:pPr>
          </w:p>
          <w:p w14:paraId="5B342F37" w14:textId="02E25E80" w:rsidR="00EF184D" w:rsidRPr="00CB0D88" w:rsidRDefault="00CB0D88" w:rsidP="005A30A6">
            <w:pPr>
              <w:pStyle w:val="ListParagraph"/>
              <w:numPr>
                <w:ilvl w:val="0"/>
                <w:numId w:val="7"/>
              </w:numPr>
              <w:rPr>
                <w:color w:val="538135" w:themeColor="accent6" w:themeShade="BF"/>
                <w:szCs w:val="22"/>
              </w:rPr>
            </w:pPr>
            <w:r w:rsidRPr="00CB0D88">
              <w:rPr>
                <w:rFonts w:eastAsia="Calibri"/>
                <w:color w:val="538135" w:themeColor="accent6" w:themeShade="BF"/>
                <w:sz w:val="20"/>
                <w:szCs w:val="20"/>
                <w:lang w:val="en-ZA"/>
              </w:rPr>
              <w:t>A predominant challenge is the lack of clarity on the relationship between NCs and NBSAPs.   The weight attached here to the mandatory</w:t>
            </w:r>
            <w:r w:rsidRPr="00CB0D88">
              <w:rPr>
                <w:rFonts w:eastAsia="Calibri"/>
                <w:color w:val="538135" w:themeColor="accent6" w:themeShade="BF"/>
                <w:sz w:val="20"/>
                <w:szCs w:val="20"/>
              </w:rPr>
              <w:t xml:space="preserve"> submission of NCs as a planning mechanism is likely to weaken the importance of NBSAPs, the submission of which is not a requirement under Art 6 of the Convention</w:t>
            </w:r>
            <w:r w:rsidRPr="00CB0D88">
              <w:rPr>
                <w:rFonts w:eastAsia="Calibri"/>
                <w:sz w:val="20"/>
                <w:szCs w:val="20"/>
              </w:rPr>
              <w:t>.</w:t>
            </w:r>
          </w:p>
          <w:p w14:paraId="00FC747D" w14:textId="77777777" w:rsidR="00CB0D88" w:rsidRPr="00CB0D88" w:rsidRDefault="00CB0D88" w:rsidP="00CB0D88">
            <w:pPr>
              <w:pStyle w:val="ListParagraph"/>
              <w:rPr>
                <w:color w:val="538135" w:themeColor="accent6" w:themeShade="BF"/>
                <w:szCs w:val="22"/>
              </w:rPr>
            </w:pPr>
          </w:p>
          <w:p w14:paraId="14231A03" w14:textId="3043F75F" w:rsidR="005A72FF" w:rsidRPr="005A72FF" w:rsidRDefault="00CB0D88" w:rsidP="005A72FF">
            <w:pPr>
              <w:pStyle w:val="ListParagraph"/>
              <w:numPr>
                <w:ilvl w:val="0"/>
                <w:numId w:val="7"/>
              </w:numPr>
              <w:spacing w:after="160" w:line="259" w:lineRule="auto"/>
              <w:rPr>
                <w:color w:val="538135" w:themeColor="accent6" w:themeShade="BF"/>
                <w:sz w:val="20"/>
                <w:szCs w:val="20"/>
                <w:lang w:val="en-ZA"/>
              </w:rPr>
            </w:pPr>
            <w:r w:rsidRPr="00CB0D88">
              <w:rPr>
                <w:color w:val="538135" w:themeColor="accent6" w:themeShade="BF"/>
                <w:sz w:val="20"/>
                <w:szCs w:val="20"/>
              </w:rPr>
              <w:t xml:space="preserve">It is </w:t>
            </w:r>
            <w:r w:rsidRPr="00CB0D88">
              <w:rPr>
                <w:color w:val="538135" w:themeColor="accent6" w:themeShade="BF"/>
                <w:sz w:val="20"/>
                <w:szCs w:val="20"/>
                <w:lang w:val="en-ZA"/>
              </w:rPr>
              <w:t xml:space="preserve">an assumption that each party can secure a </w:t>
            </w:r>
            <w:proofErr w:type="gramStart"/>
            <w:r w:rsidRPr="00CB0D88">
              <w:rPr>
                <w:color w:val="538135" w:themeColor="accent6" w:themeShade="BF"/>
                <w:sz w:val="20"/>
                <w:szCs w:val="20"/>
                <w:lang w:val="en-ZA"/>
              </w:rPr>
              <w:t>high level</w:t>
            </w:r>
            <w:proofErr w:type="gramEnd"/>
            <w:r w:rsidRPr="00CB0D88">
              <w:rPr>
                <w:color w:val="538135" w:themeColor="accent6" w:themeShade="BF"/>
                <w:sz w:val="20"/>
                <w:szCs w:val="20"/>
                <w:lang w:val="en-ZA"/>
              </w:rPr>
              <w:t xml:space="preserve"> polit</w:t>
            </w:r>
            <w:r w:rsidR="00D37B89">
              <w:rPr>
                <w:color w:val="538135" w:themeColor="accent6" w:themeShade="BF"/>
                <w:sz w:val="20"/>
                <w:szCs w:val="20"/>
                <w:lang w:val="en-ZA"/>
              </w:rPr>
              <w:t xml:space="preserve">ical endorsement of NCs. </w:t>
            </w:r>
            <w:r w:rsidRPr="00CB0D88">
              <w:rPr>
                <w:color w:val="538135" w:themeColor="accent6" w:themeShade="BF"/>
                <w:sz w:val="20"/>
                <w:szCs w:val="20"/>
                <w:lang w:val="en-ZA"/>
              </w:rPr>
              <w:t>Varied levels in political endorsements will present a serious challenge in the effective application of other mechanisms in the ratchet cycle.</w:t>
            </w:r>
          </w:p>
          <w:p w14:paraId="5511460E" w14:textId="77777777" w:rsidR="00875236" w:rsidRPr="00875236" w:rsidRDefault="00875236" w:rsidP="00875236">
            <w:pPr>
              <w:pStyle w:val="ListParagraph"/>
              <w:numPr>
                <w:ilvl w:val="0"/>
                <w:numId w:val="7"/>
              </w:numPr>
              <w:rPr>
                <w:color w:val="538135" w:themeColor="accent6" w:themeShade="BF"/>
                <w:sz w:val="20"/>
                <w:szCs w:val="20"/>
                <w:lang w:val="en-ZA"/>
              </w:rPr>
            </w:pPr>
            <w:r w:rsidRPr="00875236">
              <w:rPr>
                <w:color w:val="538135" w:themeColor="accent6" w:themeShade="BF"/>
                <w:sz w:val="20"/>
                <w:szCs w:val="20"/>
                <w:lang w:val="en-ZA"/>
              </w:rPr>
              <w:t xml:space="preserve">Enormous burden and risks of duplication or conflicts in data and reporting. The use of all indicators of the GBF goals and targets in determining the National commitments in parallel with developing NBSAPs that are aligned to the GBF goals and targets, as separate planning mechanisms imposes an enormous burden while presenting great risks of duplications and even conflicts in data and reporting.  </w:t>
            </w:r>
          </w:p>
          <w:p w14:paraId="11339225" w14:textId="46F47770" w:rsidR="00D37B89" w:rsidRDefault="00875236" w:rsidP="00875236">
            <w:pPr>
              <w:pStyle w:val="ListParagraph"/>
              <w:numPr>
                <w:ilvl w:val="0"/>
                <w:numId w:val="7"/>
              </w:numPr>
              <w:rPr>
                <w:color w:val="538135" w:themeColor="accent6" w:themeShade="BF"/>
                <w:sz w:val="20"/>
                <w:szCs w:val="20"/>
                <w:lang w:val="en-ZA"/>
              </w:rPr>
            </w:pPr>
            <w:r w:rsidRPr="00875236">
              <w:rPr>
                <w:color w:val="538135" w:themeColor="accent6" w:themeShade="BF"/>
                <w:sz w:val="20"/>
                <w:szCs w:val="20"/>
                <w:lang w:val="en-ZA"/>
              </w:rPr>
              <w:t>Using the option of headline indicators will streamline the focus of the parties and facilitate the ultimate aggregation of efforts.  This will greatly reduce the burden and costs associated with data collection, reporting and reviews.</w:t>
            </w:r>
          </w:p>
          <w:p w14:paraId="4B8552DA" w14:textId="620D4E3D" w:rsidR="000078F8" w:rsidRPr="000078F8" w:rsidRDefault="000078F8" w:rsidP="000078F8">
            <w:pPr>
              <w:pStyle w:val="ListParagraph"/>
              <w:numPr>
                <w:ilvl w:val="0"/>
                <w:numId w:val="7"/>
              </w:numPr>
              <w:rPr>
                <w:color w:val="538135" w:themeColor="accent6" w:themeShade="BF"/>
                <w:sz w:val="20"/>
                <w:szCs w:val="20"/>
                <w:lang w:val="en-ZA"/>
              </w:rPr>
            </w:pPr>
            <w:r>
              <w:rPr>
                <w:color w:val="538135" w:themeColor="accent6" w:themeShade="BF"/>
                <w:sz w:val="20"/>
                <w:szCs w:val="20"/>
                <w:lang w:val="en-ZA"/>
              </w:rPr>
              <w:t>S</w:t>
            </w:r>
            <w:r w:rsidRPr="000078F8">
              <w:rPr>
                <w:color w:val="538135" w:themeColor="accent6" w:themeShade="BF"/>
                <w:sz w:val="20"/>
                <w:szCs w:val="20"/>
                <w:lang w:val="en-ZA"/>
              </w:rPr>
              <w:t>tepping up ambition within the 10-year term of the new GBF imposes a rhythm of performance that must be effective in the cycle of connected mechanisms and processes in the various steps during 5 years and running up to the recommendations of the COP.  This requires adequate accompanying measures for African countries</w:t>
            </w:r>
          </w:p>
          <w:p w14:paraId="2B96E9D1" w14:textId="087E24AC" w:rsidR="00875236" w:rsidRDefault="000C73DF" w:rsidP="000078F8">
            <w:pPr>
              <w:pStyle w:val="ListParagraph"/>
              <w:numPr>
                <w:ilvl w:val="0"/>
                <w:numId w:val="7"/>
              </w:numPr>
              <w:rPr>
                <w:color w:val="538135" w:themeColor="accent6" w:themeShade="BF"/>
                <w:sz w:val="20"/>
                <w:szCs w:val="20"/>
                <w:lang w:val="en-ZA"/>
              </w:rPr>
            </w:pPr>
            <w:r>
              <w:rPr>
                <w:color w:val="538135" w:themeColor="accent6" w:themeShade="BF"/>
                <w:sz w:val="20"/>
                <w:szCs w:val="20"/>
                <w:lang w:val="en-ZA"/>
              </w:rPr>
              <w:t xml:space="preserve">The </w:t>
            </w:r>
            <w:proofErr w:type="gramStart"/>
            <w:r>
              <w:rPr>
                <w:color w:val="538135" w:themeColor="accent6" w:themeShade="BF"/>
                <w:sz w:val="20"/>
                <w:szCs w:val="20"/>
                <w:lang w:val="en-ZA"/>
              </w:rPr>
              <w:t xml:space="preserve">timeframe </w:t>
            </w:r>
            <w:r w:rsidR="000078F8" w:rsidRPr="000078F8">
              <w:rPr>
                <w:color w:val="538135" w:themeColor="accent6" w:themeShade="BF"/>
                <w:sz w:val="20"/>
                <w:szCs w:val="20"/>
                <w:lang w:val="en-ZA"/>
              </w:rPr>
              <w:t xml:space="preserve"> within</w:t>
            </w:r>
            <w:proofErr w:type="gramEnd"/>
            <w:r w:rsidR="000078F8" w:rsidRPr="000078F8">
              <w:rPr>
                <w:color w:val="538135" w:themeColor="accent6" w:themeShade="BF"/>
                <w:sz w:val="20"/>
                <w:szCs w:val="20"/>
                <w:lang w:val="en-ZA"/>
              </w:rPr>
              <w:t xml:space="preserve"> which to step up NC constitutes an important challenge given the experience of delays in submitting National Reports to the CBD</w:t>
            </w:r>
          </w:p>
          <w:p w14:paraId="5A08B97E" w14:textId="058342AB" w:rsidR="00156D40" w:rsidRDefault="00156D40" w:rsidP="00156D40">
            <w:pPr>
              <w:pStyle w:val="ListParagraph"/>
              <w:numPr>
                <w:ilvl w:val="0"/>
                <w:numId w:val="7"/>
              </w:numPr>
              <w:rPr>
                <w:color w:val="538135" w:themeColor="accent6" w:themeShade="BF"/>
                <w:sz w:val="20"/>
                <w:szCs w:val="20"/>
                <w:lang w:val="en-ZA"/>
              </w:rPr>
            </w:pPr>
            <w:r w:rsidRPr="00156D40">
              <w:rPr>
                <w:color w:val="538135" w:themeColor="accent6" w:themeShade="BF"/>
                <w:sz w:val="20"/>
                <w:szCs w:val="20"/>
                <w:lang w:val="en-ZA"/>
              </w:rPr>
              <w:t xml:space="preserve">The use of complimentary and component indicators within NBSAPs as provided by the GBF will facilitate aggregation and a better understanding during </w:t>
            </w:r>
            <w:proofErr w:type="gramStart"/>
            <w:r w:rsidRPr="00156D40">
              <w:rPr>
                <w:color w:val="538135" w:themeColor="accent6" w:themeShade="BF"/>
                <w:sz w:val="20"/>
                <w:szCs w:val="20"/>
                <w:lang w:val="en-ZA"/>
              </w:rPr>
              <w:t>country to country</w:t>
            </w:r>
            <w:proofErr w:type="gramEnd"/>
            <w:r w:rsidRPr="00156D40">
              <w:rPr>
                <w:color w:val="538135" w:themeColor="accent6" w:themeShade="BF"/>
                <w:sz w:val="20"/>
                <w:szCs w:val="20"/>
                <w:lang w:val="en-ZA"/>
              </w:rPr>
              <w:t xml:space="preserve"> peer review</w:t>
            </w:r>
            <w:r>
              <w:t xml:space="preserve"> </w:t>
            </w:r>
            <w:r w:rsidRPr="00156D40">
              <w:rPr>
                <w:color w:val="538135" w:themeColor="accent6" w:themeShade="BF"/>
              </w:rPr>
              <w:t xml:space="preserve">however it </w:t>
            </w:r>
            <w:r w:rsidRPr="00156D40">
              <w:rPr>
                <w:color w:val="538135" w:themeColor="accent6" w:themeShade="BF"/>
                <w:sz w:val="20"/>
                <w:szCs w:val="20"/>
                <w:lang w:val="en-ZA"/>
              </w:rPr>
              <w:t>will certainly over burden parties and obligate the complete revision of current NBSAPs</w:t>
            </w:r>
            <w:r w:rsidR="00BA7346">
              <w:rPr>
                <w:color w:val="538135" w:themeColor="accent6" w:themeShade="BF"/>
                <w:sz w:val="20"/>
                <w:szCs w:val="20"/>
                <w:lang w:val="en-ZA"/>
              </w:rPr>
              <w:t>.</w:t>
            </w:r>
          </w:p>
          <w:p w14:paraId="32DA24BA" w14:textId="77777777" w:rsidR="005A72FF" w:rsidRPr="00156D40" w:rsidRDefault="005A72FF" w:rsidP="00C22635">
            <w:pPr>
              <w:pStyle w:val="ListParagraph"/>
              <w:rPr>
                <w:color w:val="538135" w:themeColor="accent6" w:themeShade="BF"/>
                <w:sz w:val="20"/>
                <w:szCs w:val="20"/>
                <w:lang w:val="en-ZA"/>
              </w:rPr>
            </w:pPr>
          </w:p>
          <w:p w14:paraId="337F75DE" w14:textId="77777777" w:rsidR="000078F8" w:rsidRPr="005A72FF" w:rsidRDefault="000078F8" w:rsidP="005A72FF">
            <w:pPr>
              <w:pStyle w:val="ListParagraph"/>
              <w:rPr>
                <w:color w:val="538135" w:themeColor="accent6" w:themeShade="BF"/>
                <w:sz w:val="20"/>
                <w:szCs w:val="20"/>
                <w:lang w:val="en-ZA"/>
              </w:rPr>
            </w:pPr>
          </w:p>
          <w:p w14:paraId="0074F84F" w14:textId="77777777" w:rsidR="00095A77" w:rsidRDefault="00095A77" w:rsidP="00FF1E02">
            <w:pPr>
              <w:rPr>
                <w:sz w:val="22"/>
                <w:szCs w:val="22"/>
              </w:rPr>
            </w:pPr>
          </w:p>
          <w:p w14:paraId="23516D6A" w14:textId="77777777" w:rsidR="00095A77" w:rsidRDefault="00095A77" w:rsidP="00FF1E02">
            <w:pPr>
              <w:rPr>
                <w:sz w:val="22"/>
                <w:szCs w:val="22"/>
              </w:rPr>
            </w:pPr>
          </w:p>
          <w:p w14:paraId="1C5D113D" w14:textId="2BE3DD69" w:rsidR="00095A77" w:rsidRPr="00414EDF" w:rsidRDefault="00095A77" w:rsidP="00FF1E02">
            <w:pPr>
              <w:rPr>
                <w:sz w:val="22"/>
                <w:szCs w:val="22"/>
              </w:rPr>
            </w:pPr>
          </w:p>
        </w:tc>
      </w:tr>
      <w:tr w:rsidR="00A15B70" w:rsidRPr="000C0B6C" w14:paraId="39506053" w14:textId="77777777" w:rsidTr="0033526A">
        <w:trPr>
          <w:trHeight w:val="404"/>
        </w:trPr>
        <w:tc>
          <w:tcPr>
            <w:tcW w:w="9558" w:type="dxa"/>
            <w:gridSpan w:val="2"/>
            <w:tcBorders>
              <w:top w:val="single" w:sz="4" w:space="0" w:color="auto"/>
              <w:left w:val="single" w:sz="4" w:space="0" w:color="auto"/>
              <w:bottom w:val="nil"/>
              <w:right w:val="single" w:sz="4" w:space="0" w:color="auto"/>
            </w:tcBorders>
            <w:vAlign w:val="center"/>
          </w:tcPr>
          <w:p w14:paraId="7CF40AD4" w14:textId="358424B8" w:rsidR="00A15B70" w:rsidRDefault="00A15B70" w:rsidP="00A15B70">
            <w:pPr>
              <w:rPr>
                <w:sz w:val="22"/>
                <w:szCs w:val="22"/>
              </w:rPr>
            </w:pPr>
            <w:r>
              <w:rPr>
                <w:sz w:val="22"/>
                <w:szCs w:val="22"/>
              </w:rPr>
              <w:lastRenderedPageBreak/>
              <w:t>Please use the table below to provide any specific comments on the template</w:t>
            </w:r>
            <w:r w:rsidR="00472B8D">
              <w:rPr>
                <w:sz w:val="22"/>
                <w:szCs w:val="22"/>
              </w:rPr>
              <w:t>:</w:t>
            </w:r>
            <w:r>
              <w:rPr>
                <w:sz w:val="22"/>
                <w:szCs w:val="22"/>
              </w:rPr>
              <w:t xml:space="preserve"> </w:t>
            </w:r>
          </w:p>
        </w:tc>
      </w:tr>
    </w:tbl>
    <w:tbl>
      <w:tblPr>
        <w:tblStyle w:val="TableGrid"/>
        <w:tblW w:w="9518" w:type="dxa"/>
        <w:jc w:val="center"/>
        <w:tblLayout w:type="fixed"/>
        <w:tblLook w:val="04A0" w:firstRow="1" w:lastRow="0" w:firstColumn="1" w:lastColumn="0" w:noHBand="0" w:noVBand="1"/>
      </w:tblPr>
      <w:tblGrid>
        <w:gridCol w:w="968"/>
        <w:gridCol w:w="8550"/>
      </w:tblGrid>
      <w:tr w:rsidR="00B662AF" w:rsidRPr="00B61340" w14:paraId="292D82A2" w14:textId="77777777" w:rsidTr="0033526A">
        <w:trPr>
          <w:trHeight w:val="314"/>
          <w:jc w:val="center"/>
        </w:trPr>
        <w:tc>
          <w:tcPr>
            <w:tcW w:w="968" w:type="dxa"/>
            <w:shd w:val="clear" w:color="auto" w:fill="D9D9D9" w:themeFill="background1" w:themeFillShade="D9"/>
          </w:tcPr>
          <w:p w14:paraId="7243605D" w14:textId="19FC10C4" w:rsidR="00B662AF" w:rsidRPr="00472B8D" w:rsidRDefault="00236608" w:rsidP="00754892">
            <w:pPr>
              <w:pStyle w:val="ListParagraph"/>
              <w:suppressLineNumbers/>
              <w:suppressAutoHyphens/>
              <w:adjustRightInd w:val="0"/>
              <w:snapToGrid w:val="0"/>
              <w:ind w:left="0"/>
              <w:contextualSpacing w:val="0"/>
              <w:rPr>
                <w:b/>
                <w:kern w:val="22"/>
                <w:szCs w:val="22"/>
              </w:rPr>
            </w:pPr>
            <w:r w:rsidRPr="00153018">
              <w:rPr>
                <w:i/>
                <w:szCs w:val="22"/>
              </w:rPr>
              <w:t xml:space="preserve"> </w:t>
            </w:r>
            <w:r w:rsidR="00B662AF" w:rsidRPr="00472B8D">
              <w:rPr>
                <w:b/>
                <w:kern w:val="22"/>
                <w:szCs w:val="22"/>
              </w:rPr>
              <w:t>Section</w:t>
            </w:r>
          </w:p>
        </w:tc>
        <w:tc>
          <w:tcPr>
            <w:tcW w:w="8550" w:type="dxa"/>
            <w:tcBorders>
              <w:top w:val="single" w:sz="4" w:space="0" w:color="auto"/>
            </w:tcBorders>
            <w:shd w:val="clear" w:color="auto" w:fill="D9D9D9" w:themeFill="background1" w:themeFillShade="D9"/>
          </w:tcPr>
          <w:p w14:paraId="04FA542A" w14:textId="65C2C74F" w:rsidR="00B662AF" w:rsidRPr="00472B8D" w:rsidRDefault="00B662AF" w:rsidP="00754892">
            <w:pPr>
              <w:pStyle w:val="ListParagraph"/>
              <w:suppressLineNumbers/>
              <w:suppressAutoHyphens/>
              <w:adjustRightInd w:val="0"/>
              <w:snapToGrid w:val="0"/>
              <w:ind w:left="0"/>
              <w:contextualSpacing w:val="0"/>
              <w:rPr>
                <w:b/>
                <w:kern w:val="22"/>
                <w:szCs w:val="22"/>
              </w:rPr>
            </w:pPr>
            <w:r>
              <w:rPr>
                <w:b/>
                <w:kern w:val="22"/>
                <w:szCs w:val="22"/>
              </w:rPr>
              <w:t>Comment</w:t>
            </w:r>
          </w:p>
        </w:tc>
      </w:tr>
      <w:tr w:rsidR="00B662AF" w:rsidRPr="00B61340" w14:paraId="64276617" w14:textId="77777777" w:rsidTr="00EB7321">
        <w:trPr>
          <w:jc w:val="center"/>
        </w:trPr>
        <w:tc>
          <w:tcPr>
            <w:tcW w:w="968" w:type="dxa"/>
          </w:tcPr>
          <w:p w14:paraId="51F93E71" w14:textId="7777777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t>1</w:t>
            </w:r>
          </w:p>
        </w:tc>
        <w:tc>
          <w:tcPr>
            <w:tcW w:w="8550" w:type="dxa"/>
          </w:tcPr>
          <w:p w14:paraId="542FF7E1" w14:textId="7ED852CD" w:rsidR="00B662AF" w:rsidRDefault="00B662AF" w:rsidP="00754892">
            <w:pPr>
              <w:pStyle w:val="ListParagraph"/>
              <w:suppressLineNumbers/>
              <w:suppressAutoHyphens/>
              <w:adjustRightInd w:val="0"/>
              <w:snapToGrid w:val="0"/>
              <w:ind w:left="0"/>
              <w:contextualSpacing w:val="0"/>
              <w:rPr>
                <w:bCs/>
                <w:snapToGrid w:val="0"/>
                <w:kern w:val="22"/>
                <w:szCs w:val="22"/>
              </w:rPr>
            </w:pPr>
            <w:r w:rsidRPr="00EB7321">
              <w:rPr>
                <w:bCs/>
                <w:kern w:val="22"/>
                <w:szCs w:val="22"/>
              </w:rPr>
              <w:t xml:space="preserve">Please provide comments on section 1 which includes the elaboration of national targets towards </w:t>
            </w:r>
            <w:r w:rsidRPr="00EB7321">
              <w:rPr>
                <w:bCs/>
                <w:kern w:val="22"/>
                <w:szCs w:val="22"/>
                <w:u w:val="single"/>
              </w:rPr>
              <w:t>each of the global targets</w:t>
            </w:r>
            <w:r w:rsidRPr="00EB7321">
              <w:rPr>
                <w:bCs/>
                <w:snapToGrid w:val="0"/>
                <w:kern w:val="22"/>
                <w:szCs w:val="22"/>
              </w:rPr>
              <w:t xml:space="preserve"> of the post-2020 global biodiversity framework</w:t>
            </w:r>
            <w:r w:rsidR="00EB7321" w:rsidRPr="00EB7321">
              <w:rPr>
                <w:bCs/>
                <w:snapToGrid w:val="0"/>
                <w:kern w:val="22"/>
                <w:szCs w:val="22"/>
              </w:rPr>
              <w:t>.</w:t>
            </w:r>
          </w:p>
          <w:p w14:paraId="0E41397A" w14:textId="77777777" w:rsidR="00816B29" w:rsidRDefault="00816B29" w:rsidP="00754892">
            <w:pPr>
              <w:pStyle w:val="ListParagraph"/>
              <w:suppressLineNumbers/>
              <w:suppressAutoHyphens/>
              <w:adjustRightInd w:val="0"/>
              <w:snapToGrid w:val="0"/>
              <w:ind w:left="0"/>
              <w:contextualSpacing w:val="0"/>
              <w:rPr>
                <w:bCs/>
                <w:snapToGrid w:val="0"/>
                <w:kern w:val="22"/>
                <w:szCs w:val="22"/>
              </w:rPr>
            </w:pPr>
          </w:p>
          <w:p w14:paraId="33BDAA76" w14:textId="77777777" w:rsidR="00816B29" w:rsidRDefault="00816B29" w:rsidP="00816B29">
            <w:pPr>
              <w:pStyle w:val="ListParagraph"/>
              <w:numPr>
                <w:ilvl w:val="0"/>
                <w:numId w:val="7"/>
              </w:numPr>
              <w:spacing w:after="160" w:line="259" w:lineRule="auto"/>
              <w:rPr>
                <w:color w:val="538135" w:themeColor="accent6" w:themeShade="BF"/>
                <w:sz w:val="20"/>
                <w:szCs w:val="20"/>
                <w:lang w:val="en-ZA"/>
              </w:rPr>
            </w:pPr>
            <w:r w:rsidRPr="00AA24B5">
              <w:rPr>
                <w:color w:val="538135" w:themeColor="accent6" w:themeShade="BF"/>
                <w:sz w:val="20"/>
                <w:szCs w:val="20"/>
                <w:lang w:val="en-ZA"/>
              </w:rPr>
              <w:t>A template for National Commitments and a Guidance for its submission will greatly facilitate aggregation to determine collective efforts towards the goals and targets of the GBF. This will further facilitate the assessment and review processes of collective progress towards the implementation.</w:t>
            </w:r>
          </w:p>
          <w:p w14:paraId="245C91E8" w14:textId="77777777" w:rsidR="005A72FF" w:rsidRDefault="005A72FF" w:rsidP="005A72FF">
            <w:pPr>
              <w:pStyle w:val="ListParagraph"/>
              <w:numPr>
                <w:ilvl w:val="0"/>
                <w:numId w:val="7"/>
              </w:numPr>
              <w:rPr>
                <w:color w:val="538135" w:themeColor="accent6" w:themeShade="BF"/>
                <w:szCs w:val="22"/>
              </w:rPr>
            </w:pPr>
            <w:r w:rsidRPr="00FB400C">
              <w:rPr>
                <w:color w:val="538135" w:themeColor="accent6" w:themeShade="BF"/>
                <w:szCs w:val="22"/>
              </w:rPr>
              <w:t xml:space="preserve">Revision of the NBSAPs </w:t>
            </w:r>
            <w:r>
              <w:rPr>
                <w:color w:val="538135" w:themeColor="accent6" w:themeShade="BF"/>
                <w:szCs w:val="22"/>
              </w:rPr>
              <w:t xml:space="preserve">be done by all Parties ensuring </w:t>
            </w:r>
            <w:r w:rsidRPr="00B458E6">
              <w:rPr>
                <w:b/>
                <w:color w:val="538135" w:themeColor="accent6" w:themeShade="BF"/>
                <w:szCs w:val="22"/>
              </w:rPr>
              <w:t xml:space="preserve">chronological </w:t>
            </w:r>
            <w:r>
              <w:rPr>
                <w:color w:val="538135" w:themeColor="accent6" w:themeShade="BF"/>
                <w:szCs w:val="22"/>
              </w:rPr>
              <w:t>alignment (</w:t>
            </w:r>
            <w:r w:rsidRPr="00B458E6">
              <w:rPr>
                <w:b/>
                <w:color w:val="538135" w:themeColor="accent6" w:themeShade="BF"/>
                <w:szCs w:val="22"/>
              </w:rPr>
              <w:t>target by target</w:t>
            </w:r>
            <w:r>
              <w:rPr>
                <w:color w:val="538135" w:themeColor="accent6" w:themeShade="BF"/>
                <w:szCs w:val="22"/>
              </w:rPr>
              <w:t xml:space="preserve">) with the adopted Post 2020 GBF. </w:t>
            </w:r>
          </w:p>
          <w:p w14:paraId="7342163C" w14:textId="0E5642BB" w:rsidR="005A72FF" w:rsidRDefault="005A72FF" w:rsidP="005A72FF">
            <w:pPr>
              <w:pStyle w:val="ListParagraph"/>
              <w:rPr>
                <w:color w:val="538135" w:themeColor="accent6" w:themeShade="BF"/>
                <w:szCs w:val="22"/>
              </w:rPr>
            </w:pPr>
            <w:r>
              <w:rPr>
                <w:color w:val="538135" w:themeColor="accent6" w:themeShade="BF"/>
                <w:szCs w:val="22"/>
              </w:rPr>
              <w:t>This will help to:</w:t>
            </w:r>
          </w:p>
          <w:p w14:paraId="495BF3D5" w14:textId="77777777" w:rsidR="005A72FF" w:rsidRDefault="005A72FF" w:rsidP="005A72FF">
            <w:pPr>
              <w:pStyle w:val="ListParagraph"/>
              <w:numPr>
                <w:ilvl w:val="0"/>
                <w:numId w:val="12"/>
              </w:numPr>
              <w:rPr>
                <w:color w:val="538135" w:themeColor="accent6" w:themeShade="BF"/>
                <w:szCs w:val="22"/>
              </w:rPr>
            </w:pPr>
            <w:r>
              <w:rPr>
                <w:color w:val="538135" w:themeColor="accent6" w:themeShade="BF"/>
                <w:szCs w:val="22"/>
              </w:rPr>
              <w:t>Harmonise reporting patterns</w:t>
            </w:r>
          </w:p>
          <w:p w14:paraId="67A60BEB" w14:textId="77777777" w:rsidR="005A72FF" w:rsidRDefault="005A72FF" w:rsidP="005A72FF">
            <w:pPr>
              <w:pStyle w:val="ListParagraph"/>
              <w:numPr>
                <w:ilvl w:val="0"/>
                <w:numId w:val="12"/>
              </w:numPr>
              <w:rPr>
                <w:color w:val="538135" w:themeColor="accent6" w:themeShade="BF"/>
                <w:szCs w:val="22"/>
              </w:rPr>
            </w:pPr>
            <w:r>
              <w:rPr>
                <w:color w:val="538135" w:themeColor="accent6" w:themeShade="BF"/>
                <w:szCs w:val="22"/>
              </w:rPr>
              <w:lastRenderedPageBreak/>
              <w:t>Identify commitment gaps between the national, regional and global targets</w:t>
            </w:r>
          </w:p>
          <w:p w14:paraId="7E936A0F" w14:textId="77777777" w:rsidR="005A72FF" w:rsidRDefault="005A72FF" w:rsidP="005A72FF">
            <w:pPr>
              <w:pStyle w:val="ListParagraph"/>
              <w:numPr>
                <w:ilvl w:val="0"/>
                <w:numId w:val="12"/>
              </w:numPr>
              <w:rPr>
                <w:color w:val="538135" w:themeColor="accent6" w:themeShade="BF"/>
                <w:szCs w:val="22"/>
              </w:rPr>
            </w:pPr>
            <w:r>
              <w:rPr>
                <w:color w:val="538135" w:themeColor="accent6" w:themeShade="BF"/>
                <w:szCs w:val="22"/>
              </w:rPr>
              <w:t xml:space="preserve">Identify national priorities not taken into consideration at the global level </w:t>
            </w:r>
          </w:p>
          <w:p w14:paraId="68241288" w14:textId="7858C95E" w:rsidR="005A72FF" w:rsidRDefault="005A72FF" w:rsidP="005A72FF">
            <w:pPr>
              <w:pStyle w:val="ListParagraph"/>
              <w:ind w:left="1440"/>
              <w:rPr>
                <w:color w:val="538135" w:themeColor="accent6" w:themeShade="BF"/>
                <w:szCs w:val="22"/>
              </w:rPr>
            </w:pPr>
            <w:r>
              <w:rPr>
                <w:color w:val="538135" w:themeColor="accent6" w:themeShade="BF"/>
                <w:szCs w:val="22"/>
              </w:rPr>
              <w:t>(</w:t>
            </w:r>
            <w:proofErr w:type="gramStart"/>
            <w:r>
              <w:rPr>
                <w:color w:val="538135" w:themeColor="accent6" w:themeShade="BF"/>
                <w:szCs w:val="22"/>
              </w:rPr>
              <w:t>if</w:t>
            </w:r>
            <w:proofErr w:type="gramEnd"/>
            <w:r>
              <w:rPr>
                <w:color w:val="538135" w:themeColor="accent6" w:themeShade="BF"/>
                <w:szCs w:val="22"/>
              </w:rPr>
              <w:t xml:space="preserve"> any)</w:t>
            </w:r>
          </w:p>
          <w:p w14:paraId="4AE7D548" w14:textId="77777777" w:rsidR="005A72FF" w:rsidRDefault="005A72FF" w:rsidP="005A72FF">
            <w:pPr>
              <w:pStyle w:val="ListParagraph"/>
              <w:numPr>
                <w:ilvl w:val="0"/>
                <w:numId w:val="12"/>
              </w:numPr>
              <w:rPr>
                <w:color w:val="538135" w:themeColor="accent6" w:themeShade="BF"/>
                <w:szCs w:val="22"/>
              </w:rPr>
            </w:pPr>
            <w:r>
              <w:rPr>
                <w:color w:val="538135" w:themeColor="accent6" w:themeShade="BF"/>
                <w:szCs w:val="22"/>
              </w:rPr>
              <w:t>Simplify aggregation at the regional and global levels</w:t>
            </w:r>
          </w:p>
          <w:p w14:paraId="1E4AC46C" w14:textId="461DC174" w:rsidR="005A72FF" w:rsidRPr="005A72FF" w:rsidRDefault="005A72FF" w:rsidP="005A72FF">
            <w:pPr>
              <w:rPr>
                <w:color w:val="538135" w:themeColor="accent6" w:themeShade="BF"/>
                <w:szCs w:val="22"/>
              </w:rPr>
            </w:pPr>
            <w:r>
              <w:rPr>
                <w:color w:val="538135" w:themeColor="accent6" w:themeShade="BF"/>
                <w:szCs w:val="22"/>
              </w:rPr>
              <w:t xml:space="preserve">      This is the sure way to ensure alignment of NBSAPs with the GBF.</w:t>
            </w:r>
          </w:p>
          <w:p w14:paraId="75BFCD68" w14:textId="77777777" w:rsidR="005A72FF" w:rsidRDefault="005A72FF" w:rsidP="005A72FF">
            <w:pPr>
              <w:pStyle w:val="ListParagraph"/>
              <w:spacing w:after="160" w:line="259" w:lineRule="auto"/>
              <w:rPr>
                <w:color w:val="538135" w:themeColor="accent6" w:themeShade="BF"/>
                <w:sz w:val="20"/>
                <w:szCs w:val="20"/>
                <w:lang w:val="en-ZA"/>
              </w:rPr>
            </w:pPr>
          </w:p>
          <w:p w14:paraId="6E07B322" w14:textId="77777777" w:rsidR="00816B29" w:rsidRDefault="00816B29" w:rsidP="00816B29">
            <w:pPr>
              <w:pStyle w:val="ListParagraph"/>
              <w:spacing w:after="160" w:line="259" w:lineRule="auto"/>
              <w:rPr>
                <w:color w:val="538135" w:themeColor="accent6" w:themeShade="BF"/>
                <w:sz w:val="20"/>
                <w:szCs w:val="20"/>
                <w:lang w:val="en-ZA"/>
              </w:rPr>
            </w:pPr>
          </w:p>
          <w:p w14:paraId="0F3D0A37" w14:textId="77777777" w:rsidR="00816B29" w:rsidRPr="00816B29" w:rsidRDefault="00816B29" w:rsidP="00754892">
            <w:pPr>
              <w:pStyle w:val="ListParagraph"/>
              <w:suppressLineNumbers/>
              <w:suppressAutoHyphens/>
              <w:adjustRightInd w:val="0"/>
              <w:snapToGrid w:val="0"/>
              <w:ind w:left="0"/>
              <w:contextualSpacing w:val="0"/>
              <w:rPr>
                <w:bCs/>
                <w:snapToGrid w:val="0"/>
                <w:kern w:val="22"/>
                <w:szCs w:val="22"/>
                <w:lang w:val="en-ZA"/>
              </w:rPr>
            </w:pPr>
          </w:p>
          <w:p w14:paraId="03EE7E12" w14:textId="3D2F21C9" w:rsidR="009715B2" w:rsidRPr="00EB7321" w:rsidRDefault="009715B2" w:rsidP="00754892">
            <w:pPr>
              <w:pStyle w:val="ListParagraph"/>
              <w:suppressLineNumbers/>
              <w:suppressAutoHyphens/>
              <w:adjustRightInd w:val="0"/>
              <w:snapToGrid w:val="0"/>
              <w:ind w:left="0"/>
              <w:contextualSpacing w:val="0"/>
              <w:rPr>
                <w:kern w:val="22"/>
                <w:szCs w:val="22"/>
              </w:rPr>
            </w:pPr>
          </w:p>
        </w:tc>
      </w:tr>
      <w:tr w:rsidR="00B662AF" w:rsidRPr="00B61340" w14:paraId="0870FB43" w14:textId="77777777" w:rsidTr="00EB7321">
        <w:trPr>
          <w:jc w:val="center"/>
        </w:trPr>
        <w:tc>
          <w:tcPr>
            <w:tcW w:w="968" w:type="dxa"/>
          </w:tcPr>
          <w:p w14:paraId="7E06BBB0" w14:textId="77777777" w:rsidR="00B662AF" w:rsidRPr="00EB7321" w:rsidRDefault="00B662AF" w:rsidP="00754892">
            <w:pPr>
              <w:pStyle w:val="ListParagraph"/>
              <w:suppressLineNumbers/>
              <w:suppressAutoHyphens/>
              <w:adjustRightInd w:val="0"/>
              <w:snapToGrid w:val="0"/>
              <w:ind w:left="0"/>
              <w:contextualSpacing w:val="0"/>
              <w:jc w:val="left"/>
              <w:rPr>
                <w:bCs/>
                <w:kern w:val="22"/>
                <w:szCs w:val="22"/>
              </w:rPr>
            </w:pPr>
            <w:r w:rsidRPr="00EB7321">
              <w:rPr>
                <w:bCs/>
                <w:kern w:val="22"/>
                <w:szCs w:val="22"/>
              </w:rPr>
              <w:lastRenderedPageBreak/>
              <w:t>2</w:t>
            </w:r>
          </w:p>
        </w:tc>
        <w:tc>
          <w:tcPr>
            <w:tcW w:w="8550" w:type="dxa"/>
          </w:tcPr>
          <w:p w14:paraId="2FF7179A" w14:textId="4BED7915" w:rsidR="00B662AF" w:rsidRDefault="00B662AF" w:rsidP="00754892">
            <w:pPr>
              <w:pStyle w:val="ListParagraph"/>
              <w:suppressLineNumbers/>
              <w:suppressAutoHyphens/>
              <w:adjustRightInd w:val="0"/>
              <w:snapToGrid w:val="0"/>
              <w:ind w:left="0"/>
              <w:contextualSpacing w:val="0"/>
              <w:jc w:val="left"/>
              <w:rPr>
                <w:bCs/>
                <w:kern w:val="22"/>
                <w:szCs w:val="22"/>
              </w:rPr>
            </w:pPr>
            <w:r w:rsidRPr="00EB7321">
              <w:rPr>
                <w:bCs/>
                <w:kern w:val="22"/>
                <w:szCs w:val="22"/>
              </w:rPr>
              <w:t>Please provide comments on section 2 on who is responsible for coordinating implementation and reporting on this target</w:t>
            </w:r>
            <w:r w:rsidR="00EB7321" w:rsidRPr="00EB7321">
              <w:rPr>
                <w:bCs/>
                <w:kern w:val="22"/>
                <w:szCs w:val="22"/>
              </w:rPr>
              <w:t>.</w:t>
            </w:r>
          </w:p>
          <w:p w14:paraId="3D52808B" w14:textId="3C0F4F62" w:rsidR="00816B29" w:rsidRPr="007B6E27" w:rsidRDefault="00816B29" w:rsidP="00816B29">
            <w:pPr>
              <w:pStyle w:val="ListParagraph"/>
              <w:numPr>
                <w:ilvl w:val="0"/>
                <w:numId w:val="11"/>
              </w:numPr>
              <w:suppressLineNumbers/>
              <w:suppressAutoHyphens/>
              <w:adjustRightInd w:val="0"/>
              <w:snapToGrid w:val="0"/>
              <w:contextualSpacing w:val="0"/>
              <w:jc w:val="left"/>
              <w:rPr>
                <w:bCs/>
                <w:color w:val="538135" w:themeColor="accent6" w:themeShade="BF"/>
                <w:kern w:val="22"/>
                <w:szCs w:val="22"/>
              </w:rPr>
            </w:pPr>
            <w:r w:rsidRPr="007B6E27">
              <w:rPr>
                <w:bCs/>
                <w:color w:val="538135" w:themeColor="accent6" w:themeShade="BF"/>
                <w:kern w:val="22"/>
                <w:szCs w:val="22"/>
              </w:rPr>
              <w:t>Commitments should be grouped into thematic areas and Goal Leads appointed/designated by NFPs to spearhead coordination of implementation and reporting.</w:t>
            </w:r>
          </w:p>
          <w:p w14:paraId="32654223" w14:textId="3962DDD9" w:rsidR="00816B29" w:rsidRPr="007B6E27" w:rsidRDefault="007B6E27" w:rsidP="00816B29">
            <w:pPr>
              <w:pStyle w:val="ListParagraph"/>
              <w:numPr>
                <w:ilvl w:val="0"/>
                <w:numId w:val="11"/>
              </w:numPr>
              <w:suppressLineNumbers/>
              <w:suppressAutoHyphens/>
              <w:adjustRightInd w:val="0"/>
              <w:snapToGrid w:val="0"/>
              <w:contextualSpacing w:val="0"/>
              <w:jc w:val="left"/>
              <w:rPr>
                <w:bCs/>
                <w:color w:val="538135" w:themeColor="accent6" w:themeShade="BF"/>
                <w:kern w:val="22"/>
                <w:szCs w:val="22"/>
              </w:rPr>
            </w:pPr>
            <w:r w:rsidRPr="007B6E27">
              <w:rPr>
                <w:bCs/>
                <w:color w:val="538135" w:themeColor="accent6" w:themeShade="BF"/>
                <w:kern w:val="22"/>
                <w:szCs w:val="22"/>
              </w:rPr>
              <w:t>Ensure a whole of society approach, incorporating non-state actors and NGOs and CSOs in the process and ensuring synergies with other related Conventions.</w:t>
            </w:r>
          </w:p>
          <w:p w14:paraId="3DFB4C3A" w14:textId="751B3617" w:rsidR="00802404" w:rsidRPr="00EB7321" w:rsidRDefault="00802404" w:rsidP="00754892">
            <w:pPr>
              <w:pStyle w:val="ListParagraph"/>
              <w:suppressLineNumbers/>
              <w:suppressAutoHyphens/>
              <w:adjustRightInd w:val="0"/>
              <w:snapToGrid w:val="0"/>
              <w:ind w:left="0"/>
              <w:contextualSpacing w:val="0"/>
              <w:jc w:val="left"/>
              <w:rPr>
                <w:kern w:val="22"/>
                <w:szCs w:val="22"/>
              </w:rPr>
            </w:pPr>
          </w:p>
        </w:tc>
      </w:tr>
      <w:tr w:rsidR="00B662AF" w:rsidRPr="00B61340" w14:paraId="6B683C69" w14:textId="77777777" w:rsidTr="00EB7321">
        <w:trPr>
          <w:jc w:val="center"/>
        </w:trPr>
        <w:tc>
          <w:tcPr>
            <w:tcW w:w="968" w:type="dxa"/>
          </w:tcPr>
          <w:p w14:paraId="7163EF36" w14:textId="71A7114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t>3</w:t>
            </w:r>
          </w:p>
        </w:tc>
        <w:tc>
          <w:tcPr>
            <w:tcW w:w="8550" w:type="dxa"/>
          </w:tcPr>
          <w:p w14:paraId="0998E1BF" w14:textId="77777777" w:rsidR="00B662AF" w:rsidRDefault="00B662AF" w:rsidP="00754892">
            <w:pPr>
              <w:suppressLineNumbers/>
              <w:suppressAutoHyphens/>
              <w:adjustRightInd w:val="0"/>
              <w:snapToGrid w:val="0"/>
              <w:rPr>
                <w:bCs/>
                <w:kern w:val="22"/>
                <w:sz w:val="22"/>
                <w:szCs w:val="22"/>
              </w:rPr>
            </w:pPr>
            <w:r w:rsidRPr="00EB7321">
              <w:rPr>
                <w:bCs/>
                <w:kern w:val="22"/>
                <w:sz w:val="22"/>
                <w:szCs w:val="22"/>
              </w:rPr>
              <w:t>Please provide comments on section 3 on the linkages with other national initiatives and targets.</w:t>
            </w:r>
          </w:p>
          <w:p w14:paraId="18190DB1" w14:textId="77777777" w:rsidR="005A72FF" w:rsidRPr="005A72FF" w:rsidRDefault="005A72FF" w:rsidP="005A72FF">
            <w:pPr>
              <w:pStyle w:val="ListParagraph"/>
              <w:numPr>
                <w:ilvl w:val="0"/>
                <w:numId w:val="7"/>
              </w:numPr>
              <w:rPr>
                <w:color w:val="538135" w:themeColor="accent6" w:themeShade="BF"/>
                <w:sz w:val="20"/>
                <w:szCs w:val="20"/>
                <w:lang w:val="en-ZA"/>
              </w:rPr>
            </w:pPr>
            <w:r w:rsidRPr="005A30A6">
              <w:rPr>
                <w:color w:val="538135" w:themeColor="accent6" w:themeShade="BF"/>
                <w:sz w:val="20"/>
                <w:szCs w:val="20"/>
                <w:lang w:val="en-ZA"/>
              </w:rPr>
              <w:t xml:space="preserve">The lack of clarity in the interlinkages or connectivity of the various mechanisms presents a challenge in the use of a template for NC. </w:t>
            </w:r>
            <w:r w:rsidRPr="00D37B89">
              <w:rPr>
                <w:rFonts w:eastAsia="Calibri"/>
                <w:color w:val="538135" w:themeColor="accent6" w:themeShade="BF"/>
                <w:sz w:val="20"/>
                <w:szCs w:val="20"/>
                <w:lang w:val="en-ZA"/>
              </w:rPr>
              <w:t>The use of a template will require a previous consensus on the content of a NC and the agreed set of GBF indicators to be used throughout the planning, reporting and review cycle</w:t>
            </w:r>
          </w:p>
          <w:p w14:paraId="142F08E2" w14:textId="77777777" w:rsidR="005A72FF" w:rsidRPr="00D37B89" w:rsidRDefault="005A72FF" w:rsidP="005A72FF">
            <w:pPr>
              <w:pStyle w:val="ListParagraph"/>
              <w:numPr>
                <w:ilvl w:val="0"/>
                <w:numId w:val="7"/>
              </w:numPr>
              <w:rPr>
                <w:color w:val="538135" w:themeColor="accent6" w:themeShade="BF"/>
                <w:sz w:val="20"/>
                <w:szCs w:val="20"/>
                <w:lang w:val="en-ZA"/>
              </w:rPr>
            </w:pPr>
          </w:p>
          <w:p w14:paraId="20592CD1" w14:textId="77777777" w:rsidR="005A72FF" w:rsidRPr="005A72FF" w:rsidRDefault="005A72FF" w:rsidP="00754892">
            <w:pPr>
              <w:suppressLineNumbers/>
              <w:suppressAutoHyphens/>
              <w:adjustRightInd w:val="0"/>
              <w:snapToGrid w:val="0"/>
              <w:rPr>
                <w:bCs/>
                <w:kern w:val="22"/>
                <w:sz w:val="22"/>
                <w:szCs w:val="22"/>
                <w:lang w:val="en-ZA"/>
              </w:rPr>
            </w:pPr>
          </w:p>
          <w:p w14:paraId="2F338F22" w14:textId="3551438A" w:rsidR="00802404" w:rsidRPr="00EB7321" w:rsidRDefault="00802404" w:rsidP="00754892">
            <w:pPr>
              <w:suppressLineNumbers/>
              <w:suppressAutoHyphens/>
              <w:adjustRightInd w:val="0"/>
              <w:snapToGrid w:val="0"/>
              <w:rPr>
                <w:kern w:val="22"/>
                <w:sz w:val="22"/>
                <w:szCs w:val="22"/>
                <w:lang w:val="en-GB"/>
              </w:rPr>
            </w:pPr>
          </w:p>
        </w:tc>
      </w:tr>
      <w:tr w:rsidR="00B662AF" w:rsidRPr="00B61340" w14:paraId="5A6BB5AF" w14:textId="77777777" w:rsidTr="00EB7321">
        <w:trPr>
          <w:jc w:val="center"/>
        </w:trPr>
        <w:tc>
          <w:tcPr>
            <w:tcW w:w="968" w:type="dxa"/>
          </w:tcPr>
          <w:p w14:paraId="18E278FD" w14:textId="77777777" w:rsidR="00B662AF" w:rsidRPr="00EB7321" w:rsidRDefault="00B662AF" w:rsidP="00754892">
            <w:pPr>
              <w:suppressLineNumbers/>
              <w:suppressAutoHyphens/>
              <w:adjustRightInd w:val="0"/>
              <w:snapToGrid w:val="0"/>
              <w:rPr>
                <w:kern w:val="22"/>
                <w:sz w:val="22"/>
                <w:szCs w:val="22"/>
              </w:rPr>
            </w:pPr>
            <w:r w:rsidRPr="00EB7321">
              <w:rPr>
                <w:kern w:val="22"/>
                <w:sz w:val="22"/>
                <w:szCs w:val="22"/>
              </w:rPr>
              <w:t>4</w:t>
            </w:r>
          </w:p>
        </w:tc>
        <w:tc>
          <w:tcPr>
            <w:tcW w:w="8550" w:type="dxa"/>
          </w:tcPr>
          <w:p w14:paraId="646DC155" w14:textId="77777777" w:rsidR="00B662AF" w:rsidRPr="00EB7321" w:rsidRDefault="00B662AF" w:rsidP="00A15B70">
            <w:pPr>
              <w:pStyle w:val="ListParagraph"/>
              <w:suppressLineNumbers/>
              <w:suppressAutoHyphens/>
              <w:adjustRightInd w:val="0"/>
              <w:snapToGrid w:val="0"/>
              <w:ind w:left="0"/>
              <w:contextualSpacing w:val="0"/>
              <w:jc w:val="left"/>
              <w:rPr>
                <w:bCs/>
                <w:kern w:val="22"/>
                <w:szCs w:val="22"/>
              </w:rPr>
            </w:pPr>
            <w:r w:rsidRPr="00EB7321">
              <w:rPr>
                <w:bCs/>
                <w:kern w:val="22"/>
                <w:szCs w:val="22"/>
              </w:rPr>
              <w:t xml:space="preserve">Please provide comments on section 4 on involvement of sub-national or other actors beyond national governments.  </w:t>
            </w:r>
          </w:p>
          <w:p w14:paraId="2ECEC149" w14:textId="49192358" w:rsidR="00802404" w:rsidRPr="00EB7321" w:rsidRDefault="00802404" w:rsidP="00A15B70">
            <w:pPr>
              <w:pStyle w:val="ListParagraph"/>
              <w:suppressLineNumbers/>
              <w:suppressAutoHyphens/>
              <w:adjustRightInd w:val="0"/>
              <w:snapToGrid w:val="0"/>
              <w:ind w:left="0"/>
              <w:contextualSpacing w:val="0"/>
              <w:jc w:val="left"/>
              <w:rPr>
                <w:kern w:val="22"/>
                <w:szCs w:val="22"/>
              </w:rPr>
            </w:pPr>
          </w:p>
        </w:tc>
      </w:tr>
    </w:tbl>
    <w:p w14:paraId="2E50F13C" w14:textId="77777777" w:rsidR="00A15B70" w:rsidRDefault="00A15B70" w:rsidP="00AE7B5B">
      <w:pPr>
        <w:jc w:val="both"/>
      </w:pPr>
    </w:p>
    <w:sectPr w:rsidR="00A15B70"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D223E" w14:textId="77777777" w:rsidR="00915C1F" w:rsidRDefault="00915C1F" w:rsidP="00AE7B5B">
      <w:r>
        <w:separator/>
      </w:r>
    </w:p>
  </w:endnote>
  <w:endnote w:type="continuationSeparator" w:id="0">
    <w:p w14:paraId="1EC07E17" w14:textId="77777777" w:rsidR="00915C1F" w:rsidRDefault="00915C1F"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58931" w14:textId="77777777" w:rsidR="00915C1F" w:rsidRDefault="00915C1F" w:rsidP="00AE7B5B">
      <w:r>
        <w:separator/>
      </w:r>
    </w:p>
  </w:footnote>
  <w:footnote w:type="continuationSeparator" w:id="0">
    <w:p w14:paraId="16063432" w14:textId="77777777" w:rsidR="00915C1F" w:rsidRDefault="00915C1F"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67F"/>
    <w:multiLevelType w:val="hybridMultilevel"/>
    <w:tmpl w:val="DFA4186A"/>
    <w:lvl w:ilvl="0" w:tplc="04090009">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0E5450BB"/>
    <w:multiLevelType w:val="hybridMultilevel"/>
    <w:tmpl w:val="CA92CB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66751"/>
    <w:multiLevelType w:val="hybridMultilevel"/>
    <w:tmpl w:val="D6725B90"/>
    <w:lvl w:ilvl="0" w:tplc="FBA0CE62">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05A55"/>
    <w:multiLevelType w:val="hybridMultilevel"/>
    <w:tmpl w:val="79485130"/>
    <w:lvl w:ilvl="0" w:tplc="040C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700532B"/>
    <w:multiLevelType w:val="hybridMultilevel"/>
    <w:tmpl w:val="C1BE06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905B3"/>
    <w:multiLevelType w:val="hybridMultilevel"/>
    <w:tmpl w:val="833C2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66659"/>
    <w:multiLevelType w:val="hybridMultilevel"/>
    <w:tmpl w:val="7C24F0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5B08EA"/>
    <w:multiLevelType w:val="hybridMultilevel"/>
    <w:tmpl w:val="4538FD66"/>
    <w:lvl w:ilvl="0" w:tplc="040C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0A29C9"/>
    <w:multiLevelType w:val="hybridMultilevel"/>
    <w:tmpl w:val="5BE4A2C6"/>
    <w:lvl w:ilvl="0" w:tplc="C56EADB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BB4B6C"/>
    <w:multiLevelType w:val="hybridMultilevel"/>
    <w:tmpl w:val="789098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E10638"/>
    <w:multiLevelType w:val="hybridMultilevel"/>
    <w:tmpl w:val="8F2AC59A"/>
    <w:lvl w:ilvl="0" w:tplc="040C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0"/>
  </w:num>
  <w:num w:numId="5">
    <w:abstractNumId w:val="10"/>
  </w:num>
  <w:num w:numId="6">
    <w:abstractNumId w:val="11"/>
  </w:num>
  <w:num w:numId="7">
    <w:abstractNumId w:val="1"/>
  </w:num>
  <w:num w:numId="8">
    <w:abstractNumId w:val="9"/>
  </w:num>
  <w:num w:numId="9">
    <w:abstractNumId w:val="8"/>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CA"/>
    <w:rsid w:val="000078F8"/>
    <w:rsid w:val="00043210"/>
    <w:rsid w:val="00070895"/>
    <w:rsid w:val="00095A77"/>
    <w:rsid w:val="000C73DF"/>
    <w:rsid w:val="00130A14"/>
    <w:rsid w:val="00156D40"/>
    <w:rsid w:val="0016656C"/>
    <w:rsid w:val="00202009"/>
    <w:rsid w:val="00236608"/>
    <w:rsid w:val="00237D8E"/>
    <w:rsid w:val="0033526A"/>
    <w:rsid w:val="00365EB7"/>
    <w:rsid w:val="004056B6"/>
    <w:rsid w:val="00414EDF"/>
    <w:rsid w:val="00472B8D"/>
    <w:rsid w:val="005114BE"/>
    <w:rsid w:val="0053632F"/>
    <w:rsid w:val="00542AEC"/>
    <w:rsid w:val="00544D69"/>
    <w:rsid w:val="005558F7"/>
    <w:rsid w:val="005A30A6"/>
    <w:rsid w:val="005A72FF"/>
    <w:rsid w:val="00636EB3"/>
    <w:rsid w:val="0064426F"/>
    <w:rsid w:val="00647F74"/>
    <w:rsid w:val="00715556"/>
    <w:rsid w:val="007537B6"/>
    <w:rsid w:val="007B6E27"/>
    <w:rsid w:val="00802404"/>
    <w:rsid w:val="00816B29"/>
    <w:rsid w:val="00875236"/>
    <w:rsid w:val="008A3A9F"/>
    <w:rsid w:val="008A6047"/>
    <w:rsid w:val="008D5903"/>
    <w:rsid w:val="008E7015"/>
    <w:rsid w:val="00915C1F"/>
    <w:rsid w:val="00930694"/>
    <w:rsid w:val="00962581"/>
    <w:rsid w:val="009715B2"/>
    <w:rsid w:val="009A6B72"/>
    <w:rsid w:val="009C30DA"/>
    <w:rsid w:val="00A05549"/>
    <w:rsid w:val="00A079C7"/>
    <w:rsid w:val="00A15B70"/>
    <w:rsid w:val="00AA24B5"/>
    <w:rsid w:val="00AB60ED"/>
    <w:rsid w:val="00AC6A0C"/>
    <w:rsid w:val="00AE7B5B"/>
    <w:rsid w:val="00AF4AD0"/>
    <w:rsid w:val="00B458E6"/>
    <w:rsid w:val="00B51493"/>
    <w:rsid w:val="00B662AF"/>
    <w:rsid w:val="00B733DC"/>
    <w:rsid w:val="00BA7346"/>
    <w:rsid w:val="00C22635"/>
    <w:rsid w:val="00CB0D88"/>
    <w:rsid w:val="00CC5F5D"/>
    <w:rsid w:val="00D17CC3"/>
    <w:rsid w:val="00D37B89"/>
    <w:rsid w:val="00D93CCA"/>
    <w:rsid w:val="00DC44E4"/>
    <w:rsid w:val="00E2476B"/>
    <w:rsid w:val="00EA713A"/>
    <w:rsid w:val="00EB7321"/>
    <w:rsid w:val="00EE6C14"/>
    <w:rsid w:val="00EF184D"/>
    <w:rsid w:val="00FB400C"/>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FF3CB444-0F41-4CAE-8F92-332B30C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Revision">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5B70"/>
    <w:pPr>
      <w:ind w:left="720"/>
      <w:contextualSpacing/>
      <w:jc w:val="both"/>
    </w:pPr>
    <w:rPr>
      <w:sz w:val="22"/>
      <w:lang w:val="en-GB"/>
    </w:rPr>
  </w:style>
  <w:style w:type="character" w:customStyle="1" w:styleId="ListParagraphChar">
    <w:name w:val="List Paragraph Char"/>
    <w:basedOn w:val="DefaultParagraphFont"/>
    <w:link w:val="ListParagraph"/>
    <w:uiPriority w:val="34"/>
    <w:qFormat/>
    <w:locked/>
    <w:rsid w:val="00A15B70"/>
    <w:rPr>
      <w:rFonts w:ascii="Times New Roman" w:eastAsia="Times New Roman" w:hAnsi="Times New Roman" w:cs="Times New Roman"/>
      <w:szCs w:val="24"/>
      <w:lang w:val="en-GB"/>
    </w:rPr>
  </w:style>
  <w:style w:type="paragraph" w:styleId="FootnoteText">
    <w:name w:val="footnote text"/>
    <w:basedOn w:val="Normal"/>
    <w:link w:val="FootnoteTextChar"/>
    <w:uiPriority w:val="99"/>
    <w:semiHidden/>
    <w:unhideWhenUsed/>
    <w:rsid w:val="00A15B70"/>
    <w:rPr>
      <w:sz w:val="20"/>
      <w:szCs w:val="20"/>
    </w:rPr>
  </w:style>
  <w:style w:type="character" w:customStyle="1" w:styleId="FootnoteTextChar">
    <w:name w:val="Footnote Text Char"/>
    <w:basedOn w:val="DefaultParagraphFont"/>
    <w:link w:val="FootnoteText"/>
    <w:uiPriority w:val="99"/>
    <w:semiHidden/>
    <w:rsid w:val="00A15B7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5B70"/>
    <w:rPr>
      <w:vertAlign w:val="superscript"/>
    </w:rPr>
  </w:style>
  <w:style w:type="character" w:styleId="UnresolvedMention">
    <w:name w:val="Unresolved Mention"/>
    <w:basedOn w:val="DefaultParagraphFont"/>
    <w:uiPriority w:val="99"/>
    <w:semiHidden/>
    <w:unhideWhenUsed/>
    <w:rsid w:val="00202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tep@yahoo.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gobert.ntep@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962A6-9934-4B92-B73A-87410539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Rigobert NTEP</cp:lastModifiedBy>
  <cp:revision>5</cp:revision>
  <dcterms:created xsi:type="dcterms:W3CDTF">2022-02-22T15:09:00Z</dcterms:created>
  <dcterms:modified xsi:type="dcterms:W3CDTF">2022-02-25T14:33:00Z</dcterms:modified>
</cp:coreProperties>
</file>