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C7D8B" w14:textId="75A9384E" w:rsidR="00AE7B5B" w:rsidRDefault="00236608" w:rsidP="00AE7B5B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14:paraId="7920C59F" w14:textId="1DA8F1CC" w:rsidR="00236608" w:rsidRPr="00293F53" w:rsidRDefault="00236608" w:rsidP="00AE7B5B">
      <w:pPr>
        <w:jc w:val="center"/>
        <w:rPr>
          <w:b/>
          <w:sz w:val="22"/>
          <w:szCs w:val="22"/>
        </w:rPr>
      </w:pPr>
    </w:p>
    <w:p w14:paraId="34B17942" w14:textId="6E493602" w:rsidR="00236608" w:rsidRPr="00197790" w:rsidRDefault="00236608" w:rsidP="00D3167F">
      <w:pPr>
        <w:pStyle w:val="Default"/>
        <w:jc w:val="center"/>
        <w:rPr>
          <w:b/>
          <w:u w:val="single"/>
        </w:rPr>
      </w:pPr>
      <w:r w:rsidRPr="00197790">
        <w:rPr>
          <w:b/>
          <w:u w:val="single"/>
        </w:rPr>
        <w:t>TEMPLATE FOR COMMENTS</w:t>
      </w:r>
      <w:r w:rsidR="009A6B72" w:rsidRPr="00197790">
        <w:rPr>
          <w:b/>
          <w:u w:val="single"/>
        </w:rPr>
        <w:t xml:space="preserve">: </w:t>
      </w:r>
      <w:r w:rsidR="00DC44E4" w:rsidRPr="00197790">
        <w:rPr>
          <w:b/>
          <w:u w:val="single"/>
        </w:rPr>
        <w:t>Draft g</w:t>
      </w:r>
      <w:r w:rsidR="00E2476B" w:rsidRPr="00197790">
        <w:rPr>
          <w:b/>
          <w:u w:val="single"/>
        </w:rPr>
        <w:t xml:space="preserve">uidance for </w:t>
      </w:r>
      <w:r w:rsidR="000B252D" w:rsidRPr="00197790">
        <w:rPr>
          <w:b/>
          <w:u w:val="single"/>
        </w:rPr>
        <w:t xml:space="preserve">capturing commitments from actors other than national governments in the context of enhanced planning, monitoring, reporting and reviewing mechanisms </w:t>
      </w:r>
      <w:r w:rsidR="009A6B72" w:rsidRPr="00197790">
        <w:rPr>
          <w:b/>
          <w:u w:val="single"/>
        </w:rPr>
        <w:t>contained in CBD/SBI/3/11/ADD</w:t>
      </w:r>
      <w:r w:rsidR="00DC44E4" w:rsidRPr="00197790">
        <w:rPr>
          <w:b/>
          <w:u w:val="single"/>
        </w:rPr>
        <w:t xml:space="preserve"> </w:t>
      </w:r>
      <w:r w:rsidR="000B252D" w:rsidRPr="00197790">
        <w:rPr>
          <w:b/>
          <w:u w:val="single"/>
        </w:rPr>
        <w:t>6</w:t>
      </w:r>
    </w:p>
    <w:p w14:paraId="17859718" w14:textId="77777777" w:rsidR="00236608" w:rsidRPr="00532BBA" w:rsidRDefault="00236608" w:rsidP="006C085B">
      <w:pPr>
        <w:pStyle w:val="Default"/>
        <w:spacing w:before="60"/>
        <w:jc w:val="center"/>
        <w:rPr>
          <w:b/>
          <w:sz w:val="22"/>
          <w:szCs w:val="22"/>
          <w:u w:val="single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5402"/>
      </w:tblGrid>
      <w:tr w:rsidR="00236608" w:rsidRPr="000C0B6C" w14:paraId="1FFC346E" w14:textId="77777777" w:rsidTr="00D3167F">
        <w:trPr>
          <w:trHeight w:val="737"/>
        </w:trPr>
        <w:tc>
          <w:tcPr>
            <w:tcW w:w="9535" w:type="dxa"/>
            <w:gridSpan w:val="2"/>
            <w:vAlign w:val="center"/>
          </w:tcPr>
          <w:p w14:paraId="7B023D72" w14:textId="32B9BE0D" w:rsidR="00236608" w:rsidRPr="000C0B6C" w:rsidRDefault="009C30DA" w:rsidP="00AE7B5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="00AF4AD0" w:rsidRPr="000C0B6C" w14:paraId="19F85FA6" w14:textId="77777777" w:rsidTr="00D3167F">
        <w:trPr>
          <w:trHeight w:val="270"/>
        </w:trPr>
        <w:tc>
          <w:tcPr>
            <w:tcW w:w="4133" w:type="dxa"/>
          </w:tcPr>
          <w:p w14:paraId="06F5B580" w14:textId="4C916EB4" w:rsidR="00AF4AD0" w:rsidRPr="000C0B6C" w:rsidRDefault="00414EDF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Scope of this template for comments</w:t>
            </w:r>
            <w:r w:rsidR="009A6B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02" w:type="dxa"/>
          </w:tcPr>
          <w:p w14:paraId="1B40A4A0" w14:textId="6884A3CF" w:rsidR="00AF4AD0" w:rsidRPr="000C0B6C" w:rsidRDefault="00DC44E4" w:rsidP="000B252D">
            <w:r>
              <w:t>Draft guidance for</w:t>
            </w:r>
            <w:r w:rsidR="000B252D">
              <w:t xml:space="preserve"> </w:t>
            </w:r>
            <w:r w:rsidR="000B252D" w:rsidRPr="00197790">
              <w:t xml:space="preserve">capturing commitments from actors other than national governments in the context of enhanced planning, monitoring, reporting and reviewing mechanisms </w:t>
            </w:r>
            <w:r w:rsidRPr="00197790">
              <w:t>contained in the documen</w:t>
            </w:r>
            <w:r>
              <w:t>t CBD/SBI/3/11/Add.</w:t>
            </w:r>
            <w:r w:rsidR="000B252D">
              <w:t>6</w:t>
            </w:r>
            <w:r>
              <w:t>, w</w:t>
            </w:r>
            <w:r w:rsidR="00385D8C">
              <w:t>hich includes a draft of</w:t>
            </w:r>
            <w:r w:rsidR="00757EBE">
              <w:t xml:space="preserve"> </w:t>
            </w:r>
            <w:r>
              <w:t xml:space="preserve">Annex </w:t>
            </w:r>
            <w:r w:rsidR="000B252D">
              <w:t>B</w:t>
            </w:r>
            <w:r w:rsidR="00FF1E02">
              <w:t xml:space="preserve"> to CBD/SBI/3/CRP.5.</w:t>
            </w:r>
            <w:r>
              <w:t xml:space="preserve"> </w:t>
            </w:r>
            <w:r w:rsidR="00414EDF">
              <w:t xml:space="preserve">This template aims to collect feedback on that Annex. </w:t>
            </w:r>
          </w:p>
        </w:tc>
      </w:tr>
      <w:tr w:rsidR="00236608" w:rsidRPr="000C0B6C" w14:paraId="6598FBAB" w14:textId="77777777" w:rsidTr="00D3167F">
        <w:trPr>
          <w:trHeight w:val="449"/>
        </w:trPr>
        <w:tc>
          <w:tcPr>
            <w:tcW w:w="9535" w:type="dxa"/>
            <w:gridSpan w:val="2"/>
            <w:shd w:val="clear" w:color="auto" w:fill="C0C0C0"/>
            <w:vAlign w:val="center"/>
          </w:tcPr>
          <w:p w14:paraId="297416BC" w14:textId="77777777" w:rsidR="00236608" w:rsidRPr="00AE7B5B" w:rsidRDefault="00236608" w:rsidP="00AE7B5B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="009B2182" w:rsidRPr="000C0B6C" w14:paraId="212CCDF4" w14:textId="77777777" w:rsidTr="006B275A">
        <w:trPr>
          <w:trHeight w:val="270"/>
        </w:trPr>
        <w:tc>
          <w:tcPr>
            <w:tcW w:w="4133" w:type="dxa"/>
          </w:tcPr>
          <w:p w14:paraId="13CBB394" w14:textId="77777777" w:rsidR="009B2182" w:rsidRPr="000C0B6C" w:rsidRDefault="009B2182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402" w:type="dxa"/>
            <w:vAlign w:val="center"/>
          </w:tcPr>
          <w:p w14:paraId="08B4F522" w14:textId="74E057B3" w:rsidR="009B2182" w:rsidRPr="000C0B6C" w:rsidRDefault="009B2182" w:rsidP="009A6B72">
            <w:r w:rsidRPr="00006407">
              <w:rPr>
                <w:rFonts w:eastAsia="游明朝"/>
                <w:sz w:val="22"/>
                <w:szCs w:val="22"/>
                <w:lang w:eastAsia="ja-JP"/>
              </w:rPr>
              <w:t>Kimura</w:t>
            </w:r>
          </w:p>
        </w:tc>
      </w:tr>
      <w:tr w:rsidR="009B2182" w:rsidRPr="000C0B6C" w14:paraId="70478EC8" w14:textId="77777777" w:rsidTr="006B275A">
        <w:trPr>
          <w:trHeight w:val="270"/>
        </w:trPr>
        <w:tc>
          <w:tcPr>
            <w:tcW w:w="4133" w:type="dxa"/>
          </w:tcPr>
          <w:p w14:paraId="4EE5D0BF" w14:textId="77777777" w:rsidR="009B2182" w:rsidRPr="000C0B6C" w:rsidRDefault="009B2182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402" w:type="dxa"/>
            <w:vAlign w:val="center"/>
          </w:tcPr>
          <w:p w14:paraId="618617AF" w14:textId="5D9152E1" w:rsidR="009B2182" w:rsidRPr="000C0B6C" w:rsidRDefault="009B2182" w:rsidP="009A6B72">
            <w:r w:rsidRPr="00006407">
              <w:rPr>
                <w:rFonts w:eastAsia="游明朝"/>
                <w:sz w:val="22"/>
                <w:szCs w:val="22"/>
                <w:lang w:eastAsia="ja-JP"/>
              </w:rPr>
              <w:t>Mariko</w:t>
            </w:r>
          </w:p>
        </w:tc>
      </w:tr>
      <w:tr w:rsidR="009B2182" w:rsidRPr="000C0B6C" w14:paraId="60004B01" w14:textId="77777777" w:rsidTr="006B275A">
        <w:trPr>
          <w:trHeight w:val="280"/>
        </w:trPr>
        <w:tc>
          <w:tcPr>
            <w:tcW w:w="4133" w:type="dxa"/>
          </w:tcPr>
          <w:p w14:paraId="043D7251" w14:textId="77777777" w:rsidR="009B2182" w:rsidRPr="000C0B6C" w:rsidRDefault="009B2182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402" w:type="dxa"/>
            <w:vAlign w:val="center"/>
          </w:tcPr>
          <w:p w14:paraId="44573104" w14:textId="5605AE1B" w:rsidR="009B2182" w:rsidRPr="000C0B6C" w:rsidRDefault="009B2182" w:rsidP="009A6B72">
            <w:r w:rsidRPr="00006407">
              <w:rPr>
                <w:rFonts w:eastAsia="ＭＳ 明朝"/>
                <w:sz w:val="22"/>
                <w:szCs w:val="22"/>
                <w:lang w:eastAsia="ja-JP"/>
              </w:rPr>
              <w:t>Ministry of Foreign Affairs, Japan</w:t>
            </w:r>
          </w:p>
        </w:tc>
      </w:tr>
      <w:tr w:rsidR="009B2182" w:rsidRPr="000C0B6C" w14:paraId="41DAE210" w14:textId="77777777" w:rsidTr="006B275A">
        <w:trPr>
          <w:trHeight w:val="270"/>
        </w:trPr>
        <w:tc>
          <w:tcPr>
            <w:tcW w:w="4133" w:type="dxa"/>
          </w:tcPr>
          <w:p w14:paraId="064A5C6E" w14:textId="77777777" w:rsidR="009B2182" w:rsidRPr="000C0B6C" w:rsidRDefault="009B2182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402" w:type="dxa"/>
            <w:vAlign w:val="center"/>
          </w:tcPr>
          <w:p w14:paraId="6DC88D1F" w14:textId="32F520BE" w:rsidR="009B2182" w:rsidRPr="000C0B6C" w:rsidRDefault="009B2182" w:rsidP="009A6B72">
            <w:r>
              <w:rPr>
                <w:rFonts w:eastAsia="ＭＳ 明朝" w:hint="eastAsia"/>
                <w:sz w:val="22"/>
                <w:szCs w:val="22"/>
                <w:lang w:eastAsia="ja-JP"/>
              </w:rPr>
              <w:t>-</w:t>
            </w:r>
          </w:p>
        </w:tc>
      </w:tr>
      <w:tr w:rsidR="009B2182" w:rsidRPr="000C0B6C" w14:paraId="19EAFF8D" w14:textId="77777777" w:rsidTr="006B275A">
        <w:trPr>
          <w:trHeight w:val="280"/>
        </w:trPr>
        <w:tc>
          <w:tcPr>
            <w:tcW w:w="4133" w:type="dxa"/>
          </w:tcPr>
          <w:p w14:paraId="051F46C6" w14:textId="77777777" w:rsidR="009B2182" w:rsidRPr="000C0B6C" w:rsidRDefault="009B2182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402" w:type="dxa"/>
            <w:vAlign w:val="center"/>
          </w:tcPr>
          <w:p w14:paraId="1BEACDEF" w14:textId="00F5F830" w:rsidR="009B2182" w:rsidRPr="000C0B6C" w:rsidRDefault="009B2182" w:rsidP="009A6B72">
            <w:r w:rsidRPr="00006407">
              <w:rPr>
                <w:rFonts w:eastAsia="ＭＳ 明朝"/>
                <w:sz w:val="22"/>
                <w:szCs w:val="22"/>
                <w:lang w:eastAsia="ja-JP"/>
              </w:rPr>
              <w:t>2-2-1 Kasumigaseki, Chiyoda-</w:t>
            </w:r>
            <w:proofErr w:type="spellStart"/>
            <w:r w:rsidRPr="00006407">
              <w:rPr>
                <w:rFonts w:eastAsia="ＭＳ 明朝"/>
                <w:sz w:val="22"/>
                <w:szCs w:val="22"/>
                <w:lang w:eastAsia="ja-JP"/>
              </w:rPr>
              <w:t>ku</w:t>
            </w:r>
            <w:proofErr w:type="spellEnd"/>
          </w:p>
        </w:tc>
      </w:tr>
      <w:tr w:rsidR="009B2182" w:rsidRPr="000C0B6C" w14:paraId="3310BC30" w14:textId="77777777" w:rsidTr="006B275A">
        <w:trPr>
          <w:trHeight w:val="270"/>
        </w:trPr>
        <w:tc>
          <w:tcPr>
            <w:tcW w:w="4133" w:type="dxa"/>
          </w:tcPr>
          <w:p w14:paraId="675A80C3" w14:textId="77777777" w:rsidR="009B2182" w:rsidRPr="000C0B6C" w:rsidRDefault="009B2182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402" w:type="dxa"/>
            <w:vAlign w:val="center"/>
          </w:tcPr>
          <w:p w14:paraId="160AB00E" w14:textId="773EF0C6" w:rsidR="009B2182" w:rsidRPr="000C0B6C" w:rsidRDefault="009B2182" w:rsidP="009A6B72">
            <w:r w:rsidRPr="00006407">
              <w:rPr>
                <w:rFonts w:eastAsia="ＭＳ 明朝"/>
                <w:sz w:val="22"/>
                <w:szCs w:val="22"/>
                <w:lang w:eastAsia="ja-JP"/>
              </w:rPr>
              <w:t>Tokyo</w:t>
            </w:r>
          </w:p>
        </w:tc>
      </w:tr>
      <w:tr w:rsidR="009B2182" w:rsidRPr="000C0B6C" w14:paraId="0303D967" w14:textId="77777777" w:rsidTr="006B275A">
        <w:trPr>
          <w:trHeight w:val="280"/>
        </w:trPr>
        <w:tc>
          <w:tcPr>
            <w:tcW w:w="4133" w:type="dxa"/>
          </w:tcPr>
          <w:p w14:paraId="241052A2" w14:textId="77777777" w:rsidR="009B2182" w:rsidRPr="000C0B6C" w:rsidRDefault="009B2182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402" w:type="dxa"/>
            <w:vAlign w:val="center"/>
          </w:tcPr>
          <w:p w14:paraId="213ED87C" w14:textId="44A7C3A2" w:rsidR="009B2182" w:rsidRPr="000C0B6C" w:rsidRDefault="009B2182" w:rsidP="009A6B72">
            <w:r w:rsidRPr="00006407">
              <w:rPr>
                <w:rFonts w:eastAsia="ＭＳ 明朝"/>
                <w:sz w:val="22"/>
                <w:szCs w:val="22"/>
                <w:lang w:eastAsia="ja-JP"/>
              </w:rPr>
              <w:t>Japan</w:t>
            </w:r>
          </w:p>
        </w:tc>
      </w:tr>
      <w:tr w:rsidR="009B2182" w:rsidRPr="000C0B6C" w14:paraId="1112C88B" w14:textId="77777777" w:rsidTr="006B275A">
        <w:trPr>
          <w:trHeight w:val="270"/>
        </w:trPr>
        <w:tc>
          <w:tcPr>
            <w:tcW w:w="4133" w:type="dxa"/>
          </w:tcPr>
          <w:p w14:paraId="45B7FB6A" w14:textId="77777777" w:rsidR="009B2182" w:rsidRPr="000C0B6C" w:rsidRDefault="009B2182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402" w:type="dxa"/>
            <w:vAlign w:val="center"/>
          </w:tcPr>
          <w:p w14:paraId="3E34F7CA" w14:textId="7308EBD9" w:rsidR="009B2182" w:rsidRPr="000C0B6C" w:rsidRDefault="009B2182" w:rsidP="009A6B72">
            <w:r w:rsidRPr="00006407">
              <w:rPr>
                <w:rFonts w:eastAsia="游明朝"/>
                <w:sz w:val="22"/>
                <w:szCs w:val="22"/>
                <w:lang w:eastAsia="ja-JP"/>
              </w:rPr>
              <w:t>100-8919</w:t>
            </w:r>
          </w:p>
        </w:tc>
      </w:tr>
      <w:tr w:rsidR="009B2182" w:rsidRPr="000C0B6C" w14:paraId="64A916DC" w14:textId="77777777" w:rsidTr="006B275A">
        <w:trPr>
          <w:trHeight w:val="270"/>
        </w:trPr>
        <w:tc>
          <w:tcPr>
            <w:tcW w:w="4133" w:type="dxa"/>
          </w:tcPr>
          <w:p w14:paraId="18A42CE7" w14:textId="77777777" w:rsidR="009B2182" w:rsidRPr="000C0B6C" w:rsidRDefault="009B2182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402" w:type="dxa"/>
            <w:vAlign w:val="center"/>
          </w:tcPr>
          <w:p w14:paraId="6D5B5A6E" w14:textId="384CE768" w:rsidR="009B2182" w:rsidRPr="000C0B6C" w:rsidRDefault="009B2182" w:rsidP="009A6B72">
            <w:r w:rsidRPr="00006407">
              <w:rPr>
                <w:rFonts w:eastAsia="游明朝"/>
                <w:sz w:val="22"/>
                <w:szCs w:val="22"/>
                <w:lang w:eastAsia="ja-JP"/>
              </w:rPr>
              <w:t>+81-3-5501-8245</w:t>
            </w:r>
          </w:p>
        </w:tc>
      </w:tr>
      <w:tr w:rsidR="009B2182" w:rsidRPr="000C0B6C" w14:paraId="7C74835B" w14:textId="77777777" w:rsidTr="006B275A">
        <w:trPr>
          <w:trHeight w:val="233"/>
        </w:trPr>
        <w:tc>
          <w:tcPr>
            <w:tcW w:w="4133" w:type="dxa"/>
          </w:tcPr>
          <w:p w14:paraId="45DEDB26" w14:textId="77777777" w:rsidR="009B2182" w:rsidRPr="000C0B6C" w:rsidRDefault="009B2182" w:rsidP="009A6B72">
            <w:pPr>
              <w:pStyle w:val="a6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402" w:type="dxa"/>
            <w:vAlign w:val="center"/>
          </w:tcPr>
          <w:p w14:paraId="118A29DB" w14:textId="7956591E" w:rsidR="009B2182" w:rsidRPr="000C0B6C" w:rsidRDefault="009B2182" w:rsidP="009A6B72">
            <w:r w:rsidRPr="00006407">
              <w:rPr>
                <w:rFonts w:eastAsia="游明朝"/>
                <w:sz w:val="22"/>
                <w:szCs w:val="22"/>
                <w:lang w:eastAsia="ja-JP"/>
              </w:rPr>
              <w:t>mariko.kimura@mofa.go.jp</w:t>
            </w:r>
          </w:p>
        </w:tc>
      </w:tr>
      <w:tr w:rsidR="00414EDF" w:rsidRPr="000C0B6C" w14:paraId="5BF8E06D" w14:textId="77777777" w:rsidTr="00D3167F">
        <w:trPr>
          <w:trHeight w:val="359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E4EFB" w14:textId="0B436C45" w:rsidR="00414EDF" w:rsidRPr="00D779BA" w:rsidRDefault="00414EDF" w:rsidP="00414EDF">
            <w:pPr>
              <w:jc w:val="center"/>
              <w:rPr>
                <w:b/>
                <w:bCs/>
              </w:rPr>
            </w:pPr>
            <w:r w:rsidRPr="00D779BA">
              <w:rPr>
                <w:b/>
                <w:bCs/>
              </w:rPr>
              <w:t>Comments</w:t>
            </w:r>
          </w:p>
        </w:tc>
      </w:tr>
      <w:tr w:rsidR="00414EDF" w:rsidRPr="000C0B6C" w14:paraId="396AFF2B" w14:textId="77777777" w:rsidTr="00D3167F">
        <w:trPr>
          <w:trHeight w:val="494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5A173" w14:textId="2B063E5A" w:rsidR="00AB2DD8" w:rsidRPr="00AB2DD8" w:rsidRDefault="00CD4BF2" w:rsidP="00AB2DD8">
            <w:pPr>
              <w:rPr>
                <w:sz w:val="22"/>
                <w:szCs w:val="22"/>
                <w:lang w:eastAsia="ja-JP"/>
              </w:rPr>
            </w:pPr>
            <w:r w:rsidRPr="00CD4BF2">
              <w:rPr>
                <w:rFonts w:eastAsia="游明朝" w:hint="eastAsia"/>
                <w:sz w:val="22"/>
                <w:szCs w:val="22"/>
                <w:lang w:eastAsia="ja-JP"/>
              </w:rPr>
              <w:t xml:space="preserve">With regard to </w:t>
            </w:r>
            <w:r w:rsidR="00AB2DD8" w:rsidRPr="00CD4BF2">
              <w:rPr>
                <w:sz w:val="22"/>
                <w:szCs w:val="22"/>
                <w:lang w:eastAsia="ja-JP"/>
              </w:rPr>
              <w:t>p.3 para10</w:t>
            </w:r>
            <w:r w:rsidRPr="00CD4BF2">
              <w:rPr>
                <w:rFonts w:eastAsia="游明朝"/>
                <w:sz w:val="22"/>
                <w:szCs w:val="22"/>
                <w:lang w:eastAsia="ja-JP"/>
              </w:rPr>
              <w:t>,</w:t>
            </w:r>
            <w:r w:rsidR="00AB2DD8" w:rsidRPr="00CD4BF2">
              <w:rPr>
                <w:sz w:val="22"/>
                <w:szCs w:val="22"/>
                <w:lang w:eastAsia="ja-JP"/>
              </w:rPr>
              <w:t xml:space="preserve"> </w:t>
            </w:r>
            <w:r w:rsidRPr="00CD4BF2">
              <w:rPr>
                <w:rFonts w:eastAsia="游明朝"/>
                <w:sz w:val="22"/>
                <w:szCs w:val="22"/>
                <w:lang w:eastAsia="ja-JP"/>
              </w:rPr>
              <w:t>i</w:t>
            </w:r>
            <w:r w:rsidR="00AB2DD8" w:rsidRPr="00CD4BF2">
              <w:rPr>
                <w:sz w:val="22"/>
                <w:szCs w:val="22"/>
                <w:lang w:eastAsia="ja-JP"/>
              </w:rPr>
              <w:t xml:space="preserve">t would be difficult to completely avoid double-counting between the commitments indicated in the NBSAP and those made by other entities because they may be inseparable and there may be cases where non-state actors are not aware of the commitments made by the state and other actors. </w:t>
            </w:r>
          </w:p>
          <w:p w14:paraId="75402A98" w14:textId="03D791F7" w:rsidR="00AB2DD8" w:rsidRDefault="00AB2DD8" w:rsidP="00AB2DD8">
            <w:pPr>
              <w:rPr>
                <w:sz w:val="22"/>
                <w:szCs w:val="22"/>
                <w:lang w:eastAsia="ja-JP"/>
              </w:rPr>
            </w:pPr>
            <w:r w:rsidRPr="00AB2DD8">
              <w:rPr>
                <w:sz w:val="22"/>
                <w:szCs w:val="22"/>
                <w:lang w:eastAsia="ja-JP"/>
              </w:rPr>
              <w:lastRenderedPageBreak/>
              <w:t xml:space="preserve">Therefore, rather than aiming to integrate </w:t>
            </w:r>
            <w:r>
              <w:rPr>
                <w:sz w:val="22"/>
                <w:szCs w:val="22"/>
                <w:lang w:eastAsia="ja-JP"/>
              </w:rPr>
              <w:t xml:space="preserve">and analyze </w:t>
            </w:r>
            <w:r w:rsidRPr="00AB2DD8">
              <w:rPr>
                <w:sz w:val="22"/>
                <w:szCs w:val="22"/>
                <w:lang w:eastAsia="ja-JP"/>
              </w:rPr>
              <w:t xml:space="preserve">the commitments made by the state and those made by other entities without overlap, the analysis should be based on the premise of categorizing </w:t>
            </w:r>
            <w:r>
              <w:rPr>
                <w:sz w:val="22"/>
                <w:szCs w:val="22"/>
                <w:lang w:eastAsia="ja-JP"/>
              </w:rPr>
              <w:t>commitments in the NBSAPs</w:t>
            </w:r>
            <w:r w:rsidRPr="00AB2DD8">
              <w:rPr>
                <w:sz w:val="22"/>
                <w:szCs w:val="22"/>
                <w:lang w:eastAsia="ja-JP"/>
              </w:rPr>
              <w:t xml:space="preserve"> as the integration of the efforts of all entities</w:t>
            </w:r>
            <w:r>
              <w:rPr>
                <w:sz w:val="22"/>
                <w:szCs w:val="22"/>
                <w:lang w:eastAsia="ja-JP"/>
              </w:rPr>
              <w:t>,</w:t>
            </w:r>
            <w:r w:rsidRPr="00AB2DD8">
              <w:rPr>
                <w:sz w:val="22"/>
                <w:szCs w:val="22"/>
                <w:lang w:eastAsia="ja-JP"/>
              </w:rPr>
              <w:t xml:space="preserve"> and </w:t>
            </w:r>
            <w:r>
              <w:rPr>
                <w:sz w:val="22"/>
                <w:szCs w:val="22"/>
                <w:lang w:eastAsia="ja-JP"/>
              </w:rPr>
              <w:t>commitments by</w:t>
            </w:r>
            <w:r w:rsidRPr="00AB2DD8">
              <w:rPr>
                <w:sz w:val="22"/>
                <w:szCs w:val="22"/>
                <w:lang w:eastAsia="ja-JP"/>
              </w:rPr>
              <w:t xml:space="preserve"> other entities as a part of those </w:t>
            </w:r>
            <w:r>
              <w:rPr>
                <w:sz w:val="22"/>
                <w:szCs w:val="22"/>
                <w:lang w:eastAsia="ja-JP"/>
              </w:rPr>
              <w:t>whole commitments in the NBSAPs</w:t>
            </w:r>
            <w:r w:rsidRPr="00AB2DD8">
              <w:rPr>
                <w:sz w:val="22"/>
                <w:szCs w:val="22"/>
                <w:lang w:eastAsia="ja-JP"/>
              </w:rPr>
              <w:t xml:space="preserve">. </w:t>
            </w:r>
          </w:p>
          <w:p w14:paraId="0AC84A27" w14:textId="77777777" w:rsidR="00AB2DD8" w:rsidRDefault="00AB2DD8" w:rsidP="00AB2DD8">
            <w:pPr>
              <w:rPr>
                <w:rFonts w:eastAsia="游明朝" w:hint="eastAsia"/>
                <w:sz w:val="22"/>
                <w:szCs w:val="22"/>
                <w:lang w:eastAsia="ja-JP"/>
              </w:rPr>
            </w:pPr>
            <w:r w:rsidRPr="00AB2DD8">
              <w:rPr>
                <w:sz w:val="22"/>
                <w:szCs w:val="22"/>
                <w:lang w:eastAsia="ja-JP"/>
              </w:rPr>
              <w:t>Information on commitments by other entities would be useful in terms of collecting pioneering initiatives, good practices, and examples of international initiatives.</w:t>
            </w:r>
          </w:p>
          <w:p w14:paraId="1C5D113D" w14:textId="261E58C4" w:rsidR="00A95684" w:rsidRPr="00A95684" w:rsidRDefault="00A95684" w:rsidP="00AB2DD8">
            <w:pPr>
              <w:rPr>
                <w:rFonts w:eastAsia="游明朝" w:hint="eastAsia"/>
                <w:sz w:val="22"/>
                <w:szCs w:val="22"/>
                <w:lang w:eastAsia="ja-JP"/>
              </w:rPr>
            </w:pPr>
          </w:p>
        </w:tc>
      </w:tr>
      <w:tr w:rsidR="00F122C1" w:rsidRPr="000C0B6C" w14:paraId="258581A2" w14:textId="77777777" w:rsidTr="00D3167F">
        <w:trPr>
          <w:trHeight w:val="422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58A3F" w14:textId="0D2B7110" w:rsidR="00F122C1" w:rsidRDefault="00F122C1" w:rsidP="00894810">
            <w:pPr>
              <w:rPr>
                <w:sz w:val="22"/>
                <w:szCs w:val="22"/>
              </w:rPr>
            </w:pPr>
            <w:r>
              <w:rPr>
                <w:lang w:eastAsia="ja-JP"/>
              </w:rPr>
              <w:lastRenderedPageBreak/>
              <w:br w:type="page"/>
            </w:r>
            <w:r>
              <w:rPr>
                <w:sz w:val="22"/>
                <w:szCs w:val="22"/>
              </w:rPr>
              <w:t xml:space="preserve">Please use the table below to provide any specific comments on the template: </w:t>
            </w:r>
          </w:p>
        </w:tc>
      </w:tr>
    </w:tbl>
    <w:tbl>
      <w:tblPr>
        <w:tblStyle w:val="af1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7830"/>
      </w:tblGrid>
      <w:tr w:rsidR="00F122C1" w:rsidRPr="00B61340" w14:paraId="23F771EB" w14:textId="77777777" w:rsidTr="00D3167F">
        <w:trPr>
          <w:trHeight w:val="35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9986FE" w14:textId="77777777" w:rsidR="00F122C1" w:rsidRPr="00BA327C" w:rsidRDefault="00F122C1" w:rsidP="00894810">
            <w:pPr>
              <w:pStyle w:val="af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</w:rPr>
            </w:pPr>
            <w:r w:rsidRPr="00BA327C">
              <w:rPr>
                <w:b/>
                <w:kern w:val="22"/>
              </w:rPr>
              <w:t>Section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CB422" w14:textId="77777777" w:rsidR="00F122C1" w:rsidRPr="00BA327C" w:rsidRDefault="00F122C1" w:rsidP="00894810">
            <w:pPr>
              <w:pStyle w:val="af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</w:rPr>
            </w:pPr>
            <w:r w:rsidRPr="00BA327C">
              <w:rPr>
                <w:b/>
                <w:kern w:val="22"/>
              </w:rPr>
              <w:t>Comment</w:t>
            </w:r>
          </w:p>
        </w:tc>
      </w:tr>
      <w:tr w:rsidR="00F122C1" w:rsidRPr="00B61340" w14:paraId="4E4D8779" w14:textId="77777777" w:rsidTr="00D3167F">
        <w:tc>
          <w:tcPr>
            <w:tcW w:w="1710" w:type="dxa"/>
            <w:tcBorders>
              <w:top w:val="nil"/>
            </w:tcBorders>
          </w:tcPr>
          <w:p w14:paraId="66D9F7B2" w14:textId="77777777" w:rsidR="00F122C1" w:rsidRPr="004A0846" w:rsidRDefault="00F122C1" w:rsidP="00894810">
            <w:pPr>
              <w:pStyle w:val="af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1</w:t>
            </w:r>
          </w:p>
        </w:tc>
        <w:tc>
          <w:tcPr>
            <w:tcW w:w="7830" w:type="dxa"/>
            <w:tcBorders>
              <w:top w:val="nil"/>
            </w:tcBorders>
          </w:tcPr>
          <w:p w14:paraId="6176EC22" w14:textId="40D16819" w:rsidR="00D04CE3" w:rsidRDefault="00A95684" w:rsidP="00D04CE3">
            <w:pPr>
              <w:pStyle w:val="af"/>
              <w:numPr>
                <w:ilvl w:val="0"/>
                <w:numId w:val="2"/>
              </w:numPr>
              <w:suppressLineNumbers/>
              <w:suppressAutoHyphens/>
              <w:adjustRightInd w:val="0"/>
              <w:snapToGrid w:val="0"/>
              <w:rPr>
                <w:kern w:val="22"/>
                <w:sz w:val="22"/>
                <w:szCs w:val="22"/>
                <w:lang w:eastAsia="ja-JP"/>
              </w:rPr>
            </w:pPr>
            <w:r>
              <w:rPr>
                <w:kern w:val="22"/>
                <w:sz w:val="22"/>
                <w:szCs w:val="22"/>
                <w:lang w:eastAsia="ja-JP"/>
              </w:rPr>
              <w:t xml:space="preserve"> </w:t>
            </w:r>
            <w:r w:rsidR="00D04CE3">
              <w:rPr>
                <w:kern w:val="22"/>
                <w:sz w:val="22"/>
                <w:szCs w:val="22"/>
                <w:lang w:eastAsia="ja-JP"/>
              </w:rPr>
              <w:t>(</w:t>
            </w:r>
            <w:r w:rsidR="00D04CE3" w:rsidRPr="00D04CE3">
              <w:rPr>
                <w:kern w:val="22"/>
                <w:sz w:val="22"/>
                <w:szCs w:val="22"/>
                <w:lang w:eastAsia="ja-JP"/>
              </w:rPr>
              <w:t>7. Type of organization in General information</w:t>
            </w:r>
            <w:r w:rsidR="00D04CE3">
              <w:rPr>
                <w:kern w:val="22"/>
                <w:sz w:val="22"/>
                <w:szCs w:val="22"/>
                <w:lang w:eastAsia="ja-JP"/>
              </w:rPr>
              <w:t xml:space="preserve">) </w:t>
            </w:r>
          </w:p>
          <w:p w14:paraId="145930E7" w14:textId="6E16ADB1" w:rsidR="00D04CE3" w:rsidRPr="00D04CE3" w:rsidRDefault="00D04CE3" w:rsidP="00D04CE3">
            <w:pPr>
              <w:pStyle w:val="af"/>
              <w:suppressLineNumbers/>
              <w:suppressAutoHyphens/>
              <w:adjustRightInd w:val="0"/>
              <w:snapToGrid w:val="0"/>
              <w:ind w:left="360"/>
              <w:rPr>
                <w:kern w:val="22"/>
                <w:sz w:val="22"/>
                <w:szCs w:val="22"/>
                <w:lang w:eastAsia="ja-JP"/>
              </w:rPr>
            </w:pPr>
            <w:r>
              <w:rPr>
                <w:kern w:val="22"/>
                <w:sz w:val="22"/>
                <w:szCs w:val="22"/>
                <w:lang w:eastAsia="ja-JP"/>
              </w:rPr>
              <w:t>“</w:t>
            </w:r>
            <w:r w:rsidRPr="00D04CE3">
              <w:rPr>
                <w:kern w:val="22"/>
                <w:sz w:val="22"/>
                <w:szCs w:val="22"/>
                <w:lang w:eastAsia="ja-JP"/>
              </w:rPr>
              <w:t>National initiative</w:t>
            </w:r>
            <w:r>
              <w:rPr>
                <w:kern w:val="22"/>
                <w:sz w:val="22"/>
                <w:szCs w:val="22"/>
                <w:lang w:eastAsia="ja-JP"/>
              </w:rPr>
              <w:t>”</w:t>
            </w:r>
            <w:r w:rsidRPr="00D04CE3">
              <w:rPr>
                <w:kern w:val="22"/>
                <w:sz w:val="22"/>
                <w:szCs w:val="22"/>
                <w:lang w:eastAsia="ja-JP"/>
              </w:rPr>
              <w:t xml:space="preserve"> is listed as an option. However, considering that this Annex provides guidance for reporting on commitments from non-state actors, there seems to be no need to include national initiatives as an option here</w:t>
            </w:r>
            <w:r w:rsidR="006D1EEB">
              <w:rPr>
                <w:kern w:val="22"/>
                <w:sz w:val="22"/>
                <w:szCs w:val="22"/>
                <w:lang w:eastAsia="ja-JP"/>
              </w:rPr>
              <w:t>. I</w:t>
            </w:r>
            <w:r w:rsidRPr="00D04CE3">
              <w:rPr>
                <w:kern w:val="22"/>
                <w:sz w:val="22"/>
                <w:szCs w:val="22"/>
                <w:lang w:eastAsia="ja-JP"/>
              </w:rPr>
              <w:t>t is difficult to assume that non-state actors will make national initiatives.</w:t>
            </w:r>
          </w:p>
          <w:p w14:paraId="7EF6D883" w14:textId="77777777" w:rsidR="00D04CE3" w:rsidRPr="00A95684" w:rsidRDefault="006D1EEB" w:rsidP="000E2697">
            <w:pPr>
              <w:pStyle w:val="af"/>
              <w:numPr>
                <w:ilvl w:val="0"/>
                <w:numId w:val="2"/>
              </w:numPr>
              <w:suppressLineNumbers/>
              <w:suppressAutoHyphens/>
              <w:adjustRightInd w:val="0"/>
              <w:snapToGrid w:val="0"/>
              <w:contextualSpacing w:val="0"/>
              <w:rPr>
                <w:rFonts w:hint="eastAsia"/>
                <w:kern w:val="22"/>
                <w:sz w:val="22"/>
                <w:szCs w:val="22"/>
                <w:lang w:eastAsia="ja-JP"/>
              </w:rPr>
            </w:pPr>
            <w:r>
              <w:rPr>
                <w:kern w:val="22"/>
                <w:sz w:val="22"/>
                <w:szCs w:val="22"/>
                <w:lang w:eastAsia="ja-JP"/>
              </w:rPr>
              <w:t>Project b</w:t>
            </w:r>
            <w:r w:rsidR="00D04CE3" w:rsidRPr="00D04CE3">
              <w:rPr>
                <w:kern w:val="22"/>
                <w:sz w:val="22"/>
                <w:szCs w:val="22"/>
                <w:lang w:eastAsia="ja-JP"/>
              </w:rPr>
              <w:t>udget should be included in the reporting items. This may complement the understanding of the status of resource mobilization.</w:t>
            </w:r>
          </w:p>
          <w:p w14:paraId="530051C3" w14:textId="1423896D" w:rsidR="00A95684" w:rsidRPr="004A0846" w:rsidRDefault="00A95684" w:rsidP="00A95684">
            <w:pPr>
              <w:pStyle w:val="af"/>
              <w:suppressLineNumbers/>
              <w:suppressAutoHyphens/>
              <w:adjustRightInd w:val="0"/>
              <w:snapToGrid w:val="0"/>
              <w:ind w:left="360"/>
              <w:contextualSpacing w:val="0"/>
              <w:rPr>
                <w:kern w:val="22"/>
                <w:sz w:val="22"/>
                <w:szCs w:val="22"/>
                <w:lang w:eastAsia="ja-JP"/>
              </w:rPr>
            </w:pPr>
          </w:p>
        </w:tc>
      </w:tr>
      <w:tr w:rsidR="00F122C1" w:rsidRPr="00B61340" w14:paraId="24DB3F17" w14:textId="77777777" w:rsidTr="00D3167F">
        <w:tc>
          <w:tcPr>
            <w:tcW w:w="1710" w:type="dxa"/>
          </w:tcPr>
          <w:p w14:paraId="0F52FA70" w14:textId="26CA3417" w:rsidR="00F122C1" w:rsidRPr="004A0846" w:rsidRDefault="00F122C1" w:rsidP="00894810">
            <w:pPr>
              <w:pStyle w:val="af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2</w:t>
            </w:r>
          </w:p>
        </w:tc>
        <w:tc>
          <w:tcPr>
            <w:tcW w:w="7830" w:type="dxa"/>
          </w:tcPr>
          <w:p w14:paraId="5EDD18D1" w14:textId="77777777" w:rsidR="00D04CE3" w:rsidRDefault="00A95684" w:rsidP="00D04CE3">
            <w:pPr>
              <w:pStyle w:val="af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rFonts w:eastAsia="游明朝" w:hint="eastAsia"/>
                <w:kern w:val="22"/>
                <w:sz w:val="22"/>
                <w:szCs w:val="22"/>
                <w:lang w:eastAsia="ja-JP"/>
              </w:rPr>
            </w:pPr>
            <w:r>
              <w:rPr>
                <w:kern w:val="22"/>
                <w:sz w:val="22"/>
                <w:szCs w:val="22"/>
                <w:lang w:eastAsia="ja-JP"/>
              </w:rPr>
              <w:t xml:space="preserve"> </w:t>
            </w:r>
            <w:r w:rsidR="00D04CE3">
              <w:rPr>
                <w:kern w:val="22"/>
                <w:sz w:val="22"/>
                <w:szCs w:val="22"/>
                <w:lang w:eastAsia="ja-JP"/>
              </w:rPr>
              <w:t>(p</w:t>
            </w:r>
            <w:r w:rsidR="00D04CE3" w:rsidRPr="00D04CE3">
              <w:rPr>
                <w:kern w:val="22"/>
                <w:sz w:val="22"/>
                <w:szCs w:val="22"/>
                <w:lang w:eastAsia="ja-JP"/>
              </w:rPr>
              <w:t>ara 11</w:t>
            </w:r>
            <w:r w:rsidR="00D04CE3">
              <w:rPr>
                <w:kern w:val="22"/>
                <w:sz w:val="22"/>
                <w:szCs w:val="22"/>
                <w:lang w:eastAsia="ja-JP"/>
              </w:rPr>
              <w:t xml:space="preserve">) </w:t>
            </w:r>
            <w:r w:rsidR="00D04CE3" w:rsidRPr="00D04CE3">
              <w:rPr>
                <w:kern w:val="22"/>
                <w:sz w:val="22"/>
                <w:szCs w:val="22"/>
                <w:lang w:eastAsia="ja-JP"/>
              </w:rPr>
              <w:t xml:space="preserve"> It should be clearly </w:t>
            </w:r>
            <w:r w:rsidR="00D04CE3">
              <w:rPr>
                <w:kern w:val="22"/>
                <w:sz w:val="22"/>
                <w:szCs w:val="22"/>
                <w:lang w:eastAsia="ja-JP"/>
              </w:rPr>
              <w:t>mentioned</w:t>
            </w:r>
            <w:r w:rsidR="00D04CE3" w:rsidRPr="00D04CE3">
              <w:rPr>
                <w:kern w:val="22"/>
                <w:sz w:val="22"/>
                <w:szCs w:val="22"/>
                <w:lang w:eastAsia="ja-JP"/>
              </w:rPr>
              <w:t xml:space="preserve"> that the </w:t>
            </w:r>
            <w:r w:rsidR="00D04CE3">
              <w:rPr>
                <w:kern w:val="22"/>
                <w:sz w:val="22"/>
                <w:szCs w:val="22"/>
                <w:lang w:eastAsia="ja-JP"/>
              </w:rPr>
              <w:t>“</w:t>
            </w:r>
            <w:r w:rsidR="00D04CE3" w:rsidRPr="00D04CE3">
              <w:rPr>
                <w:kern w:val="22"/>
                <w:sz w:val="22"/>
                <w:szCs w:val="22"/>
                <w:lang w:eastAsia="ja-JP"/>
              </w:rPr>
              <w:t>expected impact</w:t>
            </w:r>
            <w:r w:rsidR="00D04CE3">
              <w:rPr>
                <w:kern w:val="22"/>
                <w:sz w:val="22"/>
                <w:szCs w:val="22"/>
                <w:lang w:eastAsia="ja-JP"/>
              </w:rPr>
              <w:t>”</w:t>
            </w:r>
            <w:r w:rsidR="00D04CE3" w:rsidRPr="00D04CE3">
              <w:rPr>
                <w:kern w:val="22"/>
                <w:sz w:val="22"/>
                <w:szCs w:val="22"/>
                <w:lang w:eastAsia="ja-JP"/>
              </w:rPr>
              <w:t xml:space="preserve"> includes not only reduced negative impact but also positive contribution. Also, please specify whether both the impact of doing nothing (BAU) and the impact of making a commitment should be written.</w:t>
            </w:r>
          </w:p>
          <w:p w14:paraId="7D5E471E" w14:textId="3C936E2F" w:rsidR="00A95684" w:rsidRPr="00A95684" w:rsidRDefault="00A95684" w:rsidP="00D04CE3">
            <w:pPr>
              <w:pStyle w:val="af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rFonts w:eastAsia="游明朝" w:hint="eastAsia"/>
                <w:kern w:val="22"/>
                <w:sz w:val="22"/>
                <w:szCs w:val="22"/>
                <w:lang w:eastAsia="ja-JP"/>
              </w:rPr>
            </w:pPr>
            <w:bookmarkStart w:id="0" w:name="_GoBack"/>
            <w:bookmarkEnd w:id="0"/>
          </w:p>
        </w:tc>
      </w:tr>
      <w:tr w:rsidR="00F122C1" w:rsidRPr="00B61340" w14:paraId="46F5F04D" w14:textId="77777777" w:rsidTr="00D3167F">
        <w:tc>
          <w:tcPr>
            <w:tcW w:w="1710" w:type="dxa"/>
          </w:tcPr>
          <w:p w14:paraId="0A100C22" w14:textId="1FE5AC45" w:rsidR="00F122C1" w:rsidRPr="004A0846" w:rsidRDefault="00F122C1" w:rsidP="00894810">
            <w:pPr>
              <w:pStyle w:val="af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 w:val="22"/>
                <w:szCs w:val="22"/>
              </w:rPr>
            </w:pPr>
            <w:r w:rsidRPr="004A0846">
              <w:rPr>
                <w:bCs/>
                <w:kern w:val="22"/>
                <w:sz w:val="22"/>
                <w:szCs w:val="22"/>
              </w:rPr>
              <w:t>3</w:t>
            </w:r>
          </w:p>
        </w:tc>
        <w:tc>
          <w:tcPr>
            <w:tcW w:w="7830" w:type="dxa"/>
          </w:tcPr>
          <w:p w14:paraId="24AE1F5D" w14:textId="0CEC8228" w:rsidR="00BA327C" w:rsidRPr="00A95684" w:rsidRDefault="00CD4BF2">
            <w:pPr>
              <w:suppressLineNumbers/>
              <w:suppressAutoHyphens/>
              <w:adjustRightInd w:val="0"/>
              <w:snapToGrid w:val="0"/>
              <w:rPr>
                <w:rFonts w:eastAsia="游明朝"/>
                <w:kern w:val="22"/>
                <w:sz w:val="22"/>
                <w:szCs w:val="22"/>
                <w:lang w:val="en-GB" w:eastAsia="ja-JP"/>
              </w:rPr>
            </w:pPr>
            <w:r>
              <w:rPr>
                <w:rFonts w:eastAsia="游明朝" w:hint="eastAsia"/>
                <w:kern w:val="22"/>
                <w:sz w:val="22"/>
                <w:szCs w:val="22"/>
                <w:lang w:val="en-GB" w:eastAsia="ja-JP"/>
              </w:rPr>
              <w:t>-</w:t>
            </w:r>
          </w:p>
        </w:tc>
      </w:tr>
    </w:tbl>
    <w:p w14:paraId="48DAF900" w14:textId="6E073AB4" w:rsidR="00B51493" w:rsidRDefault="00B51493" w:rsidP="00D3167F">
      <w:pPr>
        <w:jc w:val="both"/>
      </w:pPr>
    </w:p>
    <w:sectPr w:rsidR="00B51493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AAB68" w14:textId="77777777" w:rsidR="003D5DC2" w:rsidRDefault="003D5DC2" w:rsidP="00AE7B5B">
      <w:r>
        <w:separator/>
      </w:r>
    </w:p>
  </w:endnote>
  <w:endnote w:type="continuationSeparator" w:id="0">
    <w:p w14:paraId="0F739BC5" w14:textId="77777777" w:rsidR="003D5DC2" w:rsidRDefault="003D5DC2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B17D7" w14:textId="77777777" w:rsidR="003D5DC2" w:rsidRDefault="003D5DC2" w:rsidP="00AE7B5B">
      <w:r>
        <w:separator/>
      </w:r>
    </w:p>
  </w:footnote>
  <w:footnote w:type="continuationSeparator" w:id="0">
    <w:p w14:paraId="25484F68" w14:textId="77777777" w:rsidR="003D5DC2" w:rsidRDefault="003D5DC2" w:rsidP="00AE7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E6C32"/>
    <w:multiLevelType w:val="hybridMultilevel"/>
    <w:tmpl w:val="6292E6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C6535"/>
    <w:multiLevelType w:val="hybridMultilevel"/>
    <w:tmpl w:val="0D283762"/>
    <w:lvl w:ilvl="0" w:tplc="A7669606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CA"/>
    <w:rsid w:val="000A5FD2"/>
    <w:rsid w:val="000B252D"/>
    <w:rsid w:val="000E2697"/>
    <w:rsid w:val="00127865"/>
    <w:rsid w:val="00130A14"/>
    <w:rsid w:val="0016656C"/>
    <w:rsid w:val="00197790"/>
    <w:rsid w:val="001D584A"/>
    <w:rsid w:val="00236608"/>
    <w:rsid w:val="00272333"/>
    <w:rsid w:val="002C4913"/>
    <w:rsid w:val="002F4F7C"/>
    <w:rsid w:val="002F7B9E"/>
    <w:rsid w:val="00385D8C"/>
    <w:rsid w:val="003D5DC2"/>
    <w:rsid w:val="00414EDF"/>
    <w:rsid w:val="00466D27"/>
    <w:rsid w:val="004A0846"/>
    <w:rsid w:val="004B7597"/>
    <w:rsid w:val="0053632F"/>
    <w:rsid w:val="005558F7"/>
    <w:rsid w:val="005E4E26"/>
    <w:rsid w:val="0061064B"/>
    <w:rsid w:val="00647F74"/>
    <w:rsid w:val="006A6E1A"/>
    <w:rsid w:val="006C085B"/>
    <w:rsid w:val="006D1EEB"/>
    <w:rsid w:val="006D2FED"/>
    <w:rsid w:val="00757EBE"/>
    <w:rsid w:val="0077704D"/>
    <w:rsid w:val="007850A4"/>
    <w:rsid w:val="00801929"/>
    <w:rsid w:val="00894ADC"/>
    <w:rsid w:val="008A6047"/>
    <w:rsid w:val="008E7015"/>
    <w:rsid w:val="00936DB5"/>
    <w:rsid w:val="009A6B72"/>
    <w:rsid w:val="009B2182"/>
    <w:rsid w:val="009C30DA"/>
    <w:rsid w:val="009D7867"/>
    <w:rsid w:val="00A84C53"/>
    <w:rsid w:val="00A95684"/>
    <w:rsid w:val="00AB2DD8"/>
    <w:rsid w:val="00AE7B5B"/>
    <w:rsid w:val="00AF4AD0"/>
    <w:rsid w:val="00B51493"/>
    <w:rsid w:val="00B66111"/>
    <w:rsid w:val="00BA327C"/>
    <w:rsid w:val="00BA619E"/>
    <w:rsid w:val="00CB02B6"/>
    <w:rsid w:val="00CD4640"/>
    <w:rsid w:val="00CD4BF2"/>
    <w:rsid w:val="00D00644"/>
    <w:rsid w:val="00D04CE3"/>
    <w:rsid w:val="00D3167F"/>
    <w:rsid w:val="00D72DC5"/>
    <w:rsid w:val="00D779BA"/>
    <w:rsid w:val="00D93CCA"/>
    <w:rsid w:val="00D94463"/>
    <w:rsid w:val="00DC44E4"/>
    <w:rsid w:val="00DC6EF5"/>
    <w:rsid w:val="00E2476B"/>
    <w:rsid w:val="00E676C7"/>
    <w:rsid w:val="00F122C1"/>
    <w:rsid w:val="00F67183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34F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4">
    <w:name w:val="annotation text"/>
    <w:basedOn w:val="a"/>
    <w:link w:val="a5"/>
    <w:uiPriority w:val="99"/>
    <w:semiHidden/>
    <w:unhideWhenUsed/>
    <w:rsid w:val="00236608"/>
    <w:rPr>
      <w:sz w:val="20"/>
      <w:szCs w:val="20"/>
    </w:rPr>
  </w:style>
  <w:style w:type="character" w:customStyle="1" w:styleId="a5">
    <w:name w:val="コメント文字列 (文字)"/>
    <w:basedOn w:val="a0"/>
    <w:link w:val="a4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rsid w:val="00236608"/>
    <w:rPr>
      <w:b/>
      <w:bCs/>
    </w:rPr>
  </w:style>
  <w:style w:type="character" w:customStyle="1" w:styleId="a7">
    <w:name w:val="コメント内容 (文字)"/>
    <w:basedOn w:val="a5"/>
    <w:link w:val="a6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a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ＭＳ 明朝" w:hAnsi="Arial" w:cs="Arial"/>
      <w:sz w:val="16"/>
    </w:rPr>
  </w:style>
  <w:style w:type="paragraph" w:styleId="a8">
    <w:name w:val="header"/>
    <w:basedOn w:val="a"/>
    <w:link w:val="a9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a9">
    <w:name w:val="ヘッダー (文字)"/>
    <w:basedOn w:val="a0"/>
    <w:link w:val="a8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footer"/>
    <w:basedOn w:val="a"/>
    <w:link w:val="ab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ab">
    <w:name w:val="フッター (文字)"/>
    <w:basedOn w:val="a0"/>
    <w:link w:val="aa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character" w:styleId="ae">
    <w:name w:val="annotation reference"/>
    <w:basedOn w:val="a0"/>
    <w:uiPriority w:val="99"/>
    <w:semiHidden/>
    <w:unhideWhenUsed/>
    <w:rsid w:val="002F7B9E"/>
    <w:rPr>
      <w:sz w:val="16"/>
      <w:szCs w:val="16"/>
    </w:rPr>
  </w:style>
  <w:style w:type="paragraph" w:styleId="af">
    <w:name w:val="List Paragraph"/>
    <w:basedOn w:val="a"/>
    <w:link w:val="af0"/>
    <w:uiPriority w:val="34"/>
    <w:qFormat/>
    <w:rsid w:val="007850A4"/>
    <w:pPr>
      <w:ind w:left="720"/>
      <w:contextualSpacing/>
    </w:pPr>
  </w:style>
  <w:style w:type="table" w:styleId="af1">
    <w:name w:val="Table Grid"/>
    <w:basedOn w:val="a1"/>
    <w:uiPriority w:val="59"/>
    <w:rsid w:val="00F122C1"/>
    <w:pPr>
      <w:spacing w:after="0" w:line="240" w:lineRule="auto"/>
    </w:pPr>
    <w:rPr>
      <w:rFonts w:eastAsiaTheme="minorEastAsia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リスト段落 (文字)"/>
    <w:basedOn w:val="a0"/>
    <w:link w:val="af"/>
    <w:uiPriority w:val="34"/>
    <w:qFormat/>
    <w:locked/>
    <w:rsid w:val="00F122C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4">
    <w:name w:val="annotation text"/>
    <w:basedOn w:val="a"/>
    <w:link w:val="a5"/>
    <w:uiPriority w:val="99"/>
    <w:semiHidden/>
    <w:unhideWhenUsed/>
    <w:rsid w:val="00236608"/>
    <w:rPr>
      <w:sz w:val="20"/>
      <w:szCs w:val="20"/>
    </w:rPr>
  </w:style>
  <w:style w:type="character" w:customStyle="1" w:styleId="a5">
    <w:name w:val="コメント文字列 (文字)"/>
    <w:basedOn w:val="a0"/>
    <w:link w:val="a4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rsid w:val="00236608"/>
    <w:rPr>
      <w:b/>
      <w:bCs/>
    </w:rPr>
  </w:style>
  <w:style w:type="character" w:customStyle="1" w:styleId="a7">
    <w:name w:val="コメント内容 (文字)"/>
    <w:basedOn w:val="a5"/>
    <w:link w:val="a6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a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ＭＳ 明朝" w:hAnsi="Arial" w:cs="Arial"/>
      <w:sz w:val="16"/>
    </w:rPr>
  </w:style>
  <w:style w:type="paragraph" w:styleId="a8">
    <w:name w:val="header"/>
    <w:basedOn w:val="a"/>
    <w:link w:val="a9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a9">
    <w:name w:val="ヘッダー (文字)"/>
    <w:basedOn w:val="a0"/>
    <w:link w:val="a8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footer"/>
    <w:basedOn w:val="a"/>
    <w:link w:val="ab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ab">
    <w:name w:val="フッター (文字)"/>
    <w:basedOn w:val="a0"/>
    <w:link w:val="aa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character" w:styleId="ae">
    <w:name w:val="annotation reference"/>
    <w:basedOn w:val="a0"/>
    <w:uiPriority w:val="99"/>
    <w:semiHidden/>
    <w:unhideWhenUsed/>
    <w:rsid w:val="002F7B9E"/>
    <w:rPr>
      <w:sz w:val="16"/>
      <w:szCs w:val="16"/>
    </w:rPr>
  </w:style>
  <w:style w:type="paragraph" w:styleId="af">
    <w:name w:val="List Paragraph"/>
    <w:basedOn w:val="a"/>
    <w:link w:val="af0"/>
    <w:uiPriority w:val="34"/>
    <w:qFormat/>
    <w:rsid w:val="007850A4"/>
    <w:pPr>
      <w:ind w:left="720"/>
      <w:contextualSpacing/>
    </w:pPr>
  </w:style>
  <w:style w:type="table" w:styleId="af1">
    <w:name w:val="Table Grid"/>
    <w:basedOn w:val="a1"/>
    <w:uiPriority w:val="59"/>
    <w:rsid w:val="00F122C1"/>
    <w:pPr>
      <w:spacing w:after="0" w:line="240" w:lineRule="auto"/>
    </w:pPr>
    <w:rPr>
      <w:rFonts w:eastAsiaTheme="minorEastAsia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リスト段落 (文字)"/>
    <w:basedOn w:val="a0"/>
    <w:link w:val="af"/>
    <w:uiPriority w:val="34"/>
    <w:qFormat/>
    <w:locked/>
    <w:rsid w:val="00F122C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1367C-A2A8-4661-BD22-905A5469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Windows ユーザー</cp:lastModifiedBy>
  <cp:revision>36</cp:revision>
  <dcterms:created xsi:type="dcterms:W3CDTF">2022-01-14T17:48:00Z</dcterms:created>
  <dcterms:modified xsi:type="dcterms:W3CDTF">2022-02-22T06:44:00Z</dcterms:modified>
</cp:coreProperties>
</file>