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34B17942" w14:textId="6E493602" w:rsidR="00236608" w:rsidRPr="00197790" w:rsidRDefault="00236608" w:rsidP="79E939F6">
      <w:pPr>
        <w:pStyle w:val="Default"/>
        <w:jc w:val="center"/>
        <w:rPr>
          <w:b/>
          <w:bCs/>
          <w:u w:val="single"/>
        </w:rPr>
      </w:pPr>
      <w:r w:rsidRPr="79E939F6">
        <w:rPr>
          <w:b/>
          <w:bCs/>
          <w:u w:val="single"/>
        </w:rPr>
        <w:t>TEMPLATE FOR COMMENTS</w:t>
      </w:r>
      <w:r w:rsidR="009A6B72" w:rsidRPr="79E939F6">
        <w:rPr>
          <w:b/>
          <w:bCs/>
          <w:u w:val="single"/>
        </w:rPr>
        <w:t xml:space="preserve">: </w:t>
      </w:r>
      <w:r w:rsidR="00DC44E4" w:rsidRPr="79E939F6">
        <w:rPr>
          <w:b/>
          <w:bCs/>
          <w:u w:val="single"/>
        </w:rPr>
        <w:t>Draft g</w:t>
      </w:r>
      <w:r w:rsidR="00E2476B" w:rsidRPr="79E939F6">
        <w:rPr>
          <w:b/>
          <w:bCs/>
          <w:u w:val="single"/>
        </w:rPr>
        <w:t xml:space="preserve">uidance for </w:t>
      </w:r>
      <w:r w:rsidR="000B252D" w:rsidRPr="79E939F6">
        <w:rPr>
          <w:b/>
          <w:bCs/>
          <w:u w:val="single"/>
        </w:rPr>
        <w:t xml:space="preserve">capturing commitments from actors other than national governments in the context of enhanced planning, monitoring, </w:t>
      </w:r>
      <w:proofErr w:type="gramStart"/>
      <w:r w:rsidR="000B252D" w:rsidRPr="79E939F6">
        <w:rPr>
          <w:b/>
          <w:bCs/>
          <w:u w:val="single"/>
        </w:rPr>
        <w:t>reporting</w:t>
      </w:r>
      <w:proofErr w:type="gramEnd"/>
      <w:r w:rsidR="000B252D" w:rsidRPr="79E939F6">
        <w:rPr>
          <w:b/>
          <w:bCs/>
          <w:u w:val="single"/>
        </w:rPr>
        <w:t xml:space="preserve"> and reviewing mechanisms </w:t>
      </w:r>
      <w:r w:rsidR="009A6B72" w:rsidRPr="79E939F6">
        <w:rPr>
          <w:b/>
          <w:bCs/>
          <w:u w:val="single"/>
        </w:rPr>
        <w:t>contained in CBD/SBI/3/11/ADD</w:t>
      </w:r>
      <w:r w:rsidR="00DC44E4" w:rsidRPr="79E939F6">
        <w:rPr>
          <w:b/>
          <w:bCs/>
          <w:u w:val="single"/>
        </w:rPr>
        <w:t xml:space="preserve"> </w:t>
      </w:r>
      <w:r w:rsidR="000B252D" w:rsidRPr="79E939F6">
        <w:rPr>
          <w:b/>
          <w:bCs/>
          <w:u w:val="single"/>
        </w:rPr>
        <w:t>6</w:t>
      </w:r>
    </w:p>
    <w:p w14:paraId="17859718" w14:textId="77777777" w:rsidR="00236608" w:rsidRPr="00532BBA" w:rsidRDefault="00236608" w:rsidP="006C085B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02"/>
      </w:tblGrid>
      <w:tr w:rsidR="00236608" w:rsidRPr="000C0B6C" w14:paraId="1FFC346E" w14:textId="77777777" w:rsidTr="2316C914">
        <w:trPr>
          <w:trHeight w:val="737"/>
        </w:trPr>
        <w:tc>
          <w:tcPr>
            <w:tcW w:w="9535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2316C914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2" w:type="dxa"/>
          </w:tcPr>
          <w:p w14:paraId="1B40A4A0" w14:textId="6884A3CF" w:rsidR="00AF4AD0" w:rsidRPr="000C0B6C" w:rsidRDefault="00DC44E4" w:rsidP="000B252D">
            <w:r>
              <w:t>Draft guidance for</w:t>
            </w:r>
            <w:r w:rsidR="000B252D">
              <w:t xml:space="preserve"> </w:t>
            </w:r>
            <w:r w:rsidR="000B252D" w:rsidRPr="00197790">
              <w:t xml:space="preserve">capturing commitments from actors other than national governments in the context of enhanced planning, monitoring, </w:t>
            </w:r>
            <w:proofErr w:type="gramStart"/>
            <w:r w:rsidR="000B252D" w:rsidRPr="00197790">
              <w:t>reporting</w:t>
            </w:r>
            <w:proofErr w:type="gramEnd"/>
            <w:r w:rsidR="000B252D" w:rsidRPr="00197790">
              <w:t xml:space="preserve"> and reviewing mechanisms </w:t>
            </w:r>
            <w:r w:rsidRPr="00197790">
              <w:t>contained in the documen</w:t>
            </w:r>
            <w:r>
              <w:t>t CBD/SBI/3/11/Add.</w:t>
            </w:r>
            <w:r w:rsidR="000B252D">
              <w:t>6</w:t>
            </w:r>
            <w:r>
              <w:t>, w</w:t>
            </w:r>
            <w:r w:rsidR="00385D8C">
              <w:t>hich includes a draft of</w:t>
            </w:r>
            <w:r w:rsidR="00757EBE">
              <w:t xml:space="preserve"> </w:t>
            </w:r>
            <w:r>
              <w:t xml:space="preserve">Annex </w:t>
            </w:r>
            <w:r w:rsidR="000B252D">
              <w:t>B</w:t>
            </w:r>
            <w:r w:rsidR="00FF1E02">
              <w:t xml:space="preserve"> to CBD/SBI/3/CRP.5.</w:t>
            </w:r>
            <w:r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2316C914">
        <w:trPr>
          <w:trHeight w:val="449"/>
        </w:trPr>
        <w:tc>
          <w:tcPr>
            <w:tcW w:w="9535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2316C914">
        <w:trPr>
          <w:trHeight w:val="270"/>
        </w:trPr>
        <w:tc>
          <w:tcPr>
            <w:tcW w:w="4133" w:type="dxa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02" w:type="dxa"/>
          </w:tcPr>
          <w:p w14:paraId="08B4F522" w14:textId="2853D930" w:rsidR="00236608" w:rsidRPr="000C0B6C" w:rsidRDefault="000134FA" w:rsidP="009A6B72">
            <w:r>
              <w:t>Bryant</w:t>
            </w:r>
          </w:p>
        </w:tc>
      </w:tr>
      <w:tr w:rsidR="00236608" w:rsidRPr="000C0B6C" w14:paraId="70478EC8" w14:textId="77777777" w:rsidTr="2316C914">
        <w:trPr>
          <w:trHeight w:val="270"/>
        </w:trPr>
        <w:tc>
          <w:tcPr>
            <w:tcW w:w="4133" w:type="dxa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02" w:type="dxa"/>
          </w:tcPr>
          <w:p w14:paraId="618617AF" w14:textId="0F6484A0" w:rsidR="00236608" w:rsidRPr="000C0B6C" w:rsidRDefault="000134FA" w:rsidP="009A6B72">
            <w:r>
              <w:t>Kirsty</w:t>
            </w:r>
          </w:p>
        </w:tc>
      </w:tr>
      <w:tr w:rsidR="00236608" w:rsidRPr="000C0B6C" w14:paraId="60004B01" w14:textId="77777777" w:rsidTr="2316C914">
        <w:trPr>
          <w:trHeight w:val="280"/>
        </w:trPr>
        <w:tc>
          <w:tcPr>
            <w:tcW w:w="4133" w:type="dxa"/>
          </w:tcPr>
          <w:p w14:paraId="043D7251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02" w:type="dxa"/>
          </w:tcPr>
          <w:p w14:paraId="44573104" w14:textId="0E776719" w:rsidR="00236608" w:rsidRPr="000C0B6C" w:rsidRDefault="000134FA" w:rsidP="009A6B72">
            <w:r>
              <w:t>UK</w:t>
            </w:r>
          </w:p>
        </w:tc>
      </w:tr>
      <w:tr w:rsidR="00236608" w:rsidRPr="000C0B6C" w14:paraId="41DAE210" w14:textId="77777777" w:rsidTr="2316C914">
        <w:trPr>
          <w:trHeight w:val="270"/>
        </w:trPr>
        <w:tc>
          <w:tcPr>
            <w:tcW w:w="4133" w:type="dxa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02" w:type="dxa"/>
          </w:tcPr>
          <w:p w14:paraId="6DC88D1F" w14:textId="6EFC02F7" w:rsidR="00236608" w:rsidRPr="000C0B6C" w:rsidRDefault="000134FA" w:rsidP="009A6B72">
            <w:r>
              <w:rPr>
                <w:rStyle w:val="normaltextrun"/>
                <w:color w:val="000000"/>
                <w:shd w:val="clear" w:color="auto" w:fill="FFFFFF"/>
              </w:rPr>
              <w:t>Department for Environment, Food &amp; Rural Affairs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36608" w:rsidRPr="000C0B6C" w14:paraId="19EAFF8D" w14:textId="77777777" w:rsidTr="2316C914">
        <w:trPr>
          <w:trHeight w:val="280"/>
        </w:trPr>
        <w:tc>
          <w:tcPr>
            <w:tcW w:w="4133" w:type="dxa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02" w:type="dxa"/>
          </w:tcPr>
          <w:p w14:paraId="1BEACDEF" w14:textId="2A6B292D" w:rsidR="00236608" w:rsidRPr="000C0B6C" w:rsidRDefault="000134FA" w:rsidP="009A6B72">
            <w:r>
              <w:t xml:space="preserve">2 </w:t>
            </w:r>
            <w:proofErr w:type="spellStart"/>
            <w:r>
              <w:t>Marsham</w:t>
            </w:r>
            <w:proofErr w:type="spellEnd"/>
            <w:r>
              <w:t xml:space="preserve"> Street</w:t>
            </w:r>
          </w:p>
        </w:tc>
      </w:tr>
      <w:tr w:rsidR="00236608" w:rsidRPr="000C0B6C" w14:paraId="3310BC30" w14:textId="77777777" w:rsidTr="2316C914">
        <w:trPr>
          <w:trHeight w:val="270"/>
        </w:trPr>
        <w:tc>
          <w:tcPr>
            <w:tcW w:w="4133" w:type="dxa"/>
          </w:tcPr>
          <w:p w14:paraId="675A80C3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02" w:type="dxa"/>
          </w:tcPr>
          <w:p w14:paraId="160AB00E" w14:textId="2CB85CF2" w:rsidR="00236608" w:rsidRPr="000C0B6C" w:rsidRDefault="000134FA" w:rsidP="009A6B72">
            <w:r>
              <w:t>London</w:t>
            </w:r>
          </w:p>
        </w:tc>
      </w:tr>
      <w:tr w:rsidR="00236608" w:rsidRPr="000C0B6C" w14:paraId="0303D967" w14:textId="77777777" w:rsidTr="2316C914">
        <w:trPr>
          <w:trHeight w:val="280"/>
        </w:trPr>
        <w:tc>
          <w:tcPr>
            <w:tcW w:w="4133" w:type="dxa"/>
          </w:tcPr>
          <w:p w14:paraId="241052A2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02" w:type="dxa"/>
          </w:tcPr>
          <w:p w14:paraId="213ED87C" w14:textId="11429B9E" w:rsidR="00236608" w:rsidRPr="000C0B6C" w:rsidRDefault="000134FA" w:rsidP="009A6B72">
            <w:r>
              <w:t>United Kingdom</w:t>
            </w:r>
          </w:p>
        </w:tc>
      </w:tr>
      <w:tr w:rsidR="00236608" w:rsidRPr="000C0B6C" w14:paraId="1112C88B" w14:textId="77777777" w:rsidTr="2316C914">
        <w:trPr>
          <w:trHeight w:val="270"/>
        </w:trPr>
        <w:tc>
          <w:tcPr>
            <w:tcW w:w="4133" w:type="dxa"/>
          </w:tcPr>
          <w:p w14:paraId="45B7FB6A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02" w:type="dxa"/>
          </w:tcPr>
          <w:p w14:paraId="3E34F7CA" w14:textId="6558B14A" w:rsidR="00236608" w:rsidRPr="000C0B6C" w:rsidRDefault="000134FA" w:rsidP="009A6B72">
            <w:r>
              <w:rPr>
                <w:rStyle w:val="normaltextrun"/>
                <w:color w:val="000000"/>
                <w:shd w:val="clear" w:color="auto" w:fill="FFFFFF"/>
              </w:rPr>
              <w:t>SW1P 4DF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36608" w:rsidRPr="000C0B6C" w14:paraId="64A916DC" w14:textId="77777777" w:rsidTr="2316C914">
        <w:trPr>
          <w:trHeight w:val="270"/>
        </w:trPr>
        <w:tc>
          <w:tcPr>
            <w:tcW w:w="4133" w:type="dxa"/>
          </w:tcPr>
          <w:p w14:paraId="18A42CE7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02" w:type="dxa"/>
          </w:tcPr>
          <w:p w14:paraId="6D5B5A6E" w14:textId="070D6589" w:rsidR="00236608" w:rsidRPr="000C0B6C" w:rsidRDefault="000134FA" w:rsidP="009A6B72">
            <w:r>
              <w:rPr>
                <w:rStyle w:val="normaltextrun"/>
                <w:color w:val="000000"/>
                <w:shd w:val="clear" w:color="auto" w:fill="FFFFFF"/>
              </w:rPr>
              <w:t>+44 7785 439444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236608" w:rsidRPr="000C0B6C" w14:paraId="7C74835B" w14:textId="77777777" w:rsidTr="2316C914">
        <w:trPr>
          <w:trHeight w:val="233"/>
        </w:trPr>
        <w:tc>
          <w:tcPr>
            <w:tcW w:w="4133" w:type="dxa"/>
          </w:tcPr>
          <w:p w14:paraId="45DEDB26" w14:textId="77777777" w:rsidR="00236608" w:rsidRPr="000C0B6C" w:rsidRDefault="00236608" w:rsidP="009A6B72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02" w:type="dxa"/>
          </w:tcPr>
          <w:p w14:paraId="118A29DB" w14:textId="57DDFB44" w:rsidR="00236608" w:rsidRPr="000C0B6C" w:rsidRDefault="000134FA" w:rsidP="009A6B72">
            <w:r>
              <w:rPr>
                <w:rStyle w:val="normaltextrun"/>
                <w:color w:val="000000"/>
                <w:shd w:val="clear" w:color="auto" w:fill="FFFFFF"/>
              </w:rPr>
              <w:t>Kirsty.bryant@defra.gov.uk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414EDF" w:rsidRPr="000C0B6C" w14:paraId="5BF8E06D" w14:textId="77777777" w:rsidTr="2316C914">
        <w:trPr>
          <w:trHeight w:val="35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0B436C45" w:rsidR="00414EDF" w:rsidRPr="00D779BA" w:rsidRDefault="00414EDF" w:rsidP="00414EDF">
            <w:pPr>
              <w:jc w:val="center"/>
              <w:rPr>
                <w:b/>
                <w:bCs/>
              </w:rPr>
            </w:pPr>
            <w:r w:rsidRPr="00D779BA">
              <w:rPr>
                <w:b/>
                <w:bCs/>
              </w:rPr>
              <w:t>Comments</w:t>
            </w:r>
          </w:p>
        </w:tc>
      </w:tr>
      <w:tr w:rsidR="00414EDF" w:rsidRPr="00571D50" w14:paraId="396AFF2B" w14:textId="77777777" w:rsidTr="2316C914">
        <w:trPr>
          <w:trHeight w:val="494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36A16" w14:textId="66B4EF8E" w:rsidR="00BE1591" w:rsidRPr="00571D50" w:rsidRDefault="00414EDF" w:rsidP="311AD425">
            <w:pPr>
              <w:rPr>
                <w:i/>
                <w:iCs/>
                <w:sz w:val="22"/>
                <w:szCs w:val="22"/>
              </w:rPr>
            </w:pPr>
            <w:r w:rsidRPr="00571D50">
              <w:rPr>
                <w:i/>
                <w:iCs/>
                <w:sz w:val="22"/>
                <w:szCs w:val="22"/>
              </w:rPr>
              <w:t xml:space="preserve">Please include </w:t>
            </w:r>
            <w:r w:rsidR="00F122C1" w:rsidRPr="00571D50">
              <w:rPr>
                <w:i/>
                <w:iCs/>
                <w:sz w:val="22"/>
                <w:szCs w:val="22"/>
              </w:rPr>
              <w:t xml:space="preserve">general </w:t>
            </w:r>
            <w:r w:rsidRPr="00571D50">
              <w:rPr>
                <w:i/>
                <w:iCs/>
                <w:sz w:val="22"/>
                <w:szCs w:val="22"/>
              </w:rPr>
              <w:t xml:space="preserve">comments </w:t>
            </w:r>
            <w:r w:rsidR="00F122C1" w:rsidRPr="00571D50">
              <w:rPr>
                <w:i/>
                <w:iCs/>
                <w:sz w:val="22"/>
                <w:szCs w:val="22"/>
              </w:rPr>
              <w:t>on</w:t>
            </w:r>
            <w:r w:rsidR="000B252D" w:rsidRPr="00571D50">
              <w:rPr>
                <w:i/>
                <w:iCs/>
                <w:sz w:val="22"/>
                <w:szCs w:val="22"/>
              </w:rPr>
              <w:t xml:space="preserve"> capturing commitments from actors other than national governments</w:t>
            </w:r>
            <w:r w:rsidR="00FF1E02" w:rsidRPr="00571D50">
              <w:rPr>
                <w:i/>
                <w:iCs/>
                <w:sz w:val="22"/>
                <w:szCs w:val="22"/>
              </w:rPr>
              <w:t>.</w:t>
            </w:r>
          </w:p>
          <w:p w14:paraId="2165C226" w14:textId="126FB244" w:rsidR="00757EBE" w:rsidRPr="000318B8" w:rsidRDefault="311AD425" w:rsidP="004503F9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  <w:lang w:val="en-GB"/>
              </w:rPr>
            </w:pPr>
            <w:r w:rsidRPr="000318B8">
              <w:rPr>
                <w:color w:val="000000" w:themeColor="text1"/>
                <w:sz w:val="22"/>
                <w:szCs w:val="22"/>
                <w:lang w:val="en-GB"/>
              </w:rPr>
              <w:t xml:space="preserve">We strongly agree that non-state actors should be involved in the </w:t>
            </w:r>
            <w:r w:rsidR="00573545" w:rsidRPr="000318B8">
              <w:rPr>
                <w:color w:val="000000" w:themeColor="text1"/>
                <w:sz w:val="22"/>
                <w:szCs w:val="22"/>
                <w:lang w:val="en-GB"/>
              </w:rPr>
              <w:t>delivery of the post-2020 global biodiversity framework.</w:t>
            </w:r>
            <w:r w:rsidRPr="000318B8">
              <w:rPr>
                <w:color w:val="000000" w:themeColor="text1"/>
                <w:sz w:val="22"/>
                <w:szCs w:val="22"/>
                <w:lang w:val="en-GB"/>
              </w:rPr>
              <w:t xml:space="preserve"> Greater visibility should be given to their commitments or planned actions, and the progress made in implementing them, so that their contributions can be understood, </w:t>
            </w:r>
            <w:r w:rsidR="00571D50" w:rsidRPr="000318B8">
              <w:rPr>
                <w:color w:val="000000" w:themeColor="text1"/>
                <w:sz w:val="22"/>
                <w:szCs w:val="22"/>
                <w:lang w:val="en-GB"/>
              </w:rPr>
              <w:t>acknowledged,</w:t>
            </w:r>
            <w:r w:rsidRPr="000318B8">
              <w:rPr>
                <w:color w:val="000000" w:themeColor="text1"/>
                <w:sz w:val="22"/>
                <w:szCs w:val="22"/>
                <w:lang w:val="en-GB"/>
              </w:rPr>
              <w:t xml:space="preserve"> and encouraged.</w:t>
            </w:r>
          </w:p>
          <w:p w14:paraId="6D81E545" w14:textId="77777777" w:rsidR="00BE1591" w:rsidRPr="000318B8" w:rsidRDefault="00BE1591" w:rsidP="311AD425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B87915" w14:textId="73ECB91C" w:rsidR="311AD425" w:rsidRPr="000318B8" w:rsidRDefault="00BC0B30" w:rsidP="00262408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Recogni</w:t>
            </w:r>
            <w:r w:rsidR="00571D50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ing</w:t>
            </w:r>
            <w:proofErr w:type="spellEnd"/>
            <w:r w:rsidR="00573545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 that non-state actors have no reporting obligations under CBD</w:t>
            </w:r>
            <w:r w:rsidR="00BE1591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, we would like </w:t>
            </w:r>
            <w:r w:rsidR="00573545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further </w:t>
            </w:r>
            <w:r w:rsidR="00BE1591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clarity on the overall purpose of this tool.</w:t>
            </w:r>
            <w:r w:rsidR="00573545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 We would see it as </w:t>
            </w:r>
            <w:r w:rsidR="00BE1591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a tool for promoting engagement of non-state actors and sharing information that could be used</w:t>
            </w:r>
            <w:r w:rsidR="00573545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 by Parties</w:t>
            </w:r>
            <w:r w:rsidR="00BE1591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 in </w:t>
            </w:r>
            <w:r w:rsidR="00573545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their </w:t>
            </w:r>
            <w:r w:rsidR="00BE1591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national reports. This information could </w:t>
            </w:r>
            <w:r w:rsidR="00573545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also </w:t>
            </w:r>
            <w:r w:rsidR="00BE1591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be used for a general analysis of non-state actors’ contributions overall – but could not be simply aggregated with </w:t>
            </w:r>
            <w:r w:rsidR="00573545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information in </w:t>
            </w:r>
            <w:r w:rsidR="00BE1591" w:rsidRPr="000318B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national reports. </w:t>
            </w:r>
          </w:p>
          <w:p w14:paraId="1F6AADDC" w14:textId="0F62BD3C" w:rsidR="311AD425" w:rsidRPr="000318B8" w:rsidRDefault="311AD425" w:rsidP="311AD425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5D113D" w14:textId="4C7814C7" w:rsidR="002C4913" w:rsidRPr="00571D50" w:rsidRDefault="00BE1591" w:rsidP="00FF1E02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  <w:lang w:val="en-GB"/>
              </w:rPr>
            </w:pPr>
            <w:r w:rsidRPr="2316C914">
              <w:rPr>
                <w:color w:val="000000" w:themeColor="text1"/>
                <w:sz w:val="22"/>
                <w:szCs w:val="22"/>
                <w:lang w:val="en-GB"/>
              </w:rPr>
              <w:t>New actions</w:t>
            </w:r>
            <w:r w:rsidR="008F6F41" w:rsidRPr="2316C914">
              <w:rPr>
                <w:color w:val="000000" w:themeColor="text1"/>
                <w:sz w:val="22"/>
                <w:szCs w:val="22"/>
                <w:lang w:val="en-GB"/>
              </w:rPr>
              <w:t>,</w:t>
            </w:r>
            <w:r w:rsidR="008F6F41" w:rsidRPr="2316C914">
              <w:rPr>
                <w:sz w:val="22"/>
                <w:szCs w:val="22"/>
                <w:lang w:val="en-GB"/>
              </w:rPr>
              <w:t xml:space="preserve"> requests to Parties and other organisations etc</w:t>
            </w:r>
            <w:r w:rsidRPr="2316C914">
              <w:rPr>
                <w:color w:val="000000" w:themeColor="text1"/>
                <w:sz w:val="22"/>
                <w:szCs w:val="22"/>
                <w:lang w:val="en-GB"/>
              </w:rPr>
              <w:t xml:space="preserve"> should be captured in the decision text </w:t>
            </w:r>
            <w:r w:rsidR="004503F9" w:rsidRPr="2316C914">
              <w:rPr>
                <w:color w:val="000000" w:themeColor="text1"/>
                <w:sz w:val="22"/>
                <w:szCs w:val="22"/>
                <w:lang w:val="en-GB"/>
              </w:rPr>
              <w:t xml:space="preserve">rather than the annex. Text and terminology should align with the decision text. </w:t>
            </w:r>
          </w:p>
        </w:tc>
      </w:tr>
      <w:tr w:rsidR="00F122C1" w:rsidRPr="00571D50" w14:paraId="258581A2" w14:textId="77777777" w:rsidTr="2316C914">
        <w:trPr>
          <w:trHeight w:val="422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58A3F" w14:textId="0D2B7110" w:rsidR="00F122C1" w:rsidRPr="00571D50" w:rsidRDefault="00F122C1" w:rsidP="002E19A9">
            <w:pPr>
              <w:rPr>
                <w:sz w:val="22"/>
                <w:szCs w:val="22"/>
              </w:rPr>
            </w:pPr>
            <w:r w:rsidRPr="00571D50">
              <w:rPr>
                <w:sz w:val="22"/>
                <w:szCs w:val="22"/>
              </w:rPr>
              <w:lastRenderedPageBreak/>
              <w:br w:type="page"/>
              <w:t xml:space="preserve">Please use the table below to provide any specific comments on the template: </w:t>
            </w:r>
          </w:p>
        </w:tc>
      </w:tr>
    </w:tbl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F122C1" w:rsidRPr="00571D50" w14:paraId="23F771EB" w14:textId="77777777" w:rsidTr="2316C914">
        <w:trPr>
          <w:trHeight w:val="35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9986FE" w14:textId="77777777" w:rsidR="00F122C1" w:rsidRPr="00571D50" w:rsidRDefault="00F122C1" w:rsidP="002E19A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 w:val="22"/>
                <w:szCs w:val="22"/>
              </w:rPr>
            </w:pPr>
            <w:r w:rsidRPr="00571D50">
              <w:rPr>
                <w:b/>
                <w:kern w:val="22"/>
                <w:sz w:val="22"/>
                <w:szCs w:val="22"/>
              </w:rPr>
              <w:t>Section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CB422" w14:textId="77777777" w:rsidR="00F122C1" w:rsidRPr="00571D50" w:rsidRDefault="00F122C1" w:rsidP="002E19A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 w:val="22"/>
                <w:szCs w:val="22"/>
              </w:rPr>
            </w:pPr>
            <w:r w:rsidRPr="00571D50">
              <w:rPr>
                <w:b/>
                <w:kern w:val="22"/>
                <w:sz w:val="22"/>
                <w:szCs w:val="22"/>
              </w:rPr>
              <w:t>Comment</w:t>
            </w:r>
          </w:p>
        </w:tc>
      </w:tr>
      <w:tr w:rsidR="00F122C1" w:rsidRPr="00571D50" w14:paraId="4E4D8779" w14:textId="77777777" w:rsidTr="2316C914">
        <w:tc>
          <w:tcPr>
            <w:tcW w:w="1710" w:type="dxa"/>
            <w:tcBorders>
              <w:top w:val="nil"/>
            </w:tcBorders>
          </w:tcPr>
          <w:p w14:paraId="66D9F7B2" w14:textId="77777777" w:rsidR="00F122C1" w:rsidRPr="00571D50" w:rsidRDefault="00F122C1" w:rsidP="002E19A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571D50">
              <w:rPr>
                <w:bCs/>
                <w:kern w:val="22"/>
                <w:sz w:val="22"/>
                <w:szCs w:val="22"/>
              </w:rPr>
              <w:t>1</w:t>
            </w:r>
          </w:p>
        </w:tc>
        <w:tc>
          <w:tcPr>
            <w:tcW w:w="7830" w:type="dxa"/>
            <w:tcBorders>
              <w:top w:val="nil"/>
            </w:tcBorders>
          </w:tcPr>
          <w:p w14:paraId="315264FE" w14:textId="126A5D94" w:rsidR="006C085B" w:rsidRPr="00571D50" w:rsidRDefault="00F122C1" w:rsidP="002E19A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i/>
                <w:iCs/>
                <w:kern w:val="22"/>
                <w:sz w:val="22"/>
                <w:szCs w:val="22"/>
              </w:rPr>
            </w:pPr>
            <w:r w:rsidRPr="00571D50">
              <w:rPr>
                <w:bCs/>
                <w:i/>
                <w:iCs/>
                <w:kern w:val="22"/>
                <w:sz w:val="22"/>
                <w:szCs w:val="22"/>
              </w:rPr>
              <w:t xml:space="preserve">Please provide comments on section 1 </w:t>
            </w:r>
            <w:r w:rsidR="00127865" w:rsidRPr="00571D50">
              <w:rPr>
                <w:bCs/>
                <w:i/>
                <w:iCs/>
                <w:kern w:val="22"/>
                <w:sz w:val="22"/>
                <w:szCs w:val="22"/>
              </w:rPr>
              <w:t xml:space="preserve">on </w:t>
            </w:r>
            <w:r w:rsidRPr="00571D50">
              <w:rPr>
                <w:bCs/>
                <w:i/>
                <w:iCs/>
                <w:kern w:val="22"/>
                <w:sz w:val="22"/>
                <w:szCs w:val="22"/>
              </w:rPr>
              <w:t>general information on the actor.</w:t>
            </w:r>
          </w:p>
          <w:p w14:paraId="24480A21" w14:textId="0B033E25" w:rsidR="00BE1591" w:rsidRPr="00571D50" w:rsidRDefault="00BE1591" w:rsidP="004503F9">
            <w:pPr>
              <w:pStyle w:val="ListParagraph"/>
              <w:numPr>
                <w:ilvl w:val="0"/>
                <w:numId w:val="4"/>
              </w:numPr>
              <w:suppressLineNumbers/>
              <w:suppressAutoHyphens/>
              <w:adjustRightInd w:val="0"/>
              <w:snapToGrid w:val="0"/>
              <w:contextualSpacing w:val="0"/>
              <w:rPr>
                <w:kern w:val="22"/>
                <w:sz w:val="22"/>
                <w:szCs w:val="22"/>
              </w:rPr>
            </w:pPr>
            <w:r w:rsidRPr="00571D50">
              <w:rPr>
                <w:kern w:val="22"/>
                <w:sz w:val="22"/>
                <w:szCs w:val="22"/>
              </w:rPr>
              <w:t xml:space="preserve">We have no specific comments here. </w:t>
            </w:r>
          </w:p>
          <w:p w14:paraId="530051C3" w14:textId="7B34665D" w:rsidR="00BE1591" w:rsidRPr="00571D50" w:rsidRDefault="00BE1591" w:rsidP="002E19A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571D50" w14:paraId="24DB3F17" w14:textId="77777777" w:rsidTr="2316C914">
        <w:tc>
          <w:tcPr>
            <w:tcW w:w="1710" w:type="dxa"/>
          </w:tcPr>
          <w:p w14:paraId="0F52FA70" w14:textId="77777777" w:rsidR="00F122C1" w:rsidRPr="00571D50" w:rsidRDefault="00F122C1" w:rsidP="002E19A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571D50">
              <w:rPr>
                <w:bCs/>
                <w:kern w:val="22"/>
                <w:sz w:val="22"/>
                <w:szCs w:val="22"/>
              </w:rPr>
              <w:t>2</w:t>
            </w:r>
          </w:p>
        </w:tc>
        <w:tc>
          <w:tcPr>
            <w:tcW w:w="7830" w:type="dxa"/>
          </w:tcPr>
          <w:p w14:paraId="3233A3AD" w14:textId="169FEC7B" w:rsidR="00757EBE" w:rsidRPr="00571D50" w:rsidRDefault="00F122C1" w:rsidP="002E19A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i/>
                <w:iCs/>
                <w:kern w:val="22"/>
                <w:sz w:val="22"/>
                <w:szCs w:val="22"/>
              </w:rPr>
            </w:pPr>
            <w:r w:rsidRPr="00571D50">
              <w:rPr>
                <w:bCs/>
                <w:i/>
                <w:iCs/>
                <w:kern w:val="22"/>
                <w:sz w:val="22"/>
                <w:szCs w:val="22"/>
              </w:rPr>
              <w:t>Please provide comments on section 2 which includes the section on specific commitments from actors other than national governments.</w:t>
            </w:r>
          </w:p>
          <w:p w14:paraId="466A1C2C" w14:textId="23F0DA0E" w:rsidR="004503F9" w:rsidRPr="004A6B02" w:rsidRDefault="00BE1591" w:rsidP="5B9D4AAE">
            <w:pPr>
              <w:pStyle w:val="ListParagraph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rPr>
                <w:rStyle w:val="normaltextrun"/>
                <w:sz w:val="22"/>
                <w:szCs w:val="22"/>
              </w:rPr>
            </w:pPr>
            <w:r w:rsidRPr="004A6B02">
              <w:rPr>
                <w:sz w:val="22"/>
                <w:szCs w:val="22"/>
              </w:rPr>
              <w:t>In general</w:t>
            </w:r>
            <w:r w:rsidR="003625F5" w:rsidRPr="004A6B02">
              <w:rPr>
                <w:sz w:val="22"/>
                <w:szCs w:val="22"/>
              </w:rPr>
              <w:t>,</w:t>
            </w:r>
            <w:r w:rsidRPr="004A6B02">
              <w:rPr>
                <w:sz w:val="22"/>
                <w:szCs w:val="22"/>
              </w:rPr>
              <w:t xml:space="preserve"> we think that there should be more positive language about engagement with non-state actors in this section, and that non-state actors should be encouraged to share information rather than using language that implies that </w:t>
            </w:r>
            <w:r w:rsidR="00573545" w:rsidRPr="004A6B02">
              <w:rPr>
                <w:sz w:val="22"/>
                <w:szCs w:val="22"/>
              </w:rPr>
              <w:t xml:space="preserve">this </w:t>
            </w:r>
            <w:r w:rsidRPr="004A6B02">
              <w:rPr>
                <w:sz w:val="22"/>
                <w:szCs w:val="22"/>
              </w:rPr>
              <w:t xml:space="preserve">is a reporting requirement. </w:t>
            </w:r>
            <w:r w:rsidR="004503F9" w:rsidRPr="004A6B02">
              <w:rPr>
                <w:sz w:val="22"/>
                <w:szCs w:val="22"/>
              </w:rPr>
              <w:t>For example, s</w:t>
            </w:r>
            <w:r w:rsidR="004503F9"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pecific edits to text could include: </w:t>
            </w:r>
          </w:p>
          <w:p w14:paraId="4F8A4A6C" w14:textId="473C6E13" w:rsidR="00BE1591" w:rsidRPr="004A6B02" w:rsidRDefault="004503F9" w:rsidP="2F16A4D4">
            <w:pPr>
              <w:pStyle w:val="ListParagraph"/>
              <w:suppressLineNumbers/>
              <w:suppressAutoHyphens/>
              <w:adjustRightInd w:val="0"/>
              <w:snapToGrid w:val="0"/>
              <w:ind w:left="1440"/>
              <w:rPr>
                <w:kern w:val="22"/>
                <w:sz w:val="22"/>
                <w:szCs w:val="22"/>
              </w:rPr>
            </w:pPr>
            <w:r w:rsidRPr="004A6B02">
              <w:rPr>
                <w:strike/>
                <w:color w:val="4472C4" w:themeColor="accent1"/>
                <w:kern w:val="22"/>
                <w:sz w:val="22"/>
                <w:szCs w:val="22"/>
              </w:rPr>
              <w:t>However, there could be risks emerging from greenwashing and negative influencing on the intergovernmental process.</w:t>
            </w:r>
            <w:r w:rsidRPr="004A6B02">
              <w:rPr>
                <w:color w:val="4472C4" w:themeColor="accent1"/>
                <w:kern w:val="22"/>
                <w:sz w:val="22"/>
                <w:szCs w:val="22"/>
              </w:rPr>
              <w:t xml:space="preserve"> </w:t>
            </w:r>
            <w:r w:rsidRPr="004A6B02">
              <w:rPr>
                <w:kern w:val="22"/>
                <w:sz w:val="22"/>
                <w:szCs w:val="22"/>
              </w:rPr>
              <w:t xml:space="preserve">To </w:t>
            </w:r>
            <w:r w:rsidRPr="004A6B02">
              <w:rPr>
                <w:strike/>
                <w:color w:val="4472C4" w:themeColor="accent1"/>
                <w:kern w:val="22"/>
                <w:sz w:val="22"/>
                <w:szCs w:val="22"/>
              </w:rPr>
              <w:t>counter these risks and</w:t>
            </w:r>
            <w:r w:rsidRPr="004A6B02">
              <w:rPr>
                <w:color w:val="4472C4" w:themeColor="accent1"/>
                <w:kern w:val="22"/>
                <w:sz w:val="22"/>
                <w:szCs w:val="22"/>
              </w:rPr>
              <w:t xml:space="preserve"> </w:t>
            </w:r>
            <w:r w:rsidRPr="004A6B02">
              <w:rPr>
                <w:kern w:val="22"/>
                <w:sz w:val="22"/>
                <w:szCs w:val="22"/>
              </w:rPr>
              <w:t xml:space="preserve">enhance accountability and transparency, </w:t>
            </w:r>
            <w:r w:rsidRPr="004A6B02">
              <w:rPr>
                <w:color w:val="4472C4" w:themeColor="accent1"/>
                <w:kern w:val="22"/>
                <w:sz w:val="22"/>
                <w:szCs w:val="22"/>
                <w:u w:val="single"/>
              </w:rPr>
              <w:t xml:space="preserve">and provide </w:t>
            </w:r>
            <w:r w:rsidR="008F6F41" w:rsidRPr="004A6B02">
              <w:rPr>
                <w:color w:val="4472C4" w:themeColor="accent1"/>
                <w:kern w:val="22"/>
                <w:sz w:val="22"/>
                <w:szCs w:val="22"/>
                <w:u w:val="single"/>
              </w:rPr>
              <w:t xml:space="preserve">greater </w:t>
            </w:r>
            <w:r w:rsidRPr="004A6B02">
              <w:rPr>
                <w:color w:val="4472C4" w:themeColor="accent1"/>
                <w:kern w:val="22"/>
                <w:sz w:val="22"/>
                <w:szCs w:val="22"/>
                <w:u w:val="single"/>
              </w:rPr>
              <w:t>visibility and encouragement,</w:t>
            </w:r>
            <w:r w:rsidRPr="004A6B02">
              <w:rPr>
                <w:color w:val="4472C4" w:themeColor="accent1"/>
                <w:kern w:val="22"/>
                <w:sz w:val="22"/>
                <w:szCs w:val="22"/>
              </w:rPr>
              <w:t xml:space="preserve"> </w:t>
            </w:r>
            <w:r w:rsidRPr="004A6B02">
              <w:rPr>
                <w:kern w:val="22"/>
                <w:sz w:val="22"/>
                <w:szCs w:val="22"/>
              </w:rPr>
              <w:t>commitments from actors other than national Governments should be aligned with the post-2020 global biodiversity framework.</w:t>
            </w:r>
          </w:p>
          <w:p w14:paraId="25FC86AC" w14:textId="77777777" w:rsidR="00262408" w:rsidRPr="004A6B02" w:rsidRDefault="00262408" w:rsidP="00262408">
            <w:pPr>
              <w:pStyle w:val="ListParagraph"/>
              <w:suppressLineNumbers/>
              <w:suppressAutoHyphens/>
              <w:adjustRightInd w:val="0"/>
              <w:snapToGrid w:val="0"/>
              <w:ind w:left="1440"/>
              <w:contextualSpacing w:val="0"/>
              <w:rPr>
                <w:kern w:val="22"/>
                <w:sz w:val="22"/>
                <w:szCs w:val="22"/>
              </w:rPr>
            </w:pPr>
          </w:p>
          <w:p w14:paraId="1CDA714F" w14:textId="2FCDC530" w:rsidR="00246858" w:rsidRPr="004A6B02" w:rsidRDefault="00246858" w:rsidP="73EC0285">
            <w:pPr>
              <w:pStyle w:val="ListParagraph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rPr>
                <w:rStyle w:val="normaltextrun"/>
                <w:sz w:val="22"/>
                <w:szCs w:val="22"/>
              </w:rPr>
            </w:pPr>
            <w:r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We would like to seek clarification on the use of the phrase </w:t>
            </w:r>
            <w:r w:rsidR="008E422B"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‘</w:t>
            </w:r>
            <w:r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actors other than national governments</w:t>
            </w:r>
            <w:r w:rsidR="008E422B"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’</w:t>
            </w:r>
            <w:r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here. The </w:t>
            </w:r>
            <w:r w:rsidRPr="2316C914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L document (L-15)</w:t>
            </w:r>
            <w:r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currently refers to </w:t>
            </w:r>
            <w:r w:rsidR="008E422B"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‘</w:t>
            </w:r>
            <w:r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non-state </w:t>
            </w:r>
            <w:proofErr w:type="gramStart"/>
            <w:r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actors</w:t>
            </w:r>
            <w:r w:rsidR="008E422B"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’</w:t>
            </w:r>
            <w:proofErr w:type="gramEnd"/>
            <w:r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. The Sharm el-Sheikh to Kunming Action Agenda for Nature and People refers to </w:t>
            </w:r>
            <w:r w:rsidR="008E422B"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‘</w:t>
            </w:r>
            <w:r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sub and non-state actors</w:t>
            </w:r>
            <w:r w:rsidR="008E422B"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’</w:t>
            </w:r>
            <w:r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– terminology should remain consistent across this guidance. We would like to ensure that this language does not have unintended consequences for sub-national governments. </w:t>
            </w:r>
            <w:r w:rsidR="008F6F41" w:rsidRPr="2316C914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For example, sub-national governments in the UK are full partners in</w:t>
            </w:r>
            <w:r w:rsidR="004A6B02" w:rsidRPr="2316C914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the</w:t>
            </w:r>
            <w:r w:rsidR="008F6F41" w:rsidRPr="2316C914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implementation of the Convention and report through the National Report.</w:t>
            </w:r>
            <w:r w:rsidR="008F6F41" w:rsidRPr="004A6B02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14:paraId="2FF4CDDD" w14:textId="77777777" w:rsidR="003625F5" w:rsidRPr="00246858" w:rsidRDefault="003625F5" w:rsidP="00246858">
            <w:pPr>
              <w:pStyle w:val="ListParagraph"/>
              <w:suppressLineNumbers/>
              <w:suppressAutoHyphens/>
              <w:adjustRightInd w:val="0"/>
              <w:snapToGrid w:val="0"/>
              <w:contextualSpacing w:val="0"/>
              <w:rPr>
                <w:rStyle w:val="normaltextrun"/>
                <w:sz w:val="22"/>
                <w:szCs w:val="22"/>
              </w:rPr>
            </w:pPr>
          </w:p>
          <w:p w14:paraId="366D5EE4" w14:textId="54FC12B7" w:rsidR="004503F9" w:rsidRPr="004A6B02" w:rsidRDefault="004503F9" w:rsidP="49FD118A">
            <w:pPr>
              <w:pStyle w:val="ListParagraph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rPr>
                <w:rStyle w:val="normaltextrun"/>
                <w:color w:val="000000"/>
                <w:sz w:val="22"/>
                <w:szCs w:val="22"/>
              </w:rPr>
            </w:pPr>
            <w:r w:rsidRPr="004A6B02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There are potential issues of double counting especially if this also includes sub-national governments. </w:t>
            </w:r>
            <w:r w:rsidR="008A4BE4" w:rsidRPr="004A6B02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Parties may wish to include contributions from</w:t>
            </w:r>
            <w:r w:rsidRPr="004A6B02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 sub-national governments, as well as contributions by voluntary and private sector partners within national reports</w:t>
            </w:r>
            <w:r w:rsidR="00485EDD" w:rsidRPr="004A6B02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573545" w:rsidRPr="004A6B02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 where appropriate</w:t>
            </w:r>
            <w:r w:rsidRPr="004A6B02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. The platform could be used by Parties to collect information about </w:t>
            </w:r>
            <w:r w:rsidR="00573545" w:rsidRPr="004A6B02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relevant </w:t>
            </w:r>
            <w:r w:rsidRPr="004A6B02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non-state actors</w:t>
            </w:r>
            <w:r w:rsidR="71DBBFBD" w:rsidRPr="004A6B02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4A6B02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 xml:space="preserve"> contributions</w:t>
            </w:r>
            <w:r w:rsidR="646FFB4C" w:rsidRPr="004A6B02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4E76506C" w14:textId="77777777" w:rsidR="00262408" w:rsidRPr="004A6B02" w:rsidRDefault="00262408" w:rsidP="00262408">
            <w:pPr>
              <w:suppressLineNumbers/>
              <w:suppressAutoHyphens/>
              <w:adjustRightInd w:val="0"/>
              <w:snapToGrid w:val="0"/>
              <w:rPr>
                <w:rStyle w:val="normaltextrun"/>
                <w:color w:val="000000"/>
                <w:sz w:val="22"/>
                <w:szCs w:val="22"/>
              </w:rPr>
            </w:pPr>
          </w:p>
          <w:p w14:paraId="7E424A0A" w14:textId="1BEE591A" w:rsidR="00BE1591" w:rsidRPr="004A6B02" w:rsidRDefault="578C7887" w:rsidP="6605AAD9">
            <w:pPr>
              <w:pStyle w:val="ListParagraph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We would like further clarification on the expected timescales </w:t>
            </w:r>
            <w:r w:rsidR="16167423"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for the development </w:t>
            </w:r>
            <w:r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of the metrics, guidelines and templates mentioned in</w:t>
            </w:r>
            <w:r w:rsidR="28DD652A"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sections 9a, 9b and 10 of this </w:t>
            </w:r>
            <w:bookmarkStart w:id="0" w:name="_Int_X14a1Iij"/>
            <w:proofErr w:type="gramStart"/>
            <w:r w:rsidR="28DD652A"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annex</w:t>
            </w:r>
            <w:bookmarkEnd w:id="0"/>
            <w:proofErr w:type="gramEnd"/>
            <w:r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4A6B02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42C4E90" w14:textId="77777777" w:rsidR="00262408" w:rsidRPr="004A6B02" w:rsidRDefault="00262408" w:rsidP="00262408">
            <w:pPr>
              <w:suppressLineNumbers/>
              <w:suppressAutoHyphens/>
              <w:adjustRightInd w:val="0"/>
              <w:snapToGrid w:val="0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</w:p>
          <w:p w14:paraId="236525AD" w14:textId="629B2106" w:rsidR="00BE1591" w:rsidRPr="004A6B02" w:rsidRDefault="00BE1591" w:rsidP="2F16A4D4">
            <w:pPr>
              <w:pStyle w:val="ListParagraph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We </w:t>
            </w:r>
            <w:r w:rsidR="00B60F72"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do not see the need for </w:t>
            </w:r>
            <w:r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a tight one-year timeframe for submission for a voluntary </w:t>
            </w:r>
            <w:r w:rsidR="00B60F72"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information sharing </w:t>
            </w:r>
            <w:r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process</w:t>
            </w:r>
            <w:r w:rsidR="000B0924"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A6B02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considering the burden this would create.</w:t>
            </w:r>
            <w:r w:rsidRPr="004A6B02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4536BA56" w:rsidRPr="004A6B02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We would expect the platform to be open for additional inputs at any time, though the secretariat may publish a deadline by which any information in the platform would be extracted to be used in a specific analysis</w:t>
            </w:r>
            <w:r w:rsidR="000B0924" w:rsidRPr="004A6B02">
              <w:rPr>
                <w:rStyle w:val="eop"/>
                <w:color w:val="000000" w:themeColor="text1"/>
                <w:sz w:val="22"/>
                <w:szCs w:val="22"/>
              </w:rPr>
              <w:t xml:space="preserve"> </w:t>
            </w:r>
            <w:r w:rsidR="4536BA56" w:rsidRPr="004A6B02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such as an analysis of non-state actor contributions which could be considered at SBI meeting</w:t>
            </w:r>
            <w:r w:rsidR="00B60F72" w:rsidRPr="004A6B02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 xml:space="preserve">s </w:t>
            </w:r>
            <w:r w:rsidR="00B60F72" w:rsidRPr="2316C914">
              <w:rPr>
                <w:rStyle w:val="eop"/>
                <w:sz w:val="22"/>
                <w:szCs w:val="22"/>
                <w:shd w:val="clear" w:color="auto" w:fill="FFFFFF"/>
              </w:rPr>
              <w:t xml:space="preserve">and contribute to national reports and global </w:t>
            </w:r>
            <w:proofErr w:type="spellStart"/>
            <w:r w:rsidR="00B60F72" w:rsidRPr="2316C914">
              <w:rPr>
                <w:rStyle w:val="eop"/>
                <w:sz w:val="22"/>
                <w:szCs w:val="22"/>
                <w:shd w:val="clear" w:color="auto" w:fill="FFFFFF"/>
              </w:rPr>
              <w:t>stocktakes</w:t>
            </w:r>
            <w:proofErr w:type="spellEnd"/>
            <w:r w:rsidR="4536BA56" w:rsidRPr="004A6B02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60B740D6" w14:textId="77777777" w:rsidR="00262408" w:rsidRPr="00571D50" w:rsidRDefault="00262408" w:rsidP="00262408">
            <w:pPr>
              <w:suppressLineNumbers/>
              <w:suppressAutoHyphens/>
              <w:adjustRightInd w:val="0"/>
              <w:snapToGrid w:val="0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</w:p>
          <w:p w14:paraId="7D4A33AF" w14:textId="0D0BE861" w:rsidR="00BE1591" w:rsidRPr="00571D50" w:rsidRDefault="578C7887" w:rsidP="6605AAD9">
            <w:pPr>
              <w:pStyle w:val="ListParagraph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571D50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We would like further clarification on the coalitions of actors mentioned</w:t>
            </w:r>
            <w:r w:rsidR="5967AAD9" w:rsidRPr="00571D50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in sections 9a and 10 of this </w:t>
            </w:r>
            <w:bookmarkStart w:id="1" w:name="_Int_8lpNF8Hv"/>
            <w:proofErr w:type="gramStart"/>
            <w:r w:rsidR="5967AAD9" w:rsidRPr="00571D50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annex</w:t>
            </w:r>
            <w:bookmarkEnd w:id="1"/>
            <w:proofErr w:type="gramEnd"/>
            <w:r w:rsidRPr="00571D50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. </w:t>
            </w:r>
            <w:r w:rsidRPr="00571D50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1E5A7D" w14:textId="14FD5FA3" w:rsidR="789EEB2E" w:rsidRDefault="789EEB2E" w:rsidP="000318B8">
            <w:pPr>
              <w:pStyle w:val="ListParagraph"/>
              <w:rPr>
                <w:rStyle w:val="eop"/>
                <w:color w:val="000000" w:themeColor="text1"/>
                <w:sz w:val="22"/>
                <w:szCs w:val="22"/>
              </w:rPr>
            </w:pPr>
          </w:p>
          <w:p w14:paraId="7D5E471E" w14:textId="5228AB8D" w:rsidR="00BE1591" w:rsidRPr="00571D50" w:rsidRDefault="00BE1591" w:rsidP="002E19A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571D50" w14:paraId="46F5F04D" w14:textId="77777777" w:rsidTr="2316C914">
        <w:tc>
          <w:tcPr>
            <w:tcW w:w="1710" w:type="dxa"/>
          </w:tcPr>
          <w:p w14:paraId="0A100C22" w14:textId="77777777" w:rsidR="00F122C1" w:rsidRPr="00571D50" w:rsidRDefault="00F122C1" w:rsidP="002E19A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571D50">
              <w:rPr>
                <w:bCs/>
                <w:kern w:val="22"/>
                <w:sz w:val="22"/>
                <w:szCs w:val="22"/>
              </w:rPr>
              <w:lastRenderedPageBreak/>
              <w:t>3</w:t>
            </w:r>
          </w:p>
        </w:tc>
        <w:tc>
          <w:tcPr>
            <w:tcW w:w="7830" w:type="dxa"/>
          </w:tcPr>
          <w:p w14:paraId="19EA8B5E" w14:textId="7A1A3D27" w:rsidR="00BA327C" w:rsidRPr="00571D50" w:rsidRDefault="00F122C1" w:rsidP="789EEB2E">
            <w:pPr>
              <w:suppressLineNumbers/>
              <w:suppressAutoHyphens/>
              <w:adjustRightInd w:val="0"/>
              <w:snapToGrid w:val="0"/>
              <w:rPr>
                <w:i/>
                <w:iCs/>
                <w:kern w:val="22"/>
                <w:sz w:val="22"/>
                <w:szCs w:val="22"/>
              </w:rPr>
            </w:pPr>
            <w:r w:rsidRPr="789EEB2E">
              <w:rPr>
                <w:i/>
                <w:iCs/>
                <w:kern w:val="22"/>
                <w:sz w:val="22"/>
                <w:szCs w:val="22"/>
              </w:rPr>
              <w:t>Please provide comments on section 3 on progress tracking.</w:t>
            </w:r>
          </w:p>
          <w:p w14:paraId="27B4EEAF" w14:textId="7FB75B0B" w:rsidR="004503F9" w:rsidRPr="00571D50" w:rsidRDefault="0E086E31" w:rsidP="004503F9">
            <w:pPr>
              <w:pStyle w:val="ListParagraph"/>
              <w:numPr>
                <w:ilvl w:val="0"/>
                <w:numId w:val="3"/>
              </w:numPr>
              <w:suppressLineNumbers/>
              <w:suppressAutoHyphens/>
              <w:adjustRightInd w:val="0"/>
              <w:snapToGrid w:val="0"/>
              <w:rPr>
                <w:sz w:val="22"/>
                <w:szCs w:val="22"/>
              </w:rPr>
            </w:pPr>
            <w:r w:rsidRPr="2316C914">
              <w:rPr>
                <w:color w:val="333333"/>
                <w:sz w:val="22"/>
                <w:szCs w:val="22"/>
              </w:rPr>
              <w:t>We note that there is not a process to capture the progress towards and the results of these commitments.</w:t>
            </w:r>
            <w:r w:rsidRPr="0E086E31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6A6EFC" w:rsidRPr="0E086E31">
              <w:rPr>
                <w:sz w:val="22"/>
                <w:szCs w:val="22"/>
              </w:rPr>
              <w:t xml:space="preserve">Contributors to the platform should also be asked to provide regular updates on the progress made in the delivery of commitments. </w:t>
            </w:r>
          </w:p>
          <w:p w14:paraId="64A02926" w14:textId="6F578433" w:rsidR="004503F9" w:rsidRPr="00571D50" w:rsidRDefault="004503F9" w:rsidP="00BA327C">
            <w:pPr>
              <w:suppressLineNumbers/>
              <w:suppressAutoHyphens/>
              <w:adjustRightInd w:val="0"/>
              <w:snapToGrid w:val="0"/>
              <w:rPr>
                <w:color w:val="333333"/>
                <w:sz w:val="22"/>
                <w:szCs w:val="22"/>
              </w:rPr>
            </w:pPr>
          </w:p>
          <w:p w14:paraId="0B7779DD" w14:textId="064E8EFC" w:rsidR="004503F9" w:rsidRPr="00571D50" w:rsidRDefault="004503F9" w:rsidP="004503F9">
            <w:pPr>
              <w:pStyle w:val="CommentTex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1D50">
              <w:rPr>
                <w:sz w:val="22"/>
                <w:szCs w:val="22"/>
              </w:rPr>
              <w:t>We suggest that there should be reference here to the monitoring framework. Non-state actors should be encouraged to make use of those indicators where possible or where relevant.</w:t>
            </w:r>
          </w:p>
          <w:p w14:paraId="24AE1F5D" w14:textId="55F15E21" w:rsidR="004503F9" w:rsidRPr="00571D50" w:rsidRDefault="004503F9" w:rsidP="00BA327C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  <w:lang w:val="en-GB"/>
              </w:rPr>
            </w:pPr>
          </w:p>
        </w:tc>
      </w:tr>
    </w:tbl>
    <w:p w14:paraId="48DAF900" w14:textId="6E073AB4" w:rsidR="00B51493" w:rsidRPr="00571D50" w:rsidRDefault="00B51493" w:rsidP="00D3167F">
      <w:pPr>
        <w:jc w:val="both"/>
        <w:rPr>
          <w:sz w:val="22"/>
          <w:szCs w:val="22"/>
        </w:rPr>
      </w:pPr>
    </w:p>
    <w:sectPr w:rsidR="00B51493" w:rsidRPr="00571D50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1594" w14:textId="77777777" w:rsidR="005C720C" w:rsidRDefault="005C720C" w:rsidP="00AE7B5B">
      <w:r>
        <w:separator/>
      </w:r>
    </w:p>
  </w:endnote>
  <w:endnote w:type="continuationSeparator" w:id="0">
    <w:p w14:paraId="2D2E3F8C" w14:textId="77777777" w:rsidR="005C720C" w:rsidRDefault="005C720C" w:rsidP="00AE7B5B">
      <w:r>
        <w:continuationSeparator/>
      </w:r>
    </w:p>
  </w:endnote>
  <w:endnote w:type="continuationNotice" w:id="1">
    <w:p w14:paraId="1AD31EAB" w14:textId="77777777" w:rsidR="005C720C" w:rsidRDefault="005C7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174E" w14:textId="77777777" w:rsidR="005C720C" w:rsidRDefault="005C720C" w:rsidP="00AE7B5B">
      <w:r>
        <w:separator/>
      </w:r>
    </w:p>
  </w:footnote>
  <w:footnote w:type="continuationSeparator" w:id="0">
    <w:p w14:paraId="4FE5FAF5" w14:textId="77777777" w:rsidR="005C720C" w:rsidRDefault="005C720C" w:rsidP="00AE7B5B">
      <w:r>
        <w:continuationSeparator/>
      </w:r>
    </w:p>
  </w:footnote>
  <w:footnote w:type="continuationNotice" w:id="1">
    <w:p w14:paraId="635882A3" w14:textId="77777777" w:rsidR="005C720C" w:rsidRDefault="005C720C"/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X14a1Iij" int2:invalidationBookmarkName="" int2:hashCode="clYWwh5qCzEgns" int2:id="p76zn29T">
      <int2:state int2:type="LegacyProofing" int2:value="Rejected"/>
    </int2:bookmark>
    <int2:bookmark int2:bookmarkName="_Int_8lpNF8Hv" int2:invalidationBookmarkName="" int2:hashCode="clYWwh5qCzEgns" int2:id="m6j5DROz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F26"/>
    <w:multiLevelType w:val="hybridMultilevel"/>
    <w:tmpl w:val="74881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68F7"/>
    <w:multiLevelType w:val="hybridMultilevel"/>
    <w:tmpl w:val="892A8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90346"/>
    <w:multiLevelType w:val="hybridMultilevel"/>
    <w:tmpl w:val="823E1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6C32"/>
    <w:multiLevelType w:val="hybridMultilevel"/>
    <w:tmpl w:val="6292E6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60E58"/>
    <w:multiLevelType w:val="hybridMultilevel"/>
    <w:tmpl w:val="3994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CA"/>
    <w:rsid w:val="000134FA"/>
    <w:rsid w:val="000318B8"/>
    <w:rsid w:val="000B0924"/>
    <w:rsid w:val="000B252D"/>
    <w:rsid w:val="00127865"/>
    <w:rsid w:val="00130A14"/>
    <w:rsid w:val="00145017"/>
    <w:rsid w:val="0016656C"/>
    <w:rsid w:val="00197790"/>
    <w:rsid w:val="001D584A"/>
    <w:rsid w:val="00236608"/>
    <w:rsid w:val="00246858"/>
    <w:rsid w:val="00262408"/>
    <w:rsid w:val="00272333"/>
    <w:rsid w:val="002C4913"/>
    <w:rsid w:val="002E19A9"/>
    <w:rsid w:val="002F4F7C"/>
    <w:rsid w:val="002F7B9E"/>
    <w:rsid w:val="003625F5"/>
    <w:rsid w:val="00362A5E"/>
    <w:rsid w:val="00385D8C"/>
    <w:rsid w:val="00391C6E"/>
    <w:rsid w:val="003B2412"/>
    <w:rsid w:val="00414EDF"/>
    <w:rsid w:val="004503F9"/>
    <w:rsid w:val="00466D27"/>
    <w:rsid w:val="00485EDD"/>
    <w:rsid w:val="004A0846"/>
    <w:rsid w:val="004A6B02"/>
    <w:rsid w:val="0053632F"/>
    <w:rsid w:val="005558F7"/>
    <w:rsid w:val="00571D50"/>
    <w:rsid w:val="00573545"/>
    <w:rsid w:val="005C720C"/>
    <w:rsid w:val="005E4E26"/>
    <w:rsid w:val="00647F74"/>
    <w:rsid w:val="006A6E1A"/>
    <w:rsid w:val="006A6EFC"/>
    <w:rsid w:val="006B6640"/>
    <w:rsid w:val="006C03E8"/>
    <w:rsid w:val="006C085B"/>
    <w:rsid w:val="006C5227"/>
    <w:rsid w:val="006D400C"/>
    <w:rsid w:val="00735715"/>
    <w:rsid w:val="00757EBE"/>
    <w:rsid w:val="0077704D"/>
    <w:rsid w:val="007850A4"/>
    <w:rsid w:val="0083035D"/>
    <w:rsid w:val="00885809"/>
    <w:rsid w:val="008A4BE4"/>
    <w:rsid w:val="008A6047"/>
    <w:rsid w:val="008E422B"/>
    <w:rsid w:val="008E7015"/>
    <w:rsid w:val="008F4E5B"/>
    <w:rsid w:val="008F6F41"/>
    <w:rsid w:val="009303E6"/>
    <w:rsid w:val="00936DB5"/>
    <w:rsid w:val="009A6B72"/>
    <w:rsid w:val="009C30DA"/>
    <w:rsid w:val="00A84C53"/>
    <w:rsid w:val="00AE7B5B"/>
    <w:rsid w:val="00AF4AD0"/>
    <w:rsid w:val="00B51493"/>
    <w:rsid w:val="00B60F72"/>
    <w:rsid w:val="00B66111"/>
    <w:rsid w:val="00BA327C"/>
    <w:rsid w:val="00BC0B30"/>
    <w:rsid w:val="00BE1591"/>
    <w:rsid w:val="00CB02B6"/>
    <w:rsid w:val="00D3167F"/>
    <w:rsid w:val="00D346BA"/>
    <w:rsid w:val="00D72DC5"/>
    <w:rsid w:val="00D72FA1"/>
    <w:rsid w:val="00D779BA"/>
    <w:rsid w:val="00D93CCA"/>
    <w:rsid w:val="00DC44E4"/>
    <w:rsid w:val="00DC6EF5"/>
    <w:rsid w:val="00E2476B"/>
    <w:rsid w:val="00F122C1"/>
    <w:rsid w:val="00FF1E02"/>
    <w:rsid w:val="0B720B0A"/>
    <w:rsid w:val="0E086E31"/>
    <w:rsid w:val="16167423"/>
    <w:rsid w:val="16ED06BC"/>
    <w:rsid w:val="2316C914"/>
    <w:rsid w:val="24FB8BD7"/>
    <w:rsid w:val="28DD652A"/>
    <w:rsid w:val="2F16A4D4"/>
    <w:rsid w:val="311AD425"/>
    <w:rsid w:val="3631EFD5"/>
    <w:rsid w:val="4536BA56"/>
    <w:rsid w:val="49FD118A"/>
    <w:rsid w:val="4F02D670"/>
    <w:rsid w:val="5301EB52"/>
    <w:rsid w:val="578C7887"/>
    <w:rsid w:val="5967AAD9"/>
    <w:rsid w:val="5B9D4AAE"/>
    <w:rsid w:val="6211E262"/>
    <w:rsid w:val="646FFB4C"/>
    <w:rsid w:val="6605AAD9"/>
    <w:rsid w:val="6F684E28"/>
    <w:rsid w:val="71DBBFBD"/>
    <w:rsid w:val="73EC0285"/>
    <w:rsid w:val="789EEB2E"/>
    <w:rsid w:val="78C31642"/>
    <w:rsid w:val="79E939F6"/>
    <w:rsid w:val="7A61A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34FB3F"/>
  <w15:docId w15:val="{9B3E69DA-DD49-4B58-A882-9B281C8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B9E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850A4"/>
    <w:pPr>
      <w:ind w:left="720"/>
      <w:contextualSpacing/>
    </w:pPr>
  </w:style>
  <w:style w:type="table" w:styleId="TableGrid">
    <w:name w:val="Table Grid"/>
    <w:basedOn w:val="TableNormal"/>
    <w:uiPriority w:val="59"/>
    <w:rsid w:val="00F122C1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F122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E1591"/>
  </w:style>
  <w:style w:type="character" w:customStyle="1" w:styleId="eop">
    <w:name w:val="eop"/>
    <w:basedOn w:val="DefaultParagraphFont"/>
    <w:rsid w:val="00BE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21a8f1cb1b944057" Type="http://schemas.microsoft.com/office/2020/10/relationships/intelligence" Target="intelligence2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4e64fa-eb9d-4362-95df-901b609c8c45">
      <UserInfo>
        <DisplayName>Lockhart, William</DisplayName>
        <AccountId>18</AccountId>
        <AccountType/>
      </UserInfo>
      <UserInfo>
        <DisplayName>Stollery, Grace</DisplayName>
        <AccountId>137</AccountId>
        <AccountType/>
      </UserInfo>
      <UserInfo>
        <DisplayName>Ulku Skinner, Elif</DisplayName>
        <AccountId>21</AccountId>
        <AccountType/>
      </UserInfo>
      <UserInfo>
        <DisplayName>Hanin, Marie</DisplayName>
        <AccountId>46</AccountId>
        <AccountType/>
      </UserInfo>
      <UserInfo>
        <DisplayName>Stratford, Jane</DisplayName>
        <AccountId>19</AccountId>
        <AccountType/>
      </UserInfo>
      <UserInfo>
        <DisplayName>Bamforth, Louise</DisplayName>
        <AccountId>76</AccountId>
        <AccountType/>
      </UserInfo>
      <UserInfo>
        <DisplayName>Bryant, Kirsty</DisplayName>
        <AccountId>94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C8C9DF0B724F8DCAF0D721EEFFF5" ma:contentTypeVersion="6" ma:contentTypeDescription="Create a new document." ma:contentTypeScope="" ma:versionID="2c466ec6165ad9680a60afa529e3591d">
  <xsd:schema xmlns:xsd="http://www.w3.org/2001/XMLSchema" xmlns:xs="http://www.w3.org/2001/XMLSchema" xmlns:p="http://schemas.microsoft.com/office/2006/metadata/properties" xmlns:ns2="0eea28c5-9dae-4d65-a8ef-85a00ccdc0fc" xmlns:ns3="584e64fa-eb9d-4362-95df-901b609c8c45" targetNamespace="http://schemas.microsoft.com/office/2006/metadata/properties" ma:root="true" ma:fieldsID="623c52a059645b55f6d7d5f9ee479f17" ns2:_="" ns3:_="">
    <xsd:import namespace="0eea28c5-9dae-4d65-a8ef-85a00ccdc0fc"/>
    <xsd:import namespace="584e64fa-eb9d-4362-95df-901b609c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28c5-9dae-4d65-a8ef-85a00ccdc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e64fa-eb9d-4362-95df-901b609c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E7576-47B7-4E9E-B3D9-7C9ADF666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5B169-B139-4BD0-ADCE-51233F49ECD0}">
  <ds:schemaRefs>
    <ds:schemaRef ds:uri="http://schemas.microsoft.com/office/2006/metadata/properties"/>
    <ds:schemaRef ds:uri="http://schemas.microsoft.com/office/infopath/2007/PartnerControls"/>
    <ds:schemaRef ds:uri="584e64fa-eb9d-4362-95df-901b609c8c45"/>
  </ds:schemaRefs>
</ds:datastoreItem>
</file>

<file path=customXml/itemProps3.xml><?xml version="1.0" encoding="utf-8"?>
<ds:datastoreItem xmlns:ds="http://schemas.openxmlformats.org/officeDocument/2006/customXml" ds:itemID="{D22876EC-E5AE-42BF-9318-8F368D951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a28c5-9dae-4d65-a8ef-85a00ccdc0fc"/>
    <ds:schemaRef ds:uri="584e64fa-eb9d-4362-95df-901b609c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Bamforth, Louise</cp:lastModifiedBy>
  <cp:revision>2</cp:revision>
  <dcterms:created xsi:type="dcterms:W3CDTF">2022-05-05T14:23:00Z</dcterms:created>
  <dcterms:modified xsi:type="dcterms:W3CDTF">2022-05-05T14:23:00Z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0x010100E049C8C9DF0B724F8DCAF0D721EEFFF5</vt:lpwstr>
  </property>
</Properties>
</file>